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bidiVisual/>
        <w:tblW w:w="10337" w:type="dxa"/>
        <w:jc w:val="center"/>
        <w:tblLook w:val="04A0" w:firstRow="1" w:lastRow="0" w:firstColumn="1" w:lastColumn="0" w:noHBand="0" w:noVBand="1"/>
      </w:tblPr>
      <w:tblGrid>
        <w:gridCol w:w="1038"/>
        <w:gridCol w:w="1611"/>
        <w:gridCol w:w="1237"/>
        <w:gridCol w:w="1384"/>
        <w:gridCol w:w="1619"/>
        <w:gridCol w:w="1530"/>
        <w:gridCol w:w="838"/>
        <w:gridCol w:w="1080"/>
      </w:tblGrid>
      <w:tr w:rsidR="00D86C31" w:rsidRPr="00637A3F" w:rsidTr="002212E5">
        <w:trPr>
          <w:trHeight w:val="799"/>
          <w:jc w:val="center"/>
        </w:trPr>
        <w:tc>
          <w:tcPr>
            <w:tcW w:w="1038" w:type="dxa"/>
            <w:shd w:val="clear" w:color="auto" w:fill="auto"/>
            <w:vAlign w:val="center"/>
          </w:tcPr>
          <w:p w:rsidR="00F1111D" w:rsidRPr="0010126A" w:rsidRDefault="002212E5" w:rsidP="00241277">
            <w:pPr>
              <w:jc w:val="center"/>
              <w:rPr>
                <w:rFonts w:hint="cs"/>
                <w:b/>
                <w:bCs/>
                <w:sz w:val="20"/>
                <w:szCs w:val="20"/>
                <w:rtl/>
              </w:rPr>
            </w:pPr>
            <w:r w:rsidRPr="0010126A">
              <w:rPr>
                <w:rFonts w:ascii="Calibri" w:eastAsia="Calibri" w:hAnsi="Calibri" w:cs="Arial"/>
                <w:b/>
                <w:bCs/>
                <w:noProof/>
                <w:color w:val="C00000"/>
                <w:sz w:val="16"/>
                <w:szCs w:val="16"/>
              </w:rPr>
              <w:drawing>
                <wp:anchor distT="0" distB="0" distL="114300" distR="114300" simplePos="0" relativeHeight="251659264" behindDoc="1" locked="0" layoutInCell="1" allowOverlap="1" wp14:anchorId="13339311" wp14:editId="3C9DAD78">
                  <wp:simplePos x="0" y="0"/>
                  <wp:positionH relativeFrom="column">
                    <wp:posOffset>58420</wp:posOffset>
                  </wp:positionH>
                  <wp:positionV relativeFrom="page">
                    <wp:posOffset>81915</wp:posOffset>
                  </wp:positionV>
                  <wp:extent cx="417195" cy="417195"/>
                  <wp:effectExtent l="0" t="0" r="1905" b="1905"/>
                  <wp:wrapTight wrapText="bothSides">
                    <wp:wrapPolygon edited="0">
                      <wp:start x="0" y="0"/>
                      <wp:lineTo x="0" y="20712"/>
                      <wp:lineTo x="20712" y="20712"/>
                      <wp:lineTo x="20712" y="0"/>
                      <wp:lineTo x="0" y="0"/>
                    </wp:wrapPolygon>
                  </wp:wrapTight>
                  <wp:docPr id="2" name="תמונה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a:hlinkClick r:id="rId8"/>
                          </pic:cNvPr>
                          <pic:cNvPicPr/>
                        </pic:nvPicPr>
                        <pic:blipFill>
                          <a:blip r:embed="rId9"/>
                          <a:stretch>
                            <a:fillRect/>
                          </a:stretch>
                        </pic:blipFill>
                        <pic:spPr>
                          <a:xfrm>
                            <a:off x="0" y="0"/>
                            <a:ext cx="417195" cy="417195"/>
                          </a:xfrm>
                          <a:prstGeom prst="rect">
                            <a:avLst/>
                          </a:prstGeom>
                        </pic:spPr>
                      </pic:pic>
                    </a:graphicData>
                  </a:graphic>
                  <wp14:sizeRelH relativeFrom="margin">
                    <wp14:pctWidth>0</wp14:pctWidth>
                  </wp14:sizeRelH>
                  <wp14:sizeRelV relativeFrom="margin">
                    <wp14:pctHeight>0</wp14:pctHeight>
                  </wp14:sizeRelV>
                </wp:anchor>
              </w:drawing>
            </w:r>
            <w:hyperlink r:id="rId10" w:history="1">
              <w:r w:rsidR="0010126A" w:rsidRPr="0010126A">
                <w:rPr>
                  <w:rStyle w:val="Hyperlink"/>
                  <w:rFonts w:hint="cs"/>
                  <w:b/>
                  <w:bCs/>
                  <w:sz w:val="14"/>
                  <w:szCs w:val="14"/>
                  <w:rtl/>
                </w:rPr>
                <w:t>לחץ על הסמל למייל</w:t>
              </w:r>
            </w:hyperlink>
          </w:p>
        </w:tc>
        <w:tc>
          <w:tcPr>
            <w:tcW w:w="2848" w:type="dxa"/>
            <w:gridSpan w:val="2"/>
            <w:shd w:val="clear" w:color="auto" w:fill="F2F2F2" w:themeFill="background1" w:themeFillShade="F2"/>
            <w:vAlign w:val="center"/>
          </w:tcPr>
          <w:p w:rsidR="00F1111D" w:rsidRPr="00637A3F" w:rsidRDefault="00F1111D" w:rsidP="00241277">
            <w:pPr>
              <w:jc w:val="center"/>
              <w:rPr>
                <w:b/>
                <w:bCs/>
                <w:color w:val="C00000"/>
                <w:sz w:val="20"/>
                <w:szCs w:val="20"/>
                <w:rtl/>
              </w:rPr>
            </w:pPr>
            <w:r>
              <w:rPr>
                <w:rFonts w:hint="cs"/>
                <w:b/>
                <w:bCs/>
                <w:color w:val="C00000"/>
                <w:sz w:val="20"/>
                <w:szCs w:val="20"/>
                <w:rtl/>
              </w:rPr>
              <w:t>סוג השבועה</w:t>
            </w:r>
            <w:r w:rsidR="00FA3BB7" w:rsidRPr="00CF0967">
              <w:rPr>
                <w:rStyle w:val="ae"/>
                <w:b/>
                <w:bCs/>
                <w:sz w:val="24"/>
                <w:szCs w:val="24"/>
                <w:rtl/>
              </w:rPr>
              <w:endnoteReference w:id="1"/>
            </w:r>
          </w:p>
        </w:tc>
        <w:tc>
          <w:tcPr>
            <w:tcW w:w="1384" w:type="dxa"/>
            <w:shd w:val="clear" w:color="auto" w:fill="F2F2F2" w:themeFill="background1" w:themeFillShade="F2"/>
            <w:vAlign w:val="center"/>
          </w:tcPr>
          <w:p w:rsidR="00F1111D" w:rsidRPr="00637A3F" w:rsidRDefault="00F1111D" w:rsidP="00241277">
            <w:pPr>
              <w:jc w:val="center"/>
              <w:rPr>
                <w:b/>
                <w:bCs/>
                <w:color w:val="C00000"/>
                <w:sz w:val="20"/>
                <w:szCs w:val="20"/>
                <w:rtl/>
              </w:rPr>
            </w:pPr>
            <w:r w:rsidRPr="00637A3F">
              <w:rPr>
                <w:rFonts w:hint="cs"/>
                <w:b/>
                <w:bCs/>
                <w:color w:val="C00000"/>
                <w:sz w:val="20"/>
                <w:szCs w:val="20"/>
                <w:rtl/>
              </w:rPr>
              <w:t>מי חייב בשבועה</w:t>
            </w:r>
          </w:p>
        </w:tc>
        <w:tc>
          <w:tcPr>
            <w:tcW w:w="1619" w:type="dxa"/>
            <w:shd w:val="clear" w:color="auto" w:fill="F2F2F2" w:themeFill="background1" w:themeFillShade="F2"/>
            <w:vAlign w:val="center"/>
          </w:tcPr>
          <w:p w:rsidR="00F1111D" w:rsidRPr="00637A3F" w:rsidRDefault="00F1111D" w:rsidP="00241277">
            <w:pPr>
              <w:jc w:val="center"/>
              <w:rPr>
                <w:b/>
                <w:bCs/>
                <w:color w:val="C00000"/>
                <w:sz w:val="20"/>
                <w:szCs w:val="20"/>
                <w:rtl/>
              </w:rPr>
            </w:pPr>
            <w:r w:rsidRPr="00637A3F">
              <w:rPr>
                <w:rFonts w:hint="cs"/>
                <w:b/>
                <w:bCs/>
                <w:color w:val="C00000"/>
                <w:sz w:val="20"/>
                <w:szCs w:val="20"/>
                <w:rtl/>
              </w:rPr>
              <w:t>על מה נשבעין</w:t>
            </w:r>
          </w:p>
        </w:tc>
        <w:tc>
          <w:tcPr>
            <w:tcW w:w="1530" w:type="dxa"/>
            <w:shd w:val="clear" w:color="auto" w:fill="F2F2F2" w:themeFill="background1" w:themeFillShade="F2"/>
            <w:vAlign w:val="center"/>
          </w:tcPr>
          <w:p w:rsidR="00F1111D" w:rsidRPr="00637A3F" w:rsidRDefault="00F1111D" w:rsidP="00241277">
            <w:pPr>
              <w:jc w:val="center"/>
              <w:rPr>
                <w:b/>
                <w:bCs/>
                <w:color w:val="C00000"/>
                <w:sz w:val="20"/>
                <w:szCs w:val="20"/>
                <w:rtl/>
              </w:rPr>
            </w:pPr>
            <w:r w:rsidRPr="00637A3F">
              <w:rPr>
                <w:rFonts w:hint="cs"/>
                <w:b/>
                <w:bCs/>
                <w:color w:val="C00000"/>
                <w:sz w:val="20"/>
                <w:szCs w:val="20"/>
                <w:rtl/>
              </w:rPr>
              <w:t>התוצאה לאחר השבועה</w:t>
            </w:r>
          </w:p>
        </w:tc>
        <w:tc>
          <w:tcPr>
            <w:tcW w:w="838" w:type="dxa"/>
            <w:shd w:val="clear" w:color="auto" w:fill="F2F2F2" w:themeFill="background1" w:themeFillShade="F2"/>
            <w:vAlign w:val="center"/>
          </w:tcPr>
          <w:p w:rsidR="00F1111D" w:rsidRPr="00637A3F" w:rsidRDefault="00F1111D" w:rsidP="00241277">
            <w:pPr>
              <w:jc w:val="center"/>
              <w:rPr>
                <w:b/>
                <w:bCs/>
                <w:color w:val="C00000"/>
                <w:sz w:val="20"/>
                <w:szCs w:val="20"/>
                <w:rtl/>
              </w:rPr>
            </w:pPr>
            <w:r w:rsidRPr="00637A3F">
              <w:rPr>
                <w:rFonts w:hint="cs"/>
                <w:b/>
                <w:bCs/>
                <w:color w:val="C00000"/>
                <w:sz w:val="20"/>
                <w:szCs w:val="20"/>
                <w:rtl/>
              </w:rPr>
              <w:t>האם נשבעין בנקיטת חפץ</w:t>
            </w:r>
            <w:r w:rsidRPr="00D86C31">
              <w:rPr>
                <w:rStyle w:val="ae"/>
                <w:b/>
                <w:bCs/>
                <w:sz w:val="24"/>
                <w:szCs w:val="24"/>
                <w:rtl/>
              </w:rPr>
              <w:endnoteReference w:id="2"/>
            </w:r>
          </w:p>
        </w:tc>
        <w:tc>
          <w:tcPr>
            <w:tcW w:w="1080" w:type="dxa"/>
            <w:shd w:val="clear" w:color="auto" w:fill="F2F2F2" w:themeFill="background1" w:themeFillShade="F2"/>
            <w:vAlign w:val="center"/>
          </w:tcPr>
          <w:p w:rsidR="00F1111D" w:rsidRPr="00637A3F" w:rsidRDefault="008F588A" w:rsidP="00241277">
            <w:pPr>
              <w:jc w:val="center"/>
              <w:rPr>
                <w:b/>
                <w:bCs/>
                <w:color w:val="C00000"/>
                <w:sz w:val="20"/>
                <w:szCs w:val="20"/>
                <w:rtl/>
              </w:rPr>
            </w:pPr>
            <w:r>
              <w:rPr>
                <w:rFonts w:cs="Arial" w:hint="cs"/>
                <w:b/>
                <w:bCs/>
                <w:color w:val="C00000"/>
                <w:sz w:val="20"/>
                <w:szCs w:val="20"/>
                <w:rtl/>
              </w:rPr>
              <w:t>ה</w:t>
            </w:r>
            <w:r w:rsidR="00F1111D" w:rsidRPr="00172070">
              <w:rPr>
                <w:rFonts w:cs="Arial"/>
                <w:b/>
                <w:bCs/>
                <w:color w:val="C00000"/>
                <w:sz w:val="20"/>
                <w:szCs w:val="20"/>
                <w:rtl/>
              </w:rPr>
              <w:t>מסרב להישבע</w:t>
            </w:r>
          </w:p>
        </w:tc>
      </w:tr>
      <w:tr w:rsidR="00D86C31" w:rsidTr="00D86C31">
        <w:trPr>
          <w:trHeight w:val="983"/>
          <w:jc w:val="center"/>
        </w:trPr>
        <w:tc>
          <w:tcPr>
            <w:tcW w:w="1038" w:type="dxa"/>
            <w:vMerge w:val="restart"/>
            <w:shd w:val="clear" w:color="auto" w:fill="FABF8F" w:themeFill="accent6" w:themeFillTint="99"/>
            <w:vAlign w:val="center"/>
          </w:tcPr>
          <w:p w:rsidR="00D86C31" w:rsidRPr="008B1B9C" w:rsidRDefault="00D86C31" w:rsidP="00241277">
            <w:pPr>
              <w:jc w:val="center"/>
              <w:rPr>
                <w:color w:val="C00000"/>
                <w:sz w:val="24"/>
                <w:szCs w:val="24"/>
                <w:rtl/>
              </w:rPr>
            </w:pPr>
            <w:r w:rsidRPr="00241277">
              <w:rPr>
                <w:b/>
                <w:bCs/>
                <w:color w:val="C00000"/>
                <w:rtl/>
              </w:rPr>
              <w:t>שבועה מן התורה</w:t>
            </w:r>
            <w:r w:rsidRPr="00D86C31">
              <w:rPr>
                <w:rStyle w:val="ae"/>
                <w:b/>
                <w:bCs/>
                <w:sz w:val="24"/>
                <w:szCs w:val="24"/>
                <w:rtl/>
              </w:rPr>
              <w:endnoteReference w:id="3"/>
            </w:r>
          </w:p>
        </w:tc>
        <w:tc>
          <w:tcPr>
            <w:tcW w:w="2848" w:type="dxa"/>
            <w:gridSpan w:val="2"/>
            <w:shd w:val="clear" w:color="auto" w:fill="FABF8F" w:themeFill="accent6" w:themeFillTint="99"/>
            <w:vAlign w:val="center"/>
          </w:tcPr>
          <w:p w:rsidR="00D86C31" w:rsidRDefault="00D86C31" w:rsidP="00241277">
            <w:pPr>
              <w:jc w:val="center"/>
              <w:rPr>
                <w:rtl/>
              </w:rPr>
            </w:pPr>
            <w:r w:rsidRPr="00F1111D">
              <w:rPr>
                <w:rFonts w:hint="cs"/>
                <w:b/>
                <w:bCs/>
                <w:color w:val="C00000"/>
                <w:sz w:val="20"/>
                <w:szCs w:val="20"/>
                <w:rtl/>
              </w:rPr>
              <w:t xml:space="preserve">שבועת </w:t>
            </w:r>
            <w:r w:rsidRPr="00F1111D">
              <w:rPr>
                <w:b/>
                <w:bCs/>
                <w:color w:val="C00000"/>
                <w:sz w:val="20"/>
                <w:szCs w:val="20"/>
                <w:rtl/>
              </w:rPr>
              <w:t>מודה במקצת</w:t>
            </w:r>
            <w:r w:rsidRPr="00D86C31">
              <w:rPr>
                <w:rStyle w:val="ae"/>
                <w:b/>
                <w:bCs/>
                <w:sz w:val="24"/>
                <w:szCs w:val="24"/>
                <w:rtl/>
              </w:rPr>
              <w:endnoteReference w:id="4"/>
            </w:r>
          </w:p>
        </w:tc>
        <w:tc>
          <w:tcPr>
            <w:tcW w:w="1384" w:type="dxa"/>
            <w:tcBorders>
              <w:bottom w:val="single" w:sz="4" w:space="0" w:color="auto"/>
            </w:tcBorders>
            <w:shd w:val="clear" w:color="auto" w:fill="auto"/>
            <w:vAlign w:val="center"/>
          </w:tcPr>
          <w:p w:rsidR="00D86C31" w:rsidRPr="00D86C31" w:rsidRDefault="00D86C31" w:rsidP="00241277">
            <w:pPr>
              <w:jc w:val="center"/>
              <w:rPr>
                <w:sz w:val="20"/>
                <w:szCs w:val="20"/>
                <w:rtl/>
              </w:rPr>
            </w:pPr>
            <w:r w:rsidRPr="00D86C31">
              <w:rPr>
                <w:rFonts w:hint="cs"/>
                <w:sz w:val="20"/>
                <w:szCs w:val="20"/>
                <w:rtl/>
              </w:rPr>
              <w:t>המודה במקצת</w:t>
            </w:r>
          </w:p>
        </w:tc>
        <w:tc>
          <w:tcPr>
            <w:tcW w:w="1619" w:type="dxa"/>
            <w:shd w:val="clear" w:color="auto" w:fill="auto"/>
            <w:vAlign w:val="center"/>
          </w:tcPr>
          <w:p w:rsidR="00D86C31" w:rsidRPr="008F588A" w:rsidRDefault="00D86C31" w:rsidP="00241277">
            <w:pPr>
              <w:jc w:val="center"/>
              <w:rPr>
                <w:sz w:val="18"/>
                <w:szCs w:val="18"/>
                <w:rtl/>
              </w:rPr>
            </w:pPr>
            <w:r w:rsidRPr="008F588A">
              <w:rPr>
                <w:sz w:val="18"/>
                <w:szCs w:val="18"/>
                <w:rtl/>
              </w:rPr>
              <w:t xml:space="preserve">על אמיתות </w:t>
            </w:r>
            <w:r w:rsidRPr="008F588A">
              <w:rPr>
                <w:rFonts w:hint="cs"/>
                <w:sz w:val="18"/>
                <w:szCs w:val="18"/>
                <w:rtl/>
              </w:rPr>
              <w:t>הטענה</w:t>
            </w:r>
            <w:r w:rsidRPr="008F588A">
              <w:rPr>
                <w:sz w:val="18"/>
                <w:szCs w:val="18"/>
                <w:rtl/>
              </w:rPr>
              <w:t xml:space="preserve"> שאינו חייב את החלק שהוא כופר בו</w:t>
            </w:r>
          </w:p>
        </w:tc>
        <w:tc>
          <w:tcPr>
            <w:tcW w:w="1530" w:type="dxa"/>
            <w:shd w:val="clear" w:color="auto" w:fill="auto"/>
            <w:vAlign w:val="center"/>
          </w:tcPr>
          <w:p w:rsidR="00D86C31" w:rsidRPr="00D86C31" w:rsidRDefault="00D86C31" w:rsidP="00241277">
            <w:pPr>
              <w:jc w:val="center"/>
              <w:rPr>
                <w:sz w:val="20"/>
                <w:szCs w:val="20"/>
                <w:rtl/>
              </w:rPr>
            </w:pPr>
            <w:r w:rsidRPr="00D86C31">
              <w:rPr>
                <w:rFonts w:hint="cs"/>
                <w:sz w:val="20"/>
                <w:szCs w:val="20"/>
                <w:rtl/>
              </w:rPr>
              <w:t>מ</w:t>
            </w:r>
            <w:r w:rsidRPr="00D86C31">
              <w:rPr>
                <w:sz w:val="20"/>
                <w:szCs w:val="20"/>
                <w:rtl/>
              </w:rPr>
              <w:t>שלם את החלק שהוא מודה בו</w:t>
            </w:r>
          </w:p>
        </w:tc>
        <w:tc>
          <w:tcPr>
            <w:tcW w:w="838" w:type="dxa"/>
            <w:vMerge w:val="restart"/>
            <w:shd w:val="clear" w:color="auto" w:fill="auto"/>
            <w:vAlign w:val="center"/>
          </w:tcPr>
          <w:p w:rsidR="00D86C31" w:rsidRPr="00D86C31" w:rsidRDefault="00D86C31" w:rsidP="00CD7D37">
            <w:pPr>
              <w:jc w:val="center"/>
              <w:rPr>
                <w:sz w:val="20"/>
                <w:szCs w:val="20"/>
                <w:rtl/>
              </w:rPr>
            </w:pPr>
            <w:r w:rsidRPr="00D86C31">
              <w:rPr>
                <w:rFonts w:hint="cs"/>
                <w:sz w:val="20"/>
                <w:szCs w:val="20"/>
                <w:rtl/>
              </w:rPr>
              <w:t>כן</w:t>
            </w:r>
          </w:p>
        </w:tc>
        <w:tc>
          <w:tcPr>
            <w:tcW w:w="1080" w:type="dxa"/>
            <w:vMerge w:val="restart"/>
            <w:shd w:val="clear" w:color="auto" w:fill="auto"/>
            <w:vAlign w:val="center"/>
          </w:tcPr>
          <w:p w:rsidR="00D86C31" w:rsidRPr="00D86C31" w:rsidRDefault="00D86C31" w:rsidP="00241277">
            <w:pPr>
              <w:jc w:val="center"/>
              <w:rPr>
                <w:sz w:val="20"/>
                <w:szCs w:val="20"/>
                <w:rtl/>
              </w:rPr>
            </w:pPr>
            <w:r w:rsidRPr="00D86C31">
              <w:rPr>
                <w:sz w:val="20"/>
                <w:szCs w:val="20"/>
                <w:rtl/>
              </w:rPr>
              <w:t>בית דין יורדים לנכסיו ונותנים לתובע מה שתבע</w:t>
            </w:r>
          </w:p>
        </w:tc>
      </w:tr>
      <w:tr w:rsidR="00D86C31" w:rsidTr="00D86C31">
        <w:trPr>
          <w:trHeight w:val="812"/>
          <w:jc w:val="center"/>
        </w:trPr>
        <w:tc>
          <w:tcPr>
            <w:tcW w:w="1038" w:type="dxa"/>
            <w:vMerge/>
            <w:shd w:val="clear" w:color="auto" w:fill="FABF8F" w:themeFill="accent6" w:themeFillTint="99"/>
            <w:vAlign w:val="center"/>
          </w:tcPr>
          <w:p w:rsidR="00D86C31" w:rsidRPr="008B1B9C" w:rsidRDefault="00D86C31" w:rsidP="00241277">
            <w:pPr>
              <w:pStyle w:val="a7"/>
              <w:numPr>
                <w:ilvl w:val="0"/>
                <w:numId w:val="3"/>
              </w:numPr>
              <w:jc w:val="center"/>
              <w:rPr>
                <w:rFonts w:cs="Arial"/>
                <w:sz w:val="24"/>
                <w:szCs w:val="24"/>
                <w:rtl/>
              </w:rPr>
            </w:pPr>
          </w:p>
        </w:tc>
        <w:tc>
          <w:tcPr>
            <w:tcW w:w="2848" w:type="dxa"/>
            <w:gridSpan w:val="2"/>
            <w:shd w:val="clear" w:color="auto" w:fill="FABF8F" w:themeFill="accent6" w:themeFillTint="99"/>
            <w:vAlign w:val="center"/>
          </w:tcPr>
          <w:p w:rsidR="00D86C31" w:rsidRDefault="00D86C31" w:rsidP="00241277">
            <w:pPr>
              <w:jc w:val="center"/>
              <w:rPr>
                <w:rtl/>
              </w:rPr>
            </w:pPr>
            <w:r w:rsidRPr="00F1111D">
              <w:rPr>
                <w:b/>
                <w:bCs/>
                <w:color w:val="C00000"/>
                <w:sz w:val="20"/>
                <w:szCs w:val="20"/>
                <w:rtl/>
              </w:rPr>
              <w:t>שבועת השומרים</w:t>
            </w:r>
            <w:r w:rsidRPr="00D86C31">
              <w:rPr>
                <w:rStyle w:val="ae"/>
                <w:b/>
                <w:bCs/>
                <w:sz w:val="24"/>
                <w:szCs w:val="24"/>
                <w:rtl/>
              </w:rPr>
              <w:endnoteReference w:id="5"/>
            </w:r>
          </w:p>
        </w:tc>
        <w:tc>
          <w:tcPr>
            <w:tcW w:w="1384" w:type="dxa"/>
            <w:shd w:val="clear" w:color="auto" w:fill="auto"/>
            <w:vAlign w:val="center"/>
          </w:tcPr>
          <w:p w:rsidR="00D86C31" w:rsidRDefault="00D86C31" w:rsidP="00241277">
            <w:pPr>
              <w:jc w:val="center"/>
              <w:rPr>
                <w:rtl/>
              </w:rPr>
            </w:pPr>
            <w:r w:rsidRPr="00D86C31">
              <w:rPr>
                <w:rFonts w:hint="cs"/>
                <w:sz w:val="20"/>
                <w:szCs w:val="20"/>
                <w:rtl/>
              </w:rPr>
              <w:t>שומר חינם או שומר שכר</w:t>
            </w:r>
            <w:r w:rsidRPr="00D86C31">
              <w:rPr>
                <w:rStyle w:val="ae"/>
                <w:b/>
                <w:bCs/>
                <w:sz w:val="24"/>
                <w:szCs w:val="24"/>
                <w:rtl/>
              </w:rPr>
              <w:endnoteReference w:id="6"/>
            </w:r>
          </w:p>
        </w:tc>
        <w:tc>
          <w:tcPr>
            <w:tcW w:w="1619" w:type="dxa"/>
            <w:shd w:val="clear" w:color="auto" w:fill="auto"/>
            <w:vAlign w:val="center"/>
          </w:tcPr>
          <w:p w:rsidR="00D86C31" w:rsidRPr="008F588A" w:rsidRDefault="00D86C31" w:rsidP="00241277">
            <w:pPr>
              <w:jc w:val="center"/>
              <w:rPr>
                <w:sz w:val="18"/>
                <w:szCs w:val="18"/>
                <w:rtl/>
              </w:rPr>
            </w:pPr>
            <w:r w:rsidRPr="008F588A">
              <w:rPr>
                <w:sz w:val="18"/>
                <w:szCs w:val="18"/>
                <w:rtl/>
              </w:rPr>
              <w:t xml:space="preserve">על אמיתות </w:t>
            </w:r>
            <w:r w:rsidRPr="008F588A">
              <w:rPr>
                <w:rFonts w:hint="cs"/>
                <w:sz w:val="18"/>
                <w:szCs w:val="18"/>
                <w:rtl/>
              </w:rPr>
              <w:t>הטענה</w:t>
            </w:r>
            <w:r w:rsidRPr="008F588A">
              <w:rPr>
                <w:sz w:val="18"/>
                <w:szCs w:val="18"/>
                <w:rtl/>
              </w:rPr>
              <w:t xml:space="preserve"> שיכולה לפטור אותו מתשלום דמי הפקדון</w:t>
            </w:r>
          </w:p>
        </w:tc>
        <w:tc>
          <w:tcPr>
            <w:tcW w:w="1530" w:type="dxa"/>
            <w:shd w:val="clear" w:color="auto" w:fill="auto"/>
            <w:vAlign w:val="center"/>
          </w:tcPr>
          <w:p w:rsidR="00D86C31" w:rsidRPr="00D86C31" w:rsidRDefault="00D86C31" w:rsidP="00241277">
            <w:pPr>
              <w:jc w:val="center"/>
              <w:rPr>
                <w:sz w:val="20"/>
                <w:szCs w:val="20"/>
                <w:rtl/>
              </w:rPr>
            </w:pPr>
            <w:r w:rsidRPr="00D86C31">
              <w:rPr>
                <w:rFonts w:hint="cs"/>
                <w:sz w:val="20"/>
                <w:szCs w:val="20"/>
                <w:rtl/>
              </w:rPr>
              <w:t>נפטר</w:t>
            </w:r>
            <w:r w:rsidRPr="00D86C31">
              <w:rPr>
                <w:sz w:val="20"/>
                <w:szCs w:val="20"/>
                <w:rtl/>
              </w:rPr>
              <w:t xml:space="preserve"> מתשלום דמי הפקדון</w:t>
            </w:r>
          </w:p>
        </w:tc>
        <w:tc>
          <w:tcPr>
            <w:tcW w:w="838" w:type="dxa"/>
            <w:vMerge/>
            <w:shd w:val="clear" w:color="auto" w:fill="auto"/>
            <w:vAlign w:val="center"/>
          </w:tcPr>
          <w:p w:rsidR="00D86C31" w:rsidRDefault="00D86C31" w:rsidP="00CD7D37">
            <w:pPr>
              <w:jc w:val="center"/>
              <w:rPr>
                <w:rtl/>
              </w:rPr>
            </w:pPr>
          </w:p>
        </w:tc>
        <w:tc>
          <w:tcPr>
            <w:tcW w:w="1080" w:type="dxa"/>
            <w:vMerge/>
            <w:shd w:val="clear" w:color="auto" w:fill="auto"/>
            <w:vAlign w:val="center"/>
          </w:tcPr>
          <w:p w:rsidR="00D86C31" w:rsidRDefault="00D86C31" w:rsidP="00241277">
            <w:pPr>
              <w:jc w:val="center"/>
              <w:rPr>
                <w:rtl/>
              </w:rPr>
            </w:pPr>
          </w:p>
        </w:tc>
      </w:tr>
      <w:tr w:rsidR="00D86C31" w:rsidTr="00D86C31">
        <w:trPr>
          <w:jc w:val="center"/>
        </w:trPr>
        <w:tc>
          <w:tcPr>
            <w:tcW w:w="1038" w:type="dxa"/>
            <w:vMerge/>
            <w:shd w:val="clear" w:color="auto" w:fill="FABF8F" w:themeFill="accent6" w:themeFillTint="99"/>
            <w:vAlign w:val="center"/>
          </w:tcPr>
          <w:p w:rsidR="00D86C31" w:rsidRPr="008B1B9C" w:rsidRDefault="00D86C31" w:rsidP="00241277">
            <w:pPr>
              <w:pStyle w:val="a7"/>
              <w:numPr>
                <w:ilvl w:val="0"/>
                <w:numId w:val="3"/>
              </w:numPr>
              <w:jc w:val="center"/>
              <w:rPr>
                <w:rFonts w:cs="Arial"/>
                <w:sz w:val="24"/>
                <w:szCs w:val="24"/>
                <w:rtl/>
              </w:rPr>
            </w:pPr>
          </w:p>
        </w:tc>
        <w:tc>
          <w:tcPr>
            <w:tcW w:w="2848" w:type="dxa"/>
            <w:gridSpan w:val="2"/>
            <w:shd w:val="clear" w:color="auto" w:fill="FABF8F" w:themeFill="accent6" w:themeFillTint="99"/>
            <w:vAlign w:val="center"/>
          </w:tcPr>
          <w:p w:rsidR="00D86C31" w:rsidRDefault="00D86C31" w:rsidP="00241277">
            <w:pPr>
              <w:jc w:val="center"/>
              <w:rPr>
                <w:rtl/>
              </w:rPr>
            </w:pPr>
            <w:r w:rsidRPr="00F1111D">
              <w:rPr>
                <w:b/>
                <w:bCs/>
                <w:color w:val="C00000"/>
                <w:sz w:val="20"/>
                <w:szCs w:val="20"/>
                <w:rtl/>
              </w:rPr>
              <w:t>שבועת עד אחד</w:t>
            </w:r>
            <w:r w:rsidRPr="00D86C31">
              <w:rPr>
                <w:rStyle w:val="ae"/>
                <w:b/>
                <w:bCs/>
                <w:sz w:val="24"/>
                <w:szCs w:val="24"/>
                <w:rtl/>
              </w:rPr>
              <w:endnoteReference w:id="7"/>
            </w:r>
          </w:p>
        </w:tc>
        <w:tc>
          <w:tcPr>
            <w:tcW w:w="1384" w:type="dxa"/>
            <w:shd w:val="clear" w:color="auto" w:fill="auto"/>
            <w:vAlign w:val="center"/>
          </w:tcPr>
          <w:p w:rsidR="00D86C31" w:rsidRPr="00D86C31" w:rsidRDefault="00D86C31" w:rsidP="00241277">
            <w:pPr>
              <w:jc w:val="center"/>
              <w:rPr>
                <w:sz w:val="20"/>
                <w:szCs w:val="20"/>
                <w:rtl/>
              </w:rPr>
            </w:pPr>
            <w:r w:rsidRPr="00D86C31">
              <w:rPr>
                <w:rFonts w:hint="cs"/>
                <w:sz w:val="20"/>
                <w:szCs w:val="20"/>
                <w:rtl/>
              </w:rPr>
              <w:t>הנתבע</w:t>
            </w:r>
          </w:p>
        </w:tc>
        <w:tc>
          <w:tcPr>
            <w:tcW w:w="1619" w:type="dxa"/>
            <w:shd w:val="clear" w:color="auto" w:fill="auto"/>
            <w:vAlign w:val="center"/>
          </w:tcPr>
          <w:p w:rsidR="00D86C31" w:rsidRPr="008F588A" w:rsidRDefault="00D86C31" w:rsidP="00241277">
            <w:pPr>
              <w:jc w:val="center"/>
              <w:rPr>
                <w:sz w:val="18"/>
                <w:szCs w:val="18"/>
                <w:rtl/>
              </w:rPr>
            </w:pPr>
            <w:bookmarkStart w:id="3" w:name="_Hlk503528732"/>
            <w:r w:rsidRPr="008F588A">
              <w:rPr>
                <w:sz w:val="18"/>
                <w:szCs w:val="18"/>
                <w:rtl/>
              </w:rPr>
              <w:t>כאשר עד אחד מעיד נגדו</w:t>
            </w:r>
            <w:bookmarkEnd w:id="3"/>
          </w:p>
        </w:tc>
        <w:tc>
          <w:tcPr>
            <w:tcW w:w="1530" w:type="dxa"/>
            <w:shd w:val="clear" w:color="auto" w:fill="auto"/>
            <w:vAlign w:val="center"/>
          </w:tcPr>
          <w:p w:rsidR="00D86C31" w:rsidRPr="00ED46F4" w:rsidRDefault="00D86C31" w:rsidP="00241277">
            <w:pPr>
              <w:jc w:val="center"/>
              <w:rPr>
                <w:rtl/>
              </w:rPr>
            </w:pPr>
          </w:p>
        </w:tc>
        <w:tc>
          <w:tcPr>
            <w:tcW w:w="838" w:type="dxa"/>
            <w:vMerge/>
            <w:shd w:val="clear" w:color="auto" w:fill="auto"/>
            <w:vAlign w:val="center"/>
          </w:tcPr>
          <w:p w:rsidR="00D86C31" w:rsidRDefault="00D86C31" w:rsidP="00CD7D37">
            <w:pPr>
              <w:jc w:val="center"/>
              <w:rPr>
                <w:rtl/>
              </w:rPr>
            </w:pPr>
          </w:p>
        </w:tc>
        <w:tc>
          <w:tcPr>
            <w:tcW w:w="1080" w:type="dxa"/>
            <w:vMerge/>
            <w:shd w:val="clear" w:color="auto" w:fill="auto"/>
            <w:vAlign w:val="center"/>
          </w:tcPr>
          <w:p w:rsidR="00D86C31" w:rsidRDefault="00D86C31" w:rsidP="00241277">
            <w:pPr>
              <w:jc w:val="center"/>
              <w:rPr>
                <w:rtl/>
              </w:rPr>
            </w:pPr>
          </w:p>
        </w:tc>
      </w:tr>
      <w:tr w:rsidR="000E1D93" w:rsidTr="00D86C31">
        <w:trPr>
          <w:trHeight w:val="441"/>
          <w:jc w:val="center"/>
        </w:trPr>
        <w:tc>
          <w:tcPr>
            <w:tcW w:w="1038" w:type="dxa"/>
            <w:vMerge w:val="restart"/>
            <w:shd w:val="clear" w:color="auto" w:fill="DBE5F1" w:themeFill="accent1" w:themeFillTint="33"/>
            <w:vAlign w:val="center"/>
          </w:tcPr>
          <w:p w:rsidR="000E1D93" w:rsidRPr="008B1B9C" w:rsidRDefault="000E1D93" w:rsidP="00CD7D37">
            <w:pPr>
              <w:jc w:val="center"/>
              <w:rPr>
                <w:color w:val="C00000"/>
                <w:sz w:val="24"/>
                <w:szCs w:val="24"/>
                <w:rtl/>
              </w:rPr>
            </w:pPr>
            <w:r w:rsidRPr="00F1111D">
              <w:rPr>
                <w:b/>
                <w:bCs/>
                <w:color w:val="C00000"/>
                <w:rtl/>
              </w:rPr>
              <w:t xml:space="preserve">שבועה מדרבנן, </w:t>
            </w:r>
            <w:r w:rsidRPr="00F1111D">
              <w:rPr>
                <w:rFonts w:hint="cs"/>
                <w:b/>
                <w:bCs/>
                <w:color w:val="C00000"/>
                <w:rtl/>
              </w:rPr>
              <w:t>(</w:t>
            </w:r>
            <w:r w:rsidRPr="00F1111D">
              <w:rPr>
                <w:b/>
                <w:bCs/>
                <w:color w:val="C00000"/>
                <w:rtl/>
              </w:rPr>
              <w:t xml:space="preserve">נקראת </w:t>
            </w:r>
            <w:r w:rsidRPr="00F1111D">
              <w:rPr>
                <w:rFonts w:hint="cs"/>
                <w:b/>
                <w:bCs/>
                <w:color w:val="C00000"/>
                <w:rtl/>
              </w:rPr>
              <w:t xml:space="preserve">גם </w:t>
            </w:r>
            <w:r w:rsidRPr="00F1111D">
              <w:rPr>
                <w:b/>
                <w:bCs/>
                <w:color w:val="C00000"/>
                <w:rtl/>
              </w:rPr>
              <w:t>שבועת המשנה</w:t>
            </w:r>
            <w:r w:rsidRPr="00D86C31">
              <w:rPr>
                <w:rStyle w:val="ae"/>
                <w:b/>
                <w:bCs/>
                <w:sz w:val="24"/>
                <w:szCs w:val="24"/>
                <w:rtl/>
              </w:rPr>
              <w:endnoteReference w:id="8"/>
            </w:r>
            <w:r w:rsidRPr="008B1B9C">
              <w:rPr>
                <w:rFonts w:hint="cs"/>
                <w:b/>
                <w:bCs/>
                <w:color w:val="C00000"/>
                <w:sz w:val="24"/>
                <w:szCs w:val="24"/>
                <w:rtl/>
              </w:rPr>
              <w:t>)</w:t>
            </w:r>
          </w:p>
          <w:p w:rsidR="000E1D93" w:rsidRPr="008B1B9C" w:rsidRDefault="000E1D93" w:rsidP="00CD7D37">
            <w:pPr>
              <w:jc w:val="center"/>
              <w:rPr>
                <w:b/>
                <w:bCs/>
                <w:color w:val="C00000"/>
                <w:sz w:val="24"/>
                <w:szCs w:val="24"/>
                <w:rtl/>
              </w:rPr>
            </w:pPr>
          </w:p>
        </w:tc>
        <w:tc>
          <w:tcPr>
            <w:tcW w:w="2848" w:type="dxa"/>
            <w:gridSpan w:val="2"/>
            <w:shd w:val="clear" w:color="auto" w:fill="DBE5F1" w:themeFill="accent1" w:themeFillTint="33"/>
            <w:vAlign w:val="center"/>
          </w:tcPr>
          <w:p w:rsidR="000E1D93" w:rsidRDefault="000E1D93" w:rsidP="00CD7D37">
            <w:pPr>
              <w:jc w:val="center"/>
              <w:rPr>
                <w:rtl/>
              </w:rPr>
            </w:pPr>
            <w:r w:rsidRPr="00F1111D">
              <w:rPr>
                <w:rFonts w:hint="cs"/>
                <w:b/>
                <w:bCs/>
                <w:color w:val="C00000"/>
                <w:sz w:val="20"/>
                <w:szCs w:val="20"/>
                <w:rtl/>
              </w:rPr>
              <w:t>שבועת ה</w:t>
            </w:r>
            <w:r w:rsidRPr="00F1111D">
              <w:rPr>
                <w:b/>
                <w:bCs/>
                <w:color w:val="C00000"/>
                <w:sz w:val="20"/>
                <w:szCs w:val="20"/>
                <w:rtl/>
              </w:rPr>
              <w:t>שכיר</w:t>
            </w:r>
          </w:p>
        </w:tc>
        <w:tc>
          <w:tcPr>
            <w:tcW w:w="1384" w:type="dxa"/>
            <w:shd w:val="clear" w:color="auto" w:fill="auto"/>
            <w:vAlign w:val="center"/>
          </w:tcPr>
          <w:p w:rsidR="000E1D93" w:rsidRPr="00D86C31" w:rsidRDefault="000E1D93" w:rsidP="00CD7D37">
            <w:pPr>
              <w:jc w:val="center"/>
              <w:rPr>
                <w:rFonts w:hint="cs"/>
                <w:sz w:val="20"/>
                <w:szCs w:val="20"/>
                <w:rtl/>
              </w:rPr>
            </w:pPr>
            <w:r w:rsidRPr="00D86C31">
              <w:rPr>
                <w:rFonts w:hint="cs"/>
                <w:sz w:val="20"/>
                <w:szCs w:val="20"/>
                <w:rtl/>
              </w:rPr>
              <w:t>ה</w:t>
            </w:r>
            <w:r w:rsidRPr="00D86C31">
              <w:rPr>
                <w:sz w:val="20"/>
                <w:szCs w:val="20"/>
                <w:rtl/>
              </w:rPr>
              <w:t>שכיר</w:t>
            </w:r>
          </w:p>
        </w:tc>
        <w:tc>
          <w:tcPr>
            <w:tcW w:w="1619" w:type="dxa"/>
            <w:shd w:val="clear" w:color="auto" w:fill="auto"/>
            <w:vAlign w:val="center"/>
          </w:tcPr>
          <w:p w:rsidR="000E1D93" w:rsidRPr="008F588A" w:rsidRDefault="000E1D93" w:rsidP="00CD7D37">
            <w:pPr>
              <w:jc w:val="center"/>
              <w:rPr>
                <w:sz w:val="18"/>
                <w:szCs w:val="18"/>
                <w:rtl/>
              </w:rPr>
            </w:pPr>
            <w:r w:rsidRPr="008F588A">
              <w:rPr>
                <w:sz w:val="18"/>
                <w:szCs w:val="18"/>
                <w:rtl/>
              </w:rPr>
              <w:t xml:space="preserve">על אמיתות </w:t>
            </w:r>
            <w:r w:rsidRPr="008F588A">
              <w:rPr>
                <w:rFonts w:hint="cs"/>
                <w:sz w:val="18"/>
                <w:szCs w:val="18"/>
                <w:rtl/>
              </w:rPr>
              <w:t>התביעה</w:t>
            </w:r>
          </w:p>
        </w:tc>
        <w:tc>
          <w:tcPr>
            <w:tcW w:w="1530" w:type="dxa"/>
            <w:shd w:val="clear" w:color="auto" w:fill="auto"/>
            <w:vAlign w:val="center"/>
          </w:tcPr>
          <w:p w:rsidR="000E1D93" w:rsidRDefault="000E1D93" w:rsidP="00CD7D37">
            <w:pPr>
              <w:jc w:val="center"/>
              <w:rPr>
                <w:rFonts w:hint="cs"/>
                <w:rtl/>
              </w:rPr>
            </w:pPr>
            <w:r w:rsidRPr="008F588A">
              <w:rPr>
                <w:sz w:val="20"/>
                <w:szCs w:val="20"/>
                <w:rtl/>
              </w:rPr>
              <w:t>נשבע ונוטל</w:t>
            </w:r>
            <w:r w:rsidRPr="008F588A">
              <w:rPr>
                <w:rFonts w:hint="cs"/>
                <w:sz w:val="20"/>
                <w:szCs w:val="20"/>
                <w:rtl/>
              </w:rPr>
              <w:t xml:space="preserve"> </w:t>
            </w:r>
            <w:r w:rsidRPr="008F588A">
              <w:rPr>
                <w:sz w:val="20"/>
                <w:szCs w:val="20"/>
                <w:rtl/>
              </w:rPr>
              <w:t>מה שתבע</w:t>
            </w:r>
            <w:r w:rsidRPr="00D86C31">
              <w:rPr>
                <w:rStyle w:val="ae"/>
                <w:b/>
                <w:bCs/>
                <w:sz w:val="24"/>
                <w:szCs w:val="24"/>
                <w:rtl/>
              </w:rPr>
              <w:endnoteReference w:id="9"/>
            </w:r>
            <w:r>
              <w:rPr>
                <w:rFonts w:hint="cs"/>
                <w:rtl/>
              </w:rPr>
              <w:t xml:space="preserve"> </w:t>
            </w:r>
          </w:p>
        </w:tc>
        <w:tc>
          <w:tcPr>
            <w:tcW w:w="838" w:type="dxa"/>
            <w:vMerge/>
            <w:shd w:val="clear" w:color="auto" w:fill="auto"/>
            <w:vAlign w:val="center"/>
          </w:tcPr>
          <w:p w:rsidR="000E1D93" w:rsidRDefault="000E1D93" w:rsidP="00CD7D37">
            <w:pPr>
              <w:jc w:val="center"/>
              <w:rPr>
                <w:rtl/>
              </w:rPr>
            </w:pPr>
          </w:p>
        </w:tc>
        <w:tc>
          <w:tcPr>
            <w:tcW w:w="1080" w:type="dxa"/>
            <w:vMerge w:val="restart"/>
            <w:shd w:val="clear" w:color="auto" w:fill="auto"/>
            <w:vAlign w:val="center"/>
          </w:tcPr>
          <w:p w:rsidR="000E1D93" w:rsidRPr="000E1D93" w:rsidRDefault="0057316D" w:rsidP="000E1D93">
            <w:pPr>
              <w:jc w:val="center"/>
              <w:rPr>
                <w:rtl/>
              </w:rPr>
            </w:pPr>
            <w:r w:rsidRPr="0057316D">
              <w:rPr>
                <w:rFonts w:hint="cs"/>
                <w:sz w:val="20"/>
                <w:szCs w:val="20"/>
                <w:rtl/>
              </w:rPr>
              <w:t>י</w:t>
            </w:r>
            <w:r w:rsidR="000E1D93" w:rsidRPr="0057316D">
              <w:rPr>
                <w:sz w:val="20"/>
                <w:szCs w:val="20"/>
                <w:rtl/>
              </w:rPr>
              <w:t>ש אומרים מי שחייב שבועה דרבנן, אם קדם ותפס ולא רצה לישבע לא מפקינן מיני</w:t>
            </w:r>
            <w:r>
              <w:rPr>
                <w:rFonts w:hint="cs"/>
                <w:rtl/>
              </w:rPr>
              <w:t>ה</w:t>
            </w:r>
            <w:r>
              <w:rPr>
                <w:rStyle w:val="ae"/>
                <w:rtl/>
              </w:rPr>
              <w:endnoteReference w:id="10"/>
            </w:r>
          </w:p>
        </w:tc>
      </w:tr>
      <w:tr w:rsidR="000E1D93" w:rsidTr="00D86C31">
        <w:trPr>
          <w:trHeight w:val="491"/>
          <w:jc w:val="center"/>
        </w:trPr>
        <w:tc>
          <w:tcPr>
            <w:tcW w:w="1038" w:type="dxa"/>
            <w:vMerge/>
            <w:shd w:val="clear" w:color="auto" w:fill="DBE5F1" w:themeFill="accent1" w:themeFillTint="33"/>
            <w:vAlign w:val="center"/>
          </w:tcPr>
          <w:p w:rsidR="000E1D93" w:rsidRPr="00F1111D" w:rsidRDefault="000E1D93" w:rsidP="00CD7D37">
            <w:pPr>
              <w:jc w:val="center"/>
              <w:rPr>
                <w:b/>
                <w:bCs/>
                <w:color w:val="C00000"/>
                <w:rtl/>
              </w:rPr>
            </w:pPr>
          </w:p>
        </w:tc>
        <w:tc>
          <w:tcPr>
            <w:tcW w:w="2848" w:type="dxa"/>
            <w:gridSpan w:val="2"/>
            <w:shd w:val="clear" w:color="auto" w:fill="DBE5F1" w:themeFill="accent1" w:themeFillTint="33"/>
            <w:vAlign w:val="center"/>
          </w:tcPr>
          <w:p w:rsidR="000E1D93" w:rsidRDefault="000E1D93" w:rsidP="00CD7D37">
            <w:pPr>
              <w:jc w:val="center"/>
              <w:rPr>
                <w:rtl/>
              </w:rPr>
            </w:pPr>
            <w:r>
              <w:rPr>
                <w:rFonts w:hint="cs"/>
                <w:b/>
                <w:bCs/>
                <w:color w:val="C00000"/>
                <w:sz w:val="20"/>
                <w:szCs w:val="20"/>
                <w:rtl/>
              </w:rPr>
              <w:t xml:space="preserve">שבועת </w:t>
            </w:r>
            <w:r w:rsidRPr="00F1111D">
              <w:rPr>
                <w:b/>
                <w:bCs/>
                <w:color w:val="C00000"/>
                <w:sz w:val="20"/>
                <w:szCs w:val="20"/>
                <w:rtl/>
              </w:rPr>
              <w:t>הנגזל</w:t>
            </w:r>
            <w:r w:rsidRPr="00F1111D">
              <w:rPr>
                <w:rFonts w:hint="cs"/>
                <w:b/>
                <w:bCs/>
                <w:color w:val="C00000"/>
                <w:sz w:val="20"/>
                <w:szCs w:val="20"/>
                <w:rtl/>
              </w:rPr>
              <w:t xml:space="preserve"> </w:t>
            </w:r>
          </w:p>
        </w:tc>
        <w:tc>
          <w:tcPr>
            <w:tcW w:w="1384" w:type="dxa"/>
            <w:shd w:val="clear" w:color="auto" w:fill="auto"/>
            <w:vAlign w:val="center"/>
          </w:tcPr>
          <w:p w:rsidR="000E1D93" w:rsidRPr="00D86C31" w:rsidRDefault="000E1D93" w:rsidP="00CD7D37">
            <w:pPr>
              <w:jc w:val="center"/>
              <w:rPr>
                <w:rFonts w:hint="cs"/>
                <w:sz w:val="20"/>
                <w:szCs w:val="20"/>
                <w:rtl/>
              </w:rPr>
            </w:pPr>
            <w:r w:rsidRPr="00D86C31">
              <w:rPr>
                <w:sz w:val="20"/>
                <w:szCs w:val="20"/>
                <w:rtl/>
              </w:rPr>
              <w:t>הנגזל</w:t>
            </w:r>
          </w:p>
        </w:tc>
        <w:tc>
          <w:tcPr>
            <w:tcW w:w="1619" w:type="dxa"/>
            <w:shd w:val="clear" w:color="auto" w:fill="auto"/>
            <w:vAlign w:val="center"/>
          </w:tcPr>
          <w:p w:rsidR="000E1D93" w:rsidRPr="008F588A" w:rsidRDefault="000E1D93" w:rsidP="00CD7D37">
            <w:pPr>
              <w:jc w:val="center"/>
              <w:rPr>
                <w:sz w:val="18"/>
                <w:szCs w:val="18"/>
                <w:rtl/>
              </w:rPr>
            </w:pPr>
            <w:r w:rsidRPr="008F588A">
              <w:rPr>
                <w:sz w:val="18"/>
                <w:szCs w:val="18"/>
                <w:rtl/>
              </w:rPr>
              <w:t xml:space="preserve">על אמיתות </w:t>
            </w:r>
            <w:r w:rsidRPr="008F588A">
              <w:rPr>
                <w:rFonts w:hint="cs"/>
                <w:sz w:val="18"/>
                <w:szCs w:val="18"/>
                <w:rtl/>
              </w:rPr>
              <w:t>התביעה</w:t>
            </w:r>
          </w:p>
        </w:tc>
        <w:tc>
          <w:tcPr>
            <w:tcW w:w="1530" w:type="dxa"/>
            <w:shd w:val="clear" w:color="auto" w:fill="auto"/>
            <w:vAlign w:val="center"/>
          </w:tcPr>
          <w:p w:rsidR="000E1D93" w:rsidRPr="00D86C31" w:rsidRDefault="000E1D93" w:rsidP="00CD7D37">
            <w:pPr>
              <w:jc w:val="center"/>
              <w:rPr>
                <w:rFonts w:hint="cs"/>
                <w:sz w:val="20"/>
                <w:szCs w:val="20"/>
                <w:rtl/>
              </w:rPr>
            </w:pPr>
            <w:bookmarkStart w:id="6" w:name="OLE_LINK16"/>
            <w:r w:rsidRPr="00D86C31">
              <w:rPr>
                <w:sz w:val="20"/>
                <w:szCs w:val="20"/>
                <w:rtl/>
              </w:rPr>
              <w:t>נשבע ונוטל</w:t>
            </w:r>
            <w:r w:rsidRPr="00D86C31">
              <w:rPr>
                <w:rFonts w:hint="cs"/>
                <w:sz w:val="20"/>
                <w:szCs w:val="20"/>
                <w:rtl/>
              </w:rPr>
              <w:t xml:space="preserve"> </w:t>
            </w:r>
            <w:r w:rsidRPr="00D86C31">
              <w:rPr>
                <w:sz w:val="20"/>
                <w:szCs w:val="20"/>
                <w:rtl/>
              </w:rPr>
              <w:t>מה שתבע</w:t>
            </w:r>
            <w:r w:rsidRPr="00D86C31">
              <w:rPr>
                <w:rFonts w:hint="cs"/>
                <w:sz w:val="20"/>
                <w:szCs w:val="20"/>
                <w:rtl/>
              </w:rPr>
              <w:t xml:space="preserve"> </w:t>
            </w:r>
            <w:bookmarkEnd w:id="6"/>
          </w:p>
        </w:tc>
        <w:tc>
          <w:tcPr>
            <w:tcW w:w="838" w:type="dxa"/>
            <w:vMerge/>
            <w:shd w:val="clear" w:color="auto" w:fill="auto"/>
            <w:vAlign w:val="center"/>
          </w:tcPr>
          <w:p w:rsidR="000E1D93" w:rsidRDefault="000E1D93" w:rsidP="00CD7D37">
            <w:pPr>
              <w:jc w:val="center"/>
              <w:rPr>
                <w:rtl/>
              </w:rPr>
            </w:pPr>
          </w:p>
        </w:tc>
        <w:tc>
          <w:tcPr>
            <w:tcW w:w="1080" w:type="dxa"/>
            <w:vMerge/>
            <w:shd w:val="clear" w:color="auto" w:fill="auto"/>
            <w:vAlign w:val="center"/>
          </w:tcPr>
          <w:p w:rsidR="000E1D93" w:rsidRDefault="000E1D93" w:rsidP="00CD7D37">
            <w:pPr>
              <w:jc w:val="center"/>
              <w:rPr>
                <w:rtl/>
              </w:rPr>
            </w:pPr>
          </w:p>
        </w:tc>
      </w:tr>
      <w:tr w:rsidR="000E1D93" w:rsidTr="00D86C31">
        <w:trPr>
          <w:trHeight w:val="398"/>
          <w:jc w:val="center"/>
        </w:trPr>
        <w:tc>
          <w:tcPr>
            <w:tcW w:w="1038" w:type="dxa"/>
            <w:vMerge/>
            <w:shd w:val="clear" w:color="auto" w:fill="DBE5F1" w:themeFill="accent1" w:themeFillTint="33"/>
            <w:vAlign w:val="center"/>
          </w:tcPr>
          <w:p w:rsidR="000E1D93" w:rsidRPr="00F1111D" w:rsidRDefault="000E1D93" w:rsidP="00CD7D37">
            <w:pPr>
              <w:jc w:val="center"/>
              <w:rPr>
                <w:b/>
                <w:bCs/>
                <w:color w:val="C00000"/>
                <w:rtl/>
              </w:rPr>
            </w:pPr>
          </w:p>
        </w:tc>
        <w:tc>
          <w:tcPr>
            <w:tcW w:w="2848" w:type="dxa"/>
            <w:gridSpan w:val="2"/>
            <w:shd w:val="clear" w:color="auto" w:fill="DBE5F1" w:themeFill="accent1" w:themeFillTint="33"/>
            <w:vAlign w:val="center"/>
          </w:tcPr>
          <w:p w:rsidR="000E1D93" w:rsidRDefault="000E1D93" w:rsidP="00CD7D37">
            <w:pPr>
              <w:jc w:val="center"/>
              <w:rPr>
                <w:rtl/>
              </w:rPr>
            </w:pPr>
            <w:r>
              <w:rPr>
                <w:rFonts w:hint="cs"/>
                <w:b/>
                <w:bCs/>
                <w:color w:val="C00000"/>
                <w:sz w:val="20"/>
                <w:szCs w:val="20"/>
                <w:rtl/>
              </w:rPr>
              <w:t xml:space="preserve">שבועת </w:t>
            </w:r>
            <w:r w:rsidRPr="00F1111D">
              <w:rPr>
                <w:b/>
                <w:bCs/>
                <w:color w:val="C00000"/>
                <w:sz w:val="20"/>
                <w:szCs w:val="20"/>
                <w:rtl/>
              </w:rPr>
              <w:t>הנחבל</w:t>
            </w:r>
          </w:p>
        </w:tc>
        <w:tc>
          <w:tcPr>
            <w:tcW w:w="1384" w:type="dxa"/>
            <w:shd w:val="clear" w:color="auto" w:fill="auto"/>
            <w:vAlign w:val="center"/>
          </w:tcPr>
          <w:p w:rsidR="000E1D93" w:rsidRPr="00D86C31" w:rsidRDefault="000E1D93" w:rsidP="00CD7D37">
            <w:pPr>
              <w:jc w:val="center"/>
              <w:rPr>
                <w:rFonts w:hint="cs"/>
                <w:sz w:val="20"/>
                <w:szCs w:val="20"/>
                <w:rtl/>
              </w:rPr>
            </w:pPr>
            <w:r w:rsidRPr="00D86C31">
              <w:rPr>
                <w:sz w:val="20"/>
                <w:szCs w:val="20"/>
                <w:rtl/>
              </w:rPr>
              <w:t>הנחבל</w:t>
            </w:r>
          </w:p>
        </w:tc>
        <w:tc>
          <w:tcPr>
            <w:tcW w:w="1619" w:type="dxa"/>
            <w:shd w:val="clear" w:color="auto" w:fill="auto"/>
            <w:vAlign w:val="center"/>
          </w:tcPr>
          <w:p w:rsidR="000E1D93" w:rsidRPr="008F588A" w:rsidRDefault="000E1D93" w:rsidP="00CD7D37">
            <w:pPr>
              <w:jc w:val="center"/>
              <w:rPr>
                <w:sz w:val="18"/>
                <w:szCs w:val="18"/>
                <w:rtl/>
              </w:rPr>
            </w:pPr>
            <w:r w:rsidRPr="008F588A">
              <w:rPr>
                <w:sz w:val="18"/>
                <w:szCs w:val="18"/>
                <w:rtl/>
              </w:rPr>
              <w:t xml:space="preserve">על אמיתות </w:t>
            </w:r>
            <w:r w:rsidRPr="008F588A">
              <w:rPr>
                <w:rFonts w:hint="cs"/>
                <w:sz w:val="18"/>
                <w:szCs w:val="18"/>
                <w:rtl/>
              </w:rPr>
              <w:t>התביעה</w:t>
            </w:r>
          </w:p>
        </w:tc>
        <w:tc>
          <w:tcPr>
            <w:tcW w:w="1530" w:type="dxa"/>
            <w:shd w:val="clear" w:color="auto" w:fill="auto"/>
            <w:vAlign w:val="center"/>
          </w:tcPr>
          <w:p w:rsidR="000E1D93" w:rsidRPr="00D86C31" w:rsidRDefault="000E1D93" w:rsidP="00CD7D37">
            <w:pPr>
              <w:jc w:val="center"/>
              <w:rPr>
                <w:rFonts w:hint="cs"/>
                <w:sz w:val="20"/>
                <w:szCs w:val="20"/>
                <w:rtl/>
              </w:rPr>
            </w:pPr>
            <w:r w:rsidRPr="00D86C31">
              <w:rPr>
                <w:sz w:val="20"/>
                <w:szCs w:val="20"/>
                <w:rtl/>
              </w:rPr>
              <w:t>נשבע ונוטל</w:t>
            </w:r>
            <w:r w:rsidRPr="00D86C31">
              <w:rPr>
                <w:rFonts w:hint="cs"/>
                <w:sz w:val="20"/>
                <w:szCs w:val="20"/>
                <w:rtl/>
              </w:rPr>
              <w:t xml:space="preserve"> </w:t>
            </w:r>
            <w:r w:rsidRPr="00D86C31">
              <w:rPr>
                <w:sz w:val="20"/>
                <w:szCs w:val="20"/>
                <w:rtl/>
              </w:rPr>
              <w:t>מה שתבע</w:t>
            </w:r>
          </w:p>
        </w:tc>
        <w:tc>
          <w:tcPr>
            <w:tcW w:w="838" w:type="dxa"/>
            <w:vMerge/>
            <w:shd w:val="clear" w:color="auto" w:fill="auto"/>
            <w:vAlign w:val="center"/>
          </w:tcPr>
          <w:p w:rsidR="000E1D93" w:rsidRDefault="000E1D93" w:rsidP="00CD7D37">
            <w:pPr>
              <w:jc w:val="center"/>
              <w:rPr>
                <w:rtl/>
              </w:rPr>
            </w:pPr>
          </w:p>
        </w:tc>
        <w:tc>
          <w:tcPr>
            <w:tcW w:w="1080" w:type="dxa"/>
            <w:vMerge/>
            <w:shd w:val="clear" w:color="auto" w:fill="auto"/>
            <w:vAlign w:val="center"/>
          </w:tcPr>
          <w:p w:rsidR="000E1D93" w:rsidRDefault="000E1D93" w:rsidP="00CD7D37">
            <w:pPr>
              <w:jc w:val="center"/>
              <w:rPr>
                <w:rtl/>
              </w:rPr>
            </w:pPr>
          </w:p>
        </w:tc>
      </w:tr>
      <w:tr w:rsidR="000E1D93" w:rsidTr="00D86C31">
        <w:trPr>
          <w:trHeight w:val="590"/>
          <w:jc w:val="center"/>
        </w:trPr>
        <w:tc>
          <w:tcPr>
            <w:tcW w:w="1038" w:type="dxa"/>
            <w:vMerge/>
            <w:shd w:val="clear" w:color="auto" w:fill="DBE5F1" w:themeFill="accent1" w:themeFillTint="33"/>
            <w:vAlign w:val="center"/>
          </w:tcPr>
          <w:p w:rsidR="000E1D93" w:rsidRPr="00F1111D" w:rsidRDefault="000E1D93" w:rsidP="00CD7D37">
            <w:pPr>
              <w:jc w:val="center"/>
              <w:rPr>
                <w:b/>
                <w:bCs/>
                <w:color w:val="C00000"/>
                <w:rtl/>
              </w:rPr>
            </w:pPr>
          </w:p>
        </w:tc>
        <w:tc>
          <w:tcPr>
            <w:tcW w:w="2848" w:type="dxa"/>
            <w:gridSpan w:val="2"/>
            <w:shd w:val="clear" w:color="auto" w:fill="DBE5F1" w:themeFill="accent1" w:themeFillTint="33"/>
            <w:vAlign w:val="center"/>
          </w:tcPr>
          <w:p w:rsidR="000E1D93" w:rsidRPr="00F1111D" w:rsidRDefault="000E1D93" w:rsidP="00CD7D37">
            <w:pPr>
              <w:jc w:val="center"/>
              <w:rPr>
                <w:rFonts w:hint="cs"/>
                <w:b/>
                <w:bCs/>
                <w:color w:val="C00000"/>
                <w:sz w:val="20"/>
                <w:szCs w:val="20"/>
                <w:rtl/>
              </w:rPr>
            </w:pPr>
            <w:r w:rsidRPr="00F1111D">
              <w:rPr>
                <w:rFonts w:hint="cs"/>
                <w:b/>
                <w:bCs/>
                <w:color w:val="C00000"/>
                <w:sz w:val="20"/>
                <w:szCs w:val="20"/>
                <w:rtl/>
              </w:rPr>
              <w:t>החשוד על השבועה</w:t>
            </w:r>
            <w:r w:rsidRPr="00D86C31">
              <w:rPr>
                <w:rStyle w:val="ae"/>
                <w:b/>
                <w:bCs/>
                <w:sz w:val="24"/>
                <w:szCs w:val="24"/>
                <w:rtl/>
              </w:rPr>
              <w:endnoteReference w:id="11"/>
            </w:r>
          </w:p>
        </w:tc>
        <w:tc>
          <w:tcPr>
            <w:tcW w:w="1384" w:type="dxa"/>
            <w:shd w:val="clear" w:color="auto" w:fill="auto"/>
            <w:vAlign w:val="center"/>
          </w:tcPr>
          <w:p w:rsidR="000E1D93" w:rsidRPr="00D55145" w:rsidRDefault="000E1D93" w:rsidP="00CD7D37">
            <w:pPr>
              <w:jc w:val="center"/>
              <w:rPr>
                <w:rFonts w:hint="cs"/>
                <w:rtl/>
              </w:rPr>
            </w:pPr>
            <w:r w:rsidRPr="00D86C31">
              <w:rPr>
                <w:rFonts w:hint="cs"/>
                <w:sz w:val="20"/>
                <w:szCs w:val="20"/>
                <w:rtl/>
              </w:rPr>
              <w:t>התובע</w:t>
            </w:r>
            <w:r w:rsidRPr="00D86C31">
              <w:rPr>
                <w:rStyle w:val="ae"/>
                <w:b/>
                <w:bCs/>
                <w:sz w:val="24"/>
                <w:szCs w:val="24"/>
                <w:rtl/>
              </w:rPr>
              <w:endnoteReference w:id="12"/>
            </w:r>
          </w:p>
        </w:tc>
        <w:tc>
          <w:tcPr>
            <w:tcW w:w="1619" w:type="dxa"/>
            <w:shd w:val="clear" w:color="auto" w:fill="auto"/>
            <w:vAlign w:val="center"/>
          </w:tcPr>
          <w:p w:rsidR="000E1D93" w:rsidRPr="008F588A" w:rsidRDefault="000E1D93" w:rsidP="00CD7D37">
            <w:pPr>
              <w:jc w:val="center"/>
              <w:rPr>
                <w:sz w:val="18"/>
                <w:szCs w:val="18"/>
                <w:rtl/>
              </w:rPr>
            </w:pPr>
            <w:r w:rsidRPr="008F588A">
              <w:rPr>
                <w:sz w:val="18"/>
                <w:szCs w:val="18"/>
                <w:rtl/>
              </w:rPr>
              <w:t xml:space="preserve">על אמיתות </w:t>
            </w:r>
            <w:r w:rsidRPr="008F588A">
              <w:rPr>
                <w:rFonts w:hint="cs"/>
                <w:sz w:val="18"/>
                <w:szCs w:val="18"/>
                <w:rtl/>
              </w:rPr>
              <w:t>התביעה</w:t>
            </w:r>
          </w:p>
        </w:tc>
        <w:tc>
          <w:tcPr>
            <w:tcW w:w="1530" w:type="dxa"/>
            <w:shd w:val="clear" w:color="auto" w:fill="auto"/>
            <w:vAlign w:val="center"/>
          </w:tcPr>
          <w:p w:rsidR="000E1D93" w:rsidRPr="00D86C31" w:rsidRDefault="000E1D93" w:rsidP="00CD7D37">
            <w:pPr>
              <w:jc w:val="center"/>
              <w:rPr>
                <w:sz w:val="20"/>
                <w:szCs w:val="20"/>
                <w:rtl/>
              </w:rPr>
            </w:pPr>
            <w:r w:rsidRPr="00D86C31">
              <w:rPr>
                <w:rFonts w:hint="cs"/>
                <w:sz w:val="20"/>
                <w:szCs w:val="20"/>
                <w:rtl/>
              </w:rPr>
              <w:t>נשבע ונוטל</w:t>
            </w:r>
          </w:p>
        </w:tc>
        <w:tc>
          <w:tcPr>
            <w:tcW w:w="838" w:type="dxa"/>
            <w:vMerge/>
            <w:shd w:val="clear" w:color="auto" w:fill="auto"/>
            <w:vAlign w:val="center"/>
          </w:tcPr>
          <w:p w:rsidR="000E1D93" w:rsidRDefault="000E1D93" w:rsidP="00CD7D37">
            <w:pPr>
              <w:jc w:val="center"/>
              <w:rPr>
                <w:rFonts w:hint="cs"/>
                <w:rtl/>
              </w:rPr>
            </w:pPr>
          </w:p>
        </w:tc>
        <w:tc>
          <w:tcPr>
            <w:tcW w:w="1080" w:type="dxa"/>
            <w:vMerge/>
            <w:shd w:val="clear" w:color="auto" w:fill="auto"/>
            <w:vAlign w:val="center"/>
          </w:tcPr>
          <w:p w:rsidR="000E1D93" w:rsidRDefault="000E1D93" w:rsidP="00CD7D37">
            <w:pPr>
              <w:jc w:val="center"/>
              <w:rPr>
                <w:rtl/>
              </w:rPr>
            </w:pPr>
          </w:p>
        </w:tc>
      </w:tr>
      <w:tr w:rsidR="00FA3BB7" w:rsidTr="00D86C31">
        <w:trPr>
          <w:trHeight w:val="540"/>
          <w:jc w:val="center"/>
        </w:trPr>
        <w:tc>
          <w:tcPr>
            <w:tcW w:w="1038" w:type="dxa"/>
            <w:vMerge/>
            <w:shd w:val="clear" w:color="auto" w:fill="DBE5F1" w:themeFill="accent1" w:themeFillTint="33"/>
            <w:vAlign w:val="center"/>
          </w:tcPr>
          <w:p w:rsidR="00FA3BB7" w:rsidRPr="008B1B9C" w:rsidRDefault="00FA3BB7" w:rsidP="00CD7D37">
            <w:pPr>
              <w:jc w:val="center"/>
              <w:rPr>
                <w:b/>
                <w:bCs/>
                <w:color w:val="C00000"/>
                <w:sz w:val="24"/>
                <w:szCs w:val="24"/>
                <w:rtl/>
              </w:rPr>
            </w:pPr>
          </w:p>
        </w:tc>
        <w:tc>
          <w:tcPr>
            <w:tcW w:w="1611" w:type="dxa"/>
            <w:vMerge w:val="restart"/>
            <w:shd w:val="clear" w:color="auto" w:fill="DBE5F1" w:themeFill="accent1" w:themeFillTint="33"/>
            <w:vAlign w:val="center"/>
          </w:tcPr>
          <w:p w:rsidR="00FA3BB7" w:rsidRPr="00C20984" w:rsidRDefault="00FA3BB7" w:rsidP="00CD7D37">
            <w:pPr>
              <w:jc w:val="center"/>
              <w:rPr>
                <w:color w:val="C00000"/>
                <w:rtl/>
              </w:rPr>
            </w:pPr>
            <w:r w:rsidRPr="00F1111D">
              <w:rPr>
                <w:b/>
                <w:bCs/>
                <w:color w:val="C00000"/>
                <w:sz w:val="20"/>
                <w:szCs w:val="20"/>
                <w:rtl/>
              </w:rPr>
              <w:t>שבועות הנוטלי</w:t>
            </w:r>
            <w:r>
              <w:rPr>
                <w:rFonts w:hint="cs"/>
                <w:b/>
                <w:bCs/>
                <w:color w:val="C00000"/>
                <w:sz w:val="20"/>
                <w:szCs w:val="20"/>
                <w:rtl/>
              </w:rPr>
              <w:t>ן</w:t>
            </w:r>
            <w:r w:rsidRPr="00D86C31">
              <w:rPr>
                <w:rStyle w:val="ae"/>
                <w:b/>
                <w:bCs/>
                <w:sz w:val="24"/>
                <w:szCs w:val="24"/>
                <w:rtl/>
              </w:rPr>
              <w:endnoteReference w:id="13"/>
            </w:r>
          </w:p>
        </w:tc>
        <w:tc>
          <w:tcPr>
            <w:tcW w:w="1237" w:type="dxa"/>
            <w:shd w:val="clear" w:color="auto" w:fill="F7FDFF"/>
            <w:vAlign w:val="center"/>
          </w:tcPr>
          <w:p w:rsidR="00FA3BB7" w:rsidRPr="008F588A" w:rsidRDefault="00FA3BB7" w:rsidP="00CD7D37">
            <w:pPr>
              <w:pStyle w:val="a7"/>
              <w:numPr>
                <w:ilvl w:val="0"/>
                <w:numId w:val="6"/>
              </w:numPr>
              <w:ind w:left="203" w:hanging="203"/>
              <w:jc w:val="center"/>
              <w:rPr>
                <w:sz w:val="20"/>
                <w:szCs w:val="20"/>
                <w:rtl/>
              </w:rPr>
            </w:pPr>
            <w:r w:rsidRPr="008F588A">
              <w:rPr>
                <w:sz w:val="20"/>
                <w:szCs w:val="20"/>
                <w:rtl/>
              </w:rPr>
              <w:t xml:space="preserve">מעיקר הדין </w:t>
            </w:r>
            <w:r w:rsidRPr="008F588A">
              <w:rPr>
                <w:sz w:val="20"/>
                <w:szCs w:val="20"/>
                <w:u w:val="single"/>
                <w:rtl/>
              </w:rPr>
              <w:t>אין</w:t>
            </w:r>
            <w:r w:rsidRPr="008F588A">
              <w:rPr>
                <w:sz w:val="20"/>
                <w:szCs w:val="20"/>
                <w:rtl/>
              </w:rPr>
              <w:br/>
              <w:t xml:space="preserve">לתובע </w:t>
            </w:r>
            <w:r w:rsidRPr="008F588A">
              <w:rPr>
                <w:sz w:val="20"/>
                <w:szCs w:val="20"/>
                <w:u w:val="single"/>
                <w:rtl/>
              </w:rPr>
              <w:t>נאמנות</w:t>
            </w:r>
            <w:r w:rsidRPr="008F588A">
              <w:rPr>
                <w:sz w:val="20"/>
                <w:szCs w:val="20"/>
                <w:rtl/>
              </w:rPr>
              <w:t xml:space="preserve"> להוציא ממון מהנתבע</w:t>
            </w:r>
          </w:p>
        </w:tc>
        <w:tc>
          <w:tcPr>
            <w:tcW w:w="1384" w:type="dxa"/>
            <w:vMerge w:val="restart"/>
            <w:shd w:val="clear" w:color="auto" w:fill="auto"/>
            <w:vAlign w:val="center"/>
          </w:tcPr>
          <w:p w:rsidR="00FA3BB7" w:rsidRDefault="00FA3BB7" w:rsidP="00CD7D37">
            <w:pPr>
              <w:jc w:val="center"/>
              <w:rPr>
                <w:rtl/>
              </w:rPr>
            </w:pPr>
            <w:r w:rsidRPr="00D86C31">
              <w:rPr>
                <w:rFonts w:hint="cs"/>
                <w:sz w:val="20"/>
                <w:szCs w:val="20"/>
                <w:rtl/>
              </w:rPr>
              <w:t>התובע</w:t>
            </w:r>
          </w:p>
        </w:tc>
        <w:tc>
          <w:tcPr>
            <w:tcW w:w="1619" w:type="dxa"/>
            <w:vMerge w:val="restart"/>
            <w:shd w:val="clear" w:color="auto" w:fill="auto"/>
            <w:vAlign w:val="center"/>
          </w:tcPr>
          <w:p w:rsidR="00FA3BB7" w:rsidRPr="00FE1118" w:rsidRDefault="00FA3BB7" w:rsidP="00CD7D37">
            <w:pPr>
              <w:jc w:val="center"/>
              <w:rPr>
                <w:rtl/>
              </w:rPr>
            </w:pPr>
            <w:r w:rsidRPr="00D86C31">
              <w:rPr>
                <w:sz w:val="20"/>
                <w:szCs w:val="20"/>
                <w:rtl/>
              </w:rPr>
              <w:t>כ</w:t>
            </w:r>
            <w:r w:rsidRPr="00D86C31">
              <w:rPr>
                <w:rFonts w:hint="cs"/>
                <w:sz w:val="20"/>
                <w:szCs w:val="20"/>
                <w:rtl/>
              </w:rPr>
              <w:t>ד</w:t>
            </w:r>
            <w:r w:rsidRPr="00D86C31">
              <w:rPr>
                <w:sz w:val="20"/>
                <w:szCs w:val="20"/>
                <w:rtl/>
              </w:rPr>
              <w:t>י שיוכל ליטול את הממון שתבע בדין</w:t>
            </w:r>
          </w:p>
        </w:tc>
        <w:tc>
          <w:tcPr>
            <w:tcW w:w="1530" w:type="dxa"/>
            <w:shd w:val="clear" w:color="auto" w:fill="auto"/>
            <w:vAlign w:val="center"/>
          </w:tcPr>
          <w:p w:rsidR="00FA3BB7" w:rsidRDefault="00FA3BB7" w:rsidP="00CD7D37">
            <w:pPr>
              <w:jc w:val="center"/>
              <w:rPr>
                <w:rtl/>
              </w:rPr>
            </w:pPr>
            <w:r w:rsidRPr="00D86C31">
              <w:rPr>
                <w:rFonts w:hint="cs"/>
                <w:sz w:val="20"/>
                <w:szCs w:val="20"/>
                <w:rtl/>
              </w:rPr>
              <w:t>נוטל</w:t>
            </w:r>
            <w:r w:rsidRPr="00D86C31">
              <w:rPr>
                <w:rStyle w:val="ae"/>
                <w:b/>
                <w:bCs/>
                <w:sz w:val="24"/>
                <w:szCs w:val="24"/>
                <w:rtl/>
              </w:rPr>
              <w:endnoteReference w:id="14"/>
            </w:r>
            <w:r>
              <w:rPr>
                <w:rFonts w:hint="cs"/>
                <w:rtl/>
              </w:rPr>
              <w:t xml:space="preserve"> </w:t>
            </w:r>
            <w:r w:rsidRPr="00D86C31">
              <w:rPr>
                <w:rFonts w:hint="cs"/>
                <w:sz w:val="20"/>
                <w:szCs w:val="20"/>
                <w:rtl/>
              </w:rPr>
              <w:t>על מה שנשבע</w:t>
            </w:r>
          </w:p>
        </w:tc>
        <w:tc>
          <w:tcPr>
            <w:tcW w:w="838" w:type="dxa"/>
            <w:vMerge w:val="restart"/>
            <w:shd w:val="clear" w:color="auto" w:fill="auto"/>
            <w:vAlign w:val="center"/>
          </w:tcPr>
          <w:p w:rsidR="00FA3BB7" w:rsidRDefault="00FA3BB7" w:rsidP="00CD7D37">
            <w:pPr>
              <w:jc w:val="center"/>
              <w:rPr>
                <w:rtl/>
              </w:rPr>
            </w:pPr>
            <w:r w:rsidRPr="00D86C31">
              <w:rPr>
                <w:rFonts w:hint="cs"/>
                <w:sz w:val="20"/>
                <w:szCs w:val="20"/>
                <w:rtl/>
              </w:rPr>
              <w:t>לא</w:t>
            </w:r>
            <w:r w:rsidRPr="00D86C31">
              <w:rPr>
                <w:rStyle w:val="ae"/>
                <w:b/>
                <w:bCs/>
                <w:sz w:val="24"/>
                <w:szCs w:val="24"/>
                <w:rtl/>
              </w:rPr>
              <w:endnoteReference w:id="15"/>
            </w:r>
          </w:p>
        </w:tc>
        <w:tc>
          <w:tcPr>
            <w:tcW w:w="1080" w:type="dxa"/>
            <w:vMerge w:val="restart"/>
            <w:shd w:val="clear" w:color="auto" w:fill="auto"/>
            <w:vAlign w:val="center"/>
          </w:tcPr>
          <w:p w:rsidR="00FA3BB7" w:rsidRDefault="00FA3BB7" w:rsidP="00CD7D37">
            <w:pPr>
              <w:jc w:val="center"/>
              <w:rPr>
                <w:rtl/>
              </w:rPr>
            </w:pPr>
            <w:r w:rsidRPr="00D86C31">
              <w:rPr>
                <w:sz w:val="20"/>
                <w:szCs w:val="20"/>
                <w:rtl/>
              </w:rPr>
              <w:t xml:space="preserve">אפילו תפס מהנתבע </w:t>
            </w:r>
            <w:bookmarkStart w:id="10" w:name="OLE_LINK11"/>
            <w:r w:rsidRPr="00D86C31">
              <w:rPr>
                <w:sz w:val="20"/>
                <w:szCs w:val="20"/>
                <w:rtl/>
              </w:rPr>
              <w:t>מוציאים את הממון מידו</w:t>
            </w:r>
            <w:bookmarkEnd w:id="10"/>
            <w:r w:rsidRPr="00D86C31">
              <w:rPr>
                <w:rStyle w:val="ae"/>
                <w:b/>
                <w:bCs/>
                <w:sz w:val="24"/>
                <w:szCs w:val="24"/>
                <w:rtl/>
              </w:rPr>
              <w:endnoteReference w:id="16"/>
            </w:r>
          </w:p>
          <w:p w:rsidR="00CD4F43" w:rsidRPr="004E6F58" w:rsidRDefault="00CD4F43" w:rsidP="00CD7D37">
            <w:pPr>
              <w:jc w:val="center"/>
              <w:rPr>
                <w:color w:val="C00000"/>
                <w:sz w:val="16"/>
                <w:szCs w:val="16"/>
                <w:rtl/>
              </w:rPr>
            </w:pPr>
            <w:r w:rsidRPr="004E6F58">
              <w:rPr>
                <w:rFonts w:hint="cs"/>
                <w:color w:val="C00000"/>
                <w:sz w:val="16"/>
                <w:szCs w:val="16"/>
                <w:rtl/>
              </w:rPr>
              <w:t>(וראה הערה 19)</w:t>
            </w:r>
          </w:p>
          <w:p w:rsidR="00FA3BB7" w:rsidRDefault="00FA3BB7" w:rsidP="00CD7D37">
            <w:pPr>
              <w:jc w:val="center"/>
              <w:rPr>
                <w:rtl/>
              </w:rPr>
            </w:pPr>
          </w:p>
          <w:p w:rsidR="00FA3BB7" w:rsidRDefault="00FA3BB7" w:rsidP="00CD7D37">
            <w:pPr>
              <w:jc w:val="center"/>
              <w:rPr>
                <w:rtl/>
              </w:rPr>
            </w:pPr>
          </w:p>
          <w:p w:rsidR="00FA3BB7" w:rsidRDefault="00FA3BB7" w:rsidP="00CD7D37">
            <w:pPr>
              <w:jc w:val="center"/>
              <w:rPr>
                <w:rtl/>
              </w:rPr>
            </w:pPr>
          </w:p>
        </w:tc>
      </w:tr>
      <w:tr w:rsidR="00FA3BB7" w:rsidTr="00D86C31">
        <w:trPr>
          <w:trHeight w:val="457"/>
          <w:jc w:val="center"/>
        </w:trPr>
        <w:tc>
          <w:tcPr>
            <w:tcW w:w="1038" w:type="dxa"/>
            <w:vMerge/>
            <w:shd w:val="clear" w:color="auto" w:fill="DBE5F1" w:themeFill="accent1" w:themeFillTint="33"/>
            <w:vAlign w:val="center"/>
          </w:tcPr>
          <w:p w:rsidR="00FA3BB7" w:rsidRPr="008B1B9C" w:rsidRDefault="00FA3BB7" w:rsidP="00CD7D37">
            <w:pPr>
              <w:jc w:val="center"/>
              <w:rPr>
                <w:b/>
                <w:bCs/>
                <w:color w:val="C00000"/>
                <w:sz w:val="24"/>
                <w:szCs w:val="24"/>
                <w:rtl/>
              </w:rPr>
            </w:pPr>
          </w:p>
        </w:tc>
        <w:tc>
          <w:tcPr>
            <w:tcW w:w="1611" w:type="dxa"/>
            <w:vMerge/>
            <w:shd w:val="clear" w:color="auto" w:fill="DBE5F1" w:themeFill="accent1" w:themeFillTint="33"/>
            <w:vAlign w:val="center"/>
          </w:tcPr>
          <w:p w:rsidR="00FA3BB7" w:rsidRPr="00B87E80" w:rsidRDefault="00FA3BB7" w:rsidP="00CD7D37">
            <w:pPr>
              <w:jc w:val="center"/>
              <w:rPr>
                <w:b/>
                <w:bCs/>
                <w:color w:val="C00000"/>
                <w:rtl/>
              </w:rPr>
            </w:pPr>
          </w:p>
        </w:tc>
        <w:tc>
          <w:tcPr>
            <w:tcW w:w="1237" w:type="dxa"/>
            <w:shd w:val="clear" w:color="auto" w:fill="F7FDFF"/>
            <w:vAlign w:val="center"/>
          </w:tcPr>
          <w:p w:rsidR="00FA3BB7" w:rsidRPr="008F588A" w:rsidRDefault="00FA3BB7" w:rsidP="00CD7D37">
            <w:pPr>
              <w:pStyle w:val="a7"/>
              <w:numPr>
                <w:ilvl w:val="0"/>
                <w:numId w:val="6"/>
              </w:numPr>
              <w:ind w:left="203" w:hanging="203"/>
              <w:jc w:val="center"/>
              <w:rPr>
                <w:sz w:val="20"/>
                <w:szCs w:val="20"/>
                <w:rtl/>
              </w:rPr>
            </w:pPr>
            <w:r w:rsidRPr="008F588A">
              <w:rPr>
                <w:sz w:val="20"/>
                <w:szCs w:val="20"/>
                <w:rtl/>
              </w:rPr>
              <w:t>מעיקר ה</w:t>
            </w:r>
            <w:r w:rsidRPr="008F588A">
              <w:rPr>
                <w:rFonts w:hint="cs"/>
                <w:sz w:val="20"/>
                <w:szCs w:val="20"/>
                <w:rtl/>
              </w:rPr>
              <w:t>ד</w:t>
            </w:r>
            <w:r w:rsidRPr="008F588A">
              <w:rPr>
                <w:sz w:val="20"/>
                <w:szCs w:val="20"/>
                <w:rtl/>
              </w:rPr>
              <w:t xml:space="preserve">ין </w:t>
            </w:r>
            <w:r w:rsidRPr="008F588A">
              <w:rPr>
                <w:sz w:val="20"/>
                <w:szCs w:val="20"/>
                <w:u w:val="single"/>
                <w:rtl/>
              </w:rPr>
              <w:t xml:space="preserve">יש </w:t>
            </w:r>
            <w:r w:rsidRPr="008F588A">
              <w:rPr>
                <w:sz w:val="20"/>
                <w:szCs w:val="20"/>
                <w:rtl/>
              </w:rPr>
              <w:t xml:space="preserve">לתובע </w:t>
            </w:r>
            <w:r w:rsidRPr="008F588A">
              <w:rPr>
                <w:sz w:val="20"/>
                <w:szCs w:val="20"/>
                <w:u w:val="single"/>
                <w:rtl/>
              </w:rPr>
              <w:t>ראיה</w:t>
            </w:r>
            <w:r w:rsidRPr="008F588A">
              <w:rPr>
                <w:sz w:val="20"/>
                <w:szCs w:val="20"/>
                <w:rtl/>
              </w:rPr>
              <w:t xml:space="preserve"> מספיקה לטענתו</w:t>
            </w:r>
          </w:p>
        </w:tc>
        <w:tc>
          <w:tcPr>
            <w:tcW w:w="1384" w:type="dxa"/>
            <w:vMerge/>
            <w:shd w:val="clear" w:color="auto" w:fill="auto"/>
            <w:vAlign w:val="center"/>
          </w:tcPr>
          <w:p w:rsidR="00FA3BB7" w:rsidRDefault="00FA3BB7" w:rsidP="00CD7D37">
            <w:pPr>
              <w:jc w:val="center"/>
              <w:rPr>
                <w:rtl/>
              </w:rPr>
            </w:pPr>
          </w:p>
        </w:tc>
        <w:tc>
          <w:tcPr>
            <w:tcW w:w="1619" w:type="dxa"/>
            <w:vMerge/>
            <w:shd w:val="clear" w:color="auto" w:fill="auto"/>
            <w:vAlign w:val="center"/>
          </w:tcPr>
          <w:p w:rsidR="00FA3BB7" w:rsidRPr="00FE1118" w:rsidRDefault="00FA3BB7" w:rsidP="00CD7D37">
            <w:pPr>
              <w:jc w:val="center"/>
              <w:rPr>
                <w:rtl/>
              </w:rPr>
            </w:pPr>
          </w:p>
        </w:tc>
        <w:tc>
          <w:tcPr>
            <w:tcW w:w="1530" w:type="dxa"/>
            <w:shd w:val="clear" w:color="auto" w:fill="auto"/>
            <w:vAlign w:val="center"/>
          </w:tcPr>
          <w:p w:rsidR="00FA3BB7" w:rsidRDefault="00FA3BB7" w:rsidP="00CD7D37">
            <w:pPr>
              <w:jc w:val="center"/>
              <w:rPr>
                <w:rtl/>
              </w:rPr>
            </w:pPr>
            <w:r w:rsidRPr="00D86C31">
              <w:rPr>
                <w:rFonts w:hint="cs"/>
                <w:sz w:val="20"/>
                <w:szCs w:val="20"/>
                <w:rtl/>
              </w:rPr>
              <w:t>נוטל</w:t>
            </w:r>
            <w:r w:rsidRPr="00D86C31">
              <w:rPr>
                <w:rStyle w:val="ae"/>
                <w:b/>
                <w:bCs/>
                <w:sz w:val="24"/>
                <w:szCs w:val="24"/>
                <w:rtl/>
              </w:rPr>
              <w:endnoteReference w:id="17"/>
            </w:r>
            <w:r>
              <w:rPr>
                <w:rFonts w:hint="cs"/>
                <w:rtl/>
              </w:rPr>
              <w:t xml:space="preserve"> </w:t>
            </w:r>
            <w:r w:rsidRPr="00D86C31">
              <w:rPr>
                <w:rFonts w:hint="cs"/>
                <w:sz w:val="20"/>
                <w:szCs w:val="20"/>
                <w:rtl/>
              </w:rPr>
              <w:t>על מה שנשבע</w:t>
            </w:r>
          </w:p>
        </w:tc>
        <w:tc>
          <w:tcPr>
            <w:tcW w:w="838" w:type="dxa"/>
            <w:vMerge/>
            <w:shd w:val="clear" w:color="auto" w:fill="auto"/>
            <w:vAlign w:val="center"/>
          </w:tcPr>
          <w:p w:rsidR="00FA3BB7" w:rsidRDefault="00FA3BB7" w:rsidP="00CD7D37">
            <w:pPr>
              <w:jc w:val="center"/>
              <w:rPr>
                <w:rtl/>
              </w:rPr>
            </w:pPr>
          </w:p>
        </w:tc>
        <w:tc>
          <w:tcPr>
            <w:tcW w:w="1080" w:type="dxa"/>
            <w:vMerge/>
            <w:shd w:val="clear" w:color="auto" w:fill="auto"/>
            <w:vAlign w:val="center"/>
          </w:tcPr>
          <w:p w:rsidR="00FA3BB7" w:rsidRPr="00EF3034" w:rsidRDefault="00FA3BB7" w:rsidP="00CD7D37">
            <w:pPr>
              <w:jc w:val="center"/>
              <w:rPr>
                <w:rtl/>
              </w:rPr>
            </w:pPr>
          </w:p>
        </w:tc>
      </w:tr>
      <w:tr w:rsidR="00005510" w:rsidTr="00D86C31">
        <w:trPr>
          <w:trHeight w:val="996"/>
          <w:jc w:val="center"/>
        </w:trPr>
        <w:tc>
          <w:tcPr>
            <w:tcW w:w="1038" w:type="dxa"/>
            <w:vMerge/>
            <w:shd w:val="clear" w:color="auto" w:fill="DBE5F1" w:themeFill="accent1" w:themeFillTint="33"/>
            <w:vAlign w:val="center"/>
          </w:tcPr>
          <w:p w:rsidR="00CD7D37" w:rsidRPr="008B1B9C" w:rsidRDefault="00CD7D37" w:rsidP="00CD7D37">
            <w:pPr>
              <w:jc w:val="center"/>
              <w:rPr>
                <w:b/>
                <w:bCs/>
                <w:color w:val="C00000"/>
                <w:sz w:val="24"/>
                <w:szCs w:val="24"/>
                <w:rtl/>
              </w:rPr>
            </w:pPr>
          </w:p>
        </w:tc>
        <w:tc>
          <w:tcPr>
            <w:tcW w:w="1611" w:type="dxa"/>
            <w:shd w:val="clear" w:color="auto" w:fill="DBE5F1" w:themeFill="accent1" w:themeFillTint="33"/>
            <w:vAlign w:val="center"/>
          </w:tcPr>
          <w:p w:rsidR="00CD7D37" w:rsidRPr="00C20984" w:rsidRDefault="00CD7D37" w:rsidP="00CD7D37">
            <w:pPr>
              <w:jc w:val="center"/>
              <w:rPr>
                <w:color w:val="C00000"/>
                <w:rtl/>
              </w:rPr>
            </w:pPr>
            <w:r w:rsidRPr="00F1111D">
              <w:rPr>
                <w:b/>
                <w:bCs/>
                <w:color w:val="C00000"/>
                <w:sz w:val="20"/>
                <w:szCs w:val="20"/>
                <w:rtl/>
              </w:rPr>
              <w:t>שבועת הנפטרים</w:t>
            </w:r>
            <w:r w:rsidRPr="00D86C31">
              <w:rPr>
                <w:rStyle w:val="ae"/>
                <w:b/>
                <w:bCs/>
                <w:sz w:val="24"/>
                <w:szCs w:val="24"/>
                <w:rtl/>
              </w:rPr>
              <w:endnoteReference w:id="18"/>
            </w:r>
          </w:p>
        </w:tc>
        <w:tc>
          <w:tcPr>
            <w:tcW w:w="1237" w:type="dxa"/>
            <w:shd w:val="clear" w:color="auto" w:fill="auto"/>
            <w:vAlign w:val="center"/>
          </w:tcPr>
          <w:p w:rsidR="00CD7D37" w:rsidRDefault="00FA3BB7" w:rsidP="00FA3BB7">
            <w:pPr>
              <w:jc w:val="center"/>
              <w:rPr>
                <w:rtl/>
              </w:rPr>
            </w:pPr>
            <w:r w:rsidRPr="008F588A">
              <w:rPr>
                <w:sz w:val="20"/>
                <w:szCs w:val="20"/>
                <w:rtl/>
              </w:rPr>
              <w:t>כגון הנשבעים על טענת שמא או שבועת היסת</w:t>
            </w:r>
          </w:p>
        </w:tc>
        <w:tc>
          <w:tcPr>
            <w:tcW w:w="1384" w:type="dxa"/>
            <w:shd w:val="clear" w:color="auto" w:fill="auto"/>
            <w:vAlign w:val="center"/>
          </w:tcPr>
          <w:p w:rsidR="00CD7D37" w:rsidRPr="00D86C31" w:rsidRDefault="00CD7D37" w:rsidP="00CD7D37">
            <w:pPr>
              <w:jc w:val="center"/>
              <w:rPr>
                <w:sz w:val="20"/>
                <w:szCs w:val="20"/>
                <w:rtl/>
              </w:rPr>
            </w:pPr>
            <w:r w:rsidRPr="00D86C31">
              <w:rPr>
                <w:rFonts w:hint="cs"/>
                <w:sz w:val="20"/>
                <w:szCs w:val="20"/>
                <w:rtl/>
              </w:rPr>
              <w:t>הנתבע</w:t>
            </w:r>
          </w:p>
        </w:tc>
        <w:tc>
          <w:tcPr>
            <w:tcW w:w="1619" w:type="dxa"/>
            <w:shd w:val="clear" w:color="auto" w:fill="auto"/>
            <w:vAlign w:val="center"/>
          </w:tcPr>
          <w:p w:rsidR="00CD7D37" w:rsidRPr="00D86C31" w:rsidRDefault="00CD7D37" w:rsidP="00CD7D37">
            <w:pPr>
              <w:jc w:val="center"/>
              <w:rPr>
                <w:sz w:val="20"/>
                <w:szCs w:val="20"/>
                <w:rtl/>
              </w:rPr>
            </w:pPr>
            <w:r w:rsidRPr="00D86C31">
              <w:rPr>
                <w:sz w:val="20"/>
                <w:szCs w:val="20"/>
                <w:rtl/>
              </w:rPr>
              <w:t>כדי להיפטר מתשלומי הממון שנתבע בדין</w:t>
            </w:r>
          </w:p>
        </w:tc>
        <w:tc>
          <w:tcPr>
            <w:tcW w:w="1530" w:type="dxa"/>
            <w:shd w:val="clear" w:color="auto" w:fill="auto"/>
            <w:vAlign w:val="center"/>
          </w:tcPr>
          <w:p w:rsidR="00CD7D37" w:rsidRPr="00D86C31" w:rsidRDefault="008F588A" w:rsidP="00CD7D37">
            <w:pPr>
              <w:jc w:val="center"/>
              <w:rPr>
                <w:sz w:val="20"/>
                <w:szCs w:val="20"/>
                <w:rtl/>
              </w:rPr>
            </w:pPr>
            <w:r w:rsidRPr="00D86C31">
              <w:rPr>
                <w:rFonts w:hint="cs"/>
                <w:sz w:val="20"/>
                <w:szCs w:val="20"/>
                <w:rtl/>
              </w:rPr>
              <w:t>נפטר מלשלם</w:t>
            </w:r>
          </w:p>
        </w:tc>
        <w:tc>
          <w:tcPr>
            <w:tcW w:w="838" w:type="dxa"/>
            <w:shd w:val="clear" w:color="auto" w:fill="auto"/>
            <w:vAlign w:val="center"/>
          </w:tcPr>
          <w:p w:rsidR="00CD7D37" w:rsidRPr="00D86C31" w:rsidRDefault="00CD7D37" w:rsidP="00CD7D37">
            <w:pPr>
              <w:jc w:val="center"/>
              <w:rPr>
                <w:sz w:val="20"/>
                <w:szCs w:val="20"/>
                <w:rtl/>
              </w:rPr>
            </w:pPr>
            <w:r w:rsidRPr="00D86C31">
              <w:rPr>
                <w:rFonts w:hint="cs"/>
                <w:sz w:val="20"/>
                <w:szCs w:val="20"/>
                <w:rtl/>
              </w:rPr>
              <w:t xml:space="preserve">לא </w:t>
            </w:r>
            <w:r w:rsidRPr="004E6F58">
              <w:rPr>
                <w:rFonts w:hint="cs"/>
                <w:color w:val="C00000"/>
                <w:sz w:val="16"/>
                <w:szCs w:val="16"/>
                <w:rtl/>
              </w:rPr>
              <w:t xml:space="preserve">(וראה </w:t>
            </w:r>
            <w:r w:rsidR="00005510" w:rsidRPr="004E6F58">
              <w:rPr>
                <w:rFonts w:hint="cs"/>
                <w:color w:val="C00000"/>
                <w:sz w:val="16"/>
                <w:szCs w:val="16"/>
                <w:rtl/>
              </w:rPr>
              <w:t>הערה 13</w:t>
            </w:r>
            <w:r w:rsidRPr="004E6F58">
              <w:rPr>
                <w:rFonts w:hint="cs"/>
                <w:color w:val="C00000"/>
                <w:sz w:val="16"/>
                <w:szCs w:val="16"/>
                <w:rtl/>
              </w:rPr>
              <w:t>)</w:t>
            </w:r>
          </w:p>
        </w:tc>
        <w:tc>
          <w:tcPr>
            <w:tcW w:w="1080" w:type="dxa"/>
            <w:shd w:val="clear" w:color="auto" w:fill="auto"/>
            <w:vAlign w:val="center"/>
          </w:tcPr>
          <w:p w:rsidR="00CD7D37" w:rsidRPr="00D86C31" w:rsidRDefault="00CD7D37" w:rsidP="00CD7D37">
            <w:pPr>
              <w:jc w:val="center"/>
              <w:rPr>
                <w:sz w:val="20"/>
                <w:szCs w:val="20"/>
                <w:rtl/>
              </w:rPr>
            </w:pPr>
            <w:r w:rsidRPr="00D86C31">
              <w:rPr>
                <w:sz w:val="20"/>
                <w:szCs w:val="20"/>
                <w:rtl/>
              </w:rPr>
              <w:t>אין בית דין יורדים לנכסיו, אלא מנדים אותו עד שישבע או</w:t>
            </w:r>
          </w:p>
          <w:p w:rsidR="00CD7D37" w:rsidRPr="00172070" w:rsidRDefault="00CD7D37" w:rsidP="00CD7D37">
            <w:pPr>
              <w:jc w:val="center"/>
              <w:rPr>
                <w:rtl/>
              </w:rPr>
            </w:pPr>
            <w:r w:rsidRPr="00D86C31">
              <w:rPr>
                <w:sz w:val="20"/>
                <w:szCs w:val="20"/>
                <w:rtl/>
              </w:rPr>
              <w:t>ישלם</w:t>
            </w:r>
            <w:r w:rsidRPr="00D86C31">
              <w:rPr>
                <w:rStyle w:val="ae"/>
                <w:b/>
                <w:bCs/>
                <w:sz w:val="24"/>
                <w:szCs w:val="24"/>
                <w:rtl/>
              </w:rPr>
              <w:endnoteReference w:id="19"/>
            </w:r>
          </w:p>
        </w:tc>
      </w:tr>
      <w:tr w:rsidR="00005510" w:rsidTr="00D86C31">
        <w:trPr>
          <w:jc w:val="center"/>
        </w:trPr>
        <w:tc>
          <w:tcPr>
            <w:tcW w:w="2649" w:type="dxa"/>
            <w:gridSpan w:val="2"/>
            <w:shd w:val="clear" w:color="auto" w:fill="F7FDAD"/>
            <w:vAlign w:val="center"/>
          </w:tcPr>
          <w:p w:rsidR="00CD7D37" w:rsidRPr="00C20984" w:rsidRDefault="00CD7D37" w:rsidP="00CD7D37">
            <w:pPr>
              <w:jc w:val="center"/>
              <w:rPr>
                <w:color w:val="C00000"/>
                <w:rtl/>
              </w:rPr>
            </w:pPr>
            <w:bookmarkStart w:id="16" w:name="_Hlk503695337"/>
            <w:r w:rsidRPr="00F1111D">
              <w:rPr>
                <w:b/>
                <w:bCs/>
                <w:color w:val="C00000"/>
                <w:rtl/>
              </w:rPr>
              <w:t>שבועת היסת</w:t>
            </w:r>
            <w:r w:rsidRPr="00D86C31">
              <w:rPr>
                <w:rStyle w:val="ae"/>
                <w:b/>
                <w:bCs/>
                <w:sz w:val="24"/>
                <w:szCs w:val="24"/>
                <w:rtl/>
              </w:rPr>
              <w:endnoteReference w:id="20"/>
            </w:r>
          </w:p>
        </w:tc>
        <w:tc>
          <w:tcPr>
            <w:tcW w:w="1237" w:type="dxa"/>
            <w:shd w:val="clear" w:color="auto" w:fill="auto"/>
            <w:vAlign w:val="center"/>
          </w:tcPr>
          <w:p w:rsidR="00CD7D37" w:rsidRDefault="00CD7D37" w:rsidP="00CD7D37">
            <w:pPr>
              <w:jc w:val="center"/>
              <w:rPr>
                <w:rtl/>
              </w:rPr>
            </w:pPr>
            <w:r w:rsidRPr="00D86C31">
              <w:rPr>
                <w:rFonts w:hint="cs"/>
                <w:sz w:val="20"/>
                <w:szCs w:val="20"/>
                <w:rtl/>
              </w:rPr>
              <w:t>האמוראים</w:t>
            </w:r>
            <w:r w:rsidRPr="00D86C31">
              <w:rPr>
                <w:rStyle w:val="ae"/>
                <w:b/>
                <w:bCs/>
                <w:sz w:val="24"/>
                <w:szCs w:val="24"/>
                <w:rtl/>
              </w:rPr>
              <w:endnoteReference w:id="21"/>
            </w:r>
          </w:p>
        </w:tc>
        <w:tc>
          <w:tcPr>
            <w:tcW w:w="1384" w:type="dxa"/>
            <w:shd w:val="clear" w:color="auto" w:fill="auto"/>
            <w:vAlign w:val="center"/>
          </w:tcPr>
          <w:p w:rsidR="00CD7D37" w:rsidRPr="00D86C31" w:rsidRDefault="00CD7D37" w:rsidP="00CD7D37">
            <w:pPr>
              <w:jc w:val="center"/>
              <w:rPr>
                <w:sz w:val="20"/>
                <w:szCs w:val="20"/>
                <w:rtl/>
              </w:rPr>
            </w:pPr>
            <w:r w:rsidRPr="00D86C31">
              <w:rPr>
                <w:rFonts w:hint="cs"/>
                <w:sz w:val="20"/>
                <w:szCs w:val="20"/>
                <w:rtl/>
              </w:rPr>
              <w:t xml:space="preserve">נתבע </w:t>
            </w:r>
            <w:r w:rsidRPr="00D86C31">
              <w:rPr>
                <w:rFonts w:cs="Arial"/>
                <w:sz w:val="20"/>
                <w:szCs w:val="20"/>
                <w:rtl/>
              </w:rPr>
              <w:t xml:space="preserve"> </w:t>
            </w:r>
            <w:r w:rsidRPr="00D86C31">
              <w:rPr>
                <w:sz w:val="20"/>
                <w:szCs w:val="20"/>
                <w:rtl/>
              </w:rPr>
              <w:t>הכופר בכל התביעה</w:t>
            </w:r>
          </w:p>
        </w:tc>
        <w:tc>
          <w:tcPr>
            <w:tcW w:w="1619" w:type="dxa"/>
            <w:shd w:val="clear" w:color="auto" w:fill="auto"/>
            <w:vAlign w:val="center"/>
          </w:tcPr>
          <w:p w:rsidR="00CD7D37" w:rsidRPr="00D86C31" w:rsidRDefault="00CD7D37" w:rsidP="00CD7D37">
            <w:pPr>
              <w:jc w:val="center"/>
              <w:rPr>
                <w:sz w:val="20"/>
                <w:szCs w:val="20"/>
                <w:rtl/>
              </w:rPr>
            </w:pPr>
            <w:r w:rsidRPr="00D86C31">
              <w:rPr>
                <w:sz w:val="20"/>
                <w:szCs w:val="20"/>
                <w:rtl/>
              </w:rPr>
              <w:t>שאינו חייב כלום</w:t>
            </w:r>
          </w:p>
        </w:tc>
        <w:tc>
          <w:tcPr>
            <w:tcW w:w="1530" w:type="dxa"/>
            <w:shd w:val="clear" w:color="auto" w:fill="auto"/>
            <w:vAlign w:val="center"/>
          </w:tcPr>
          <w:p w:rsidR="00CD7D37" w:rsidRPr="00D86C31" w:rsidRDefault="00CD7D37" w:rsidP="00CD7D37">
            <w:pPr>
              <w:jc w:val="center"/>
              <w:rPr>
                <w:sz w:val="20"/>
                <w:szCs w:val="20"/>
                <w:rtl/>
              </w:rPr>
            </w:pPr>
            <w:r w:rsidRPr="00D86C31">
              <w:rPr>
                <w:rFonts w:hint="cs"/>
                <w:sz w:val="20"/>
                <w:szCs w:val="20"/>
                <w:rtl/>
              </w:rPr>
              <w:t>נפטר מלשלם</w:t>
            </w:r>
          </w:p>
        </w:tc>
        <w:tc>
          <w:tcPr>
            <w:tcW w:w="838" w:type="dxa"/>
            <w:shd w:val="clear" w:color="auto" w:fill="auto"/>
            <w:vAlign w:val="center"/>
          </w:tcPr>
          <w:p w:rsidR="00CD7D37" w:rsidRPr="00D86C31" w:rsidRDefault="00CD7D37" w:rsidP="00CD7D37">
            <w:pPr>
              <w:jc w:val="center"/>
              <w:rPr>
                <w:sz w:val="20"/>
                <w:szCs w:val="20"/>
                <w:rtl/>
              </w:rPr>
            </w:pPr>
            <w:r w:rsidRPr="00D86C31">
              <w:rPr>
                <w:rFonts w:hint="cs"/>
                <w:sz w:val="20"/>
                <w:szCs w:val="20"/>
                <w:rtl/>
              </w:rPr>
              <w:t xml:space="preserve">לא </w:t>
            </w:r>
            <w:r w:rsidRPr="004E6F58">
              <w:rPr>
                <w:rFonts w:hint="cs"/>
                <w:color w:val="C00000"/>
                <w:sz w:val="16"/>
                <w:szCs w:val="16"/>
                <w:rtl/>
              </w:rPr>
              <w:t xml:space="preserve">(וראה הערה </w:t>
            </w:r>
            <w:r w:rsidR="00005510" w:rsidRPr="004E6F58">
              <w:rPr>
                <w:rFonts w:hint="cs"/>
                <w:color w:val="C00000"/>
                <w:sz w:val="16"/>
                <w:szCs w:val="16"/>
                <w:rtl/>
              </w:rPr>
              <w:t>13</w:t>
            </w:r>
            <w:r w:rsidRPr="004E6F58">
              <w:rPr>
                <w:rFonts w:hint="cs"/>
                <w:color w:val="C00000"/>
                <w:sz w:val="16"/>
                <w:szCs w:val="16"/>
                <w:rtl/>
              </w:rPr>
              <w:t>)</w:t>
            </w:r>
          </w:p>
        </w:tc>
        <w:tc>
          <w:tcPr>
            <w:tcW w:w="1080" w:type="dxa"/>
            <w:shd w:val="clear" w:color="auto" w:fill="auto"/>
            <w:vAlign w:val="center"/>
          </w:tcPr>
          <w:p w:rsidR="00CD7D37" w:rsidRPr="00D86C31" w:rsidRDefault="004E6F58" w:rsidP="00CD7D37">
            <w:pPr>
              <w:jc w:val="center"/>
              <w:rPr>
                <w:sz w:val="20"/>
                <w:szCs w:val="20"/>
                <w:rtl/>
              </w:rPr>
            </w:pPr>
            <w:r w:rsidRPr="004E6F58">
              <w:rPr>
                <w:rFonts w:hint="cs"/>
                <w:color w:val="C00000"/>
                <w:sz w:val="16"/>
                <w:szCs w:val="16"/>
                <w:rtl/>
              </w:rPr>
              <w:t>ראה הע</w:t>
            </w:r>
            <w:r>
              <w:rPr>
                <w:rFonts w:hint="cs"/>
                <w:color w:val="C00000"/>
                <w:sz w:val="16"/>
                <w:szCs w:val="16"/>
                <w:rtl/>
              </w:rPr>
              <w:t>רות 16, 19</w:t>
            </w:r>
          </w:p>
        </w:tc>
      </w:tr>
    </w:tbl>
    <w:bookmarkEnd w:id="16"/>
    <w:p w:rsidR="005E6B5F" w:rsidRPr="0007525E" w:rsidRDefault="0007525E" w:rsidP="004A57F1">
      <w:pPr>
        <w:tabs>
          <w:tab w:val="left" w:pos="1125"/>
        </w:tabs>
        <w:rPr>
          <w:rFonts w:hint="cs"/>
          <w:rtl/>
        </w:rPr>
      </w:pPr>
      <w:r>
        <w:rPr>
          <w:rtl/>
        </w:rPr>
        <w:tab/>
      </w:r>
      <w:r w:rsidRPr="0007525E">
        <w:rPr>
          <w:rtl/>
        </w:rPr>
        <w:t xml:space="preserve"> </w:t>
      </w:r>
    </w:p>
    <w:sectPr w:rsidR="005E6B5F" w:rsidRPr="0007525E">
      <w:headerReference w:type="default" r:id="rId11"/>
      <w:footerReference w:type="default" r:id="rId12"/>
      <w:endnotePr>
        <w:numFmt w:val="decimal"/>
      </w:endnotePr>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63CA" w:rsidRDefault="00CF63CA" w:rsidP="00FC3225">
      <w:pPr>
        <w:spacing w:after="0" w:line="240" w:lineRule="auto"/>
      </w:pPr>
      <w:r>
        <w:separator/>
      </w:r>
    </w:p>
  </w:endnote>
  <w:endnote w:type="continuationSeparator" w:id="0">
    <w:p w:rsidR="00CF63CA" w:rsidRDefault="00CF63CA" w:rsidP="00FC3225">
      <w:pPr>
        <w:spacing w:after="0" w:line="240" w:lineRule="auto"/>
      </w:pPr>
      <w:r>
        <w:continuationSeparator/>
      </w:r>
    </w:p>
  </w:endnote>
  <w:endnote w:id="1">
    <w:p w:rsidR="00FA3BB7" w:rsidRDefault="00FA3BB7" w:rsidP="00CF0967">
      <w:pPr>
        <w:pStyle w:val="ac"/>
        <w:rPr>
          <w:rFonts w:hint="cs"/>
        </w:rPr>
      </w:pPr>
      <w:r w:rsidRPr="00CD4F43">
        <w:rPr>
          <w:rStyle w:val="ae"/>
          <w:b/>
          <w:bCs/>
          <w:color w:val="C00000"/>
          <w:sz w:val="18"/>
          <w:szCs w:val="18"/>
          <w:vertAlign w:val="baseline"/>
        </w:rPr>
        <w:endnoteRef/>
      </w:r>
      <w:r w:rsidRPr="00CD4F43">
        <w:rPr>
          <w:rStyle w:val="ae"/>
          <w:b/>
          <w:bCs/>
          <w:color w:val="C00000"/>
          <w:sz w:val="18"/>
          <w:szCs w:val="18"/>
          <w:vertAlign w:val="baseline"/>
          <w:rtl/>
        </w:rPr>
        <w:t xml:space="preserve"> </w:t>
      </w:r>
      <w:r w:rsidR="008F588A">
        <w:rPr>
          <w:rFonts w:hint="cs"/>
          <w:rtl/>
        </w:rPr>
        <w:t xml:space="preserve">ב'סוג השבועה' </w:t>
      </w:r>
      <w:bookmarkStart w:id="0" w:name="OLE_LINK36"/>
      <w:r w:rsidR="00CF0967">
        <w:rPr>
          <w:rFonts w:hint="cs"/>
          <w:rtl/>
        </w:rPr>
        <w:t>אנו דנים ב</w:t>
      </w:r>
      <w:r w:rsidR="00CF0967" w:rsidRPr="00CF0967">
        <w:rPr>
          <w:rFonts w:hint="cs"/>
          <w:rtl/>
        </w:rPr>
        <w:t>'</w:t>
      </w:r>
      <w:r w:rsidR="00CF0967" w:rsidRPr="00CF0967">
        <w:rPr>
          <w:rtl/>
        </w:rPr>
        <w:t>שבועת הדיינין</w:t>
      </w:r>
      <w:r w:rsidR="00CF0967" w:rsidRPr="00CF0967">
        <w:rPr>
          <w:rFonts w:hint="cs"/>
          <w:rtl/>
        </w:rPr>
        <w:t>'</w:t>
      </w:r>
      <w:r w:rsidR="00CF0967">
        <w:rPr>
          <w:rFonts w:hint="cs"/>
          <w:rtl/>
        </w:rPr>
        <w:t xml:space="preserve">, שבועות </w:t>
      </w:r>
      <w:r w:rsidR="00CF0967" w:rsidRPr="00CF0967">
        <w:rPr>
          <w:rFonts w:hint="cs"/>
          <w:rtl/>
        </w:rPr>
        <w:t xml:space="preserve">שביה"ד מחייבים </w:t>
      </w:r>
      <w:r w:rsidR="00CF0967" w:rsidRPr="00CF0967">
        <w:rPr>
          <w:rtl/>
        </w:rPr>
        <w:t>את אחד מבעלי הדין</w:t>
      </w:r>
      <w:r w:rsidR="00CF0967" w:rsidRPr="00CF0967">
        <w:rPr>
          <w:rFonts w:hint="cs"/>
          <w:rtl/>
        </w:rPr>
        <w:t xml:space="preserve"> </w:t>
      </w:r>
      <w:r w:rsidR="00CF0967">
        <w:rPr>
          <w:rFonts w:hint="cs"/>
          <w:rtl/>
        </w:rPr>
        <w:t xml:space="preserve">- </w:t>
      </w:r>
      <w:r w:rsidR="00CF0967" w:rsidRPr="00CF0967">
        <w:rPr>
          <w:rFonts w:hint="cs"/>
          <w:rtl/>
        </w:rPr>
        <w:t>בשונה מ</w:t>
      </w:r>
      <w:r w:rsidR="00CF0967" w:rsidRPr="00CF0967">
        <w:rPr>
          <w:rtl/>
        </w:rPr>
        <w:t>שבועת ביטוי, שבועת שוא, שבועת העדות ושבועת הפקדון ש</w:t>
      </w:r>
      <w:r w:rsidR="00CF0967" w:rsidRPr="00CF0967">
        <w:rPr>
          <w:rFonts w:hint="cs"/>
          <w:rtl/>
        </w:rPr>
        <w:t xml:space="preserve">בה </w:t>
      </w:r>
      <w:r w:rsidR="00CF0967" w:rsidRPr="00CF0967">
        <w:rPr>
          <w:u w:val="single"/>
          <w:rtl/>
        </w:rPr>
        <w:t>האדם נשבע מעצמו</w:t>
      </w:r>
      <w:bookmarkStart w:id="1" w:name="_GoBack"/>
      <w:bookmarkEnd w:id="1"/>
      <w:r w:rsidR="00CF0967" w:rsidRPr="00CF0967">
        <w:rPr>
          <w:rFonts w:hint="cs"/>
          <w:rtl/>
        </w:rPr>
        <w:t>.</w:t>
      </w:r>
      <w:r w:rsidR="008F588A">
        <w:rPr>
          <w:rFonts w:hint="cs"/>
          <w:rtl/>
        </w:rPr>
        <w:t xml:space="preserve"> </w:t>
      </w:r>
    </w:p>
    <w:bookmarkEnd w:id="0"/>
  </w:endnote>
  <w:endnote w:id="2">
    <w:p w:rsidR="00F1111D" w:rsidRPr="00510462" w:rsidRDefault="00F1111D" w:rsidP="00443E2F">
      <w:pPr>
        <w:pStyle w:val="ac"/>
        <w:rPr>
          <w:rFonts w:cs="Arial"/>
          <w:rtl/>
        </w:rPr>
      </w:pPr>
      <w:r w:rsidRPr="008163DC">
        <w:rPr>
          <w:rStyle w:val="ae"/>
          <w:b/>
          <w:bCs/>
          <w:color w:val="C00000"/>
          <w:sz w:val="18"/>
          <w:szCs w:val="18"/>
          <w:vertAlign w:val="baseline"/>
        </w:rPr>
        <w:endnoteRef/>
      </w:r>
      <w:r>
        <w:rPr>
          <w:rtl/>
        </w:rPr>
        <w:t xml:space="preserve"> </w:t>
      </w:r>
      <w:r w:rsidR="008F588A" w:rsidRPr="008F588A">
        <w:rPr>
          <w:rFonts w:cs="Arial"/>
          <w:rtl/>
        </w:rPr>
        <w:t xml:space="preserve">תִּקְּנוּ </w:t>
      </w:r>
      <w:r w:rsidRPr="00586668">
        <w:rPr>
          <w:rFonts w:cs="Arial"/>
          <w:rtl/>
        </w:rPr>
        <w:t xml:space="preserve">שיש להישבע </w:t>
      </w:r>
      <w:r>
        <w:rPr>
          <w:rFonts w:cs="Arial" w:hint="cs"/>
          <w:rtl/>
        </w:rPr>
        <w:t>כ</w:t>
      </w:r>
      <w:r w:rsidRPr="00586668">
        <w:rPr>
          <w:rFonts w:cs="Arial"/>
          <w:rtl/>
        </w:rPr>
        <w:t>עין שבועת התורה ב״נקיטת חפץ״,</w:t>
      </w:r>
      <w:r>
        <w:rPr>
          <w:rFonts w:cs="Arial" w:hint="cs"/>
          <w:rtl/>
        </w:rPr>
        <w:t xml:space="preserve"> </w:t>
      </w:r>
      <w:r w:rsidRPr="00586668">
        <w:rPr>
          <w:rFonts w:cs="Arial"/>
          <w:rtl/>
        </w:rPr>
        <w:t>דהיינו, שעל הנשבע להחזיק בידו בשעת השבועה חפץ של קדושה, כגון ספר תורה או</w:t>
      </w:r>
      <w:r>
        <w:rPr>
          <w:rFonts w:cs="Arial" w:hint="cs"/>
          <w:rtl/>
        </w:rPr>
        <w:t xml:space="preserve"> </w:t>
      </w:r>
      <w:r w:rsidRPr="00586668">
        <w:rPr>
          <w:rFonts w:cs="Arial"/>
          <w:rtl/>
        </w:rPr>
        <w:t>תפילין. וזאת בניגוד לשבועת היסת, שאינה צריכה להיות ב</w:t>
      </w:r>
      <w:r>
        <w:rPr>
          <w:rFonts w:cs="Arial" w:hint="cs"/>
          <w:rtl/>
        </w:rPr>
        <w:t>"נ</w:t>
      </w:r>
      <w:r w:rsidRPr="00586668">
        <w:rPr>
          <w:rFonts w:cs="Arial"/>
          <w:rtl/>
        </w:rPr>
        <w:t>קיטת חפץ״ (רע״ב ופירוש</w:t>
      </w:r>
      <w:r>
        <w:rPr>
          <w:rFonts w:cs="Arial" w:hint="cs"/>
          <w:rtl/>
        </w:rPr>
        <w:t xml:space="preserve"> </w:t>
      </w:r>
      <w:r w:rsidRPr="00586668">
        <w:rPr>
          <w:rFonts w:cs="Arial"/>
          <w:rtl/>
        </w:rPr>
        <w:t>הרמב״ם לעיל ו, א</w:t>
      </w:r>
      <w:r>
        <w:rPr>
          <w:rFonts w:hint="cs"/>
          <w:rtl/>
        </w:rPr>
        <w:t>).</w:t>
      </w:r>
      <w:r w:rsidRPr="00A85C86">
        <w:rPr>
          <w:rtl/>
        </w:rPr>
        <w:t xml:space="preserve"> </w:t>
      </w:r>
      <w:r>
        <w:rPr>
          <w:rFonts w:cs="Arial" w:hint="cs"/>
          <w:rtl/>
        </w:rPr>
        <w:t>ה</w:t>
      </w:r>
      <w:r w:rsidRPr="00A85C86">
        <w:rPr>
          <w:rFonts w:cs="Arial"/>
          <w:rtl/>
        </w:rPr>
        <w:t xml:space="preserve">רמב"ם </w:t>
      </w:r>
      <w:r>
        <w:rPr>
          <w:rFonts w:cs="Arial" w:hint="cs"/>
          <w:rtl/>
        </w:rPr>
        <w:t>ב</w:t>
      </w:r>
      <w:r w:rsidRPr="00A85C86">
        <w:rPr>
          <w:rFonts w:cs="Arial"/>
          <w:rtl/>
        </w:rPr>
        <w:t xml:space="preserve">הלכות שבועות פרק יא הלכה יג </w:t>
      </w:r>
      <w:r>
        <w:rPr>
          <w:rFonts w:cs="Arial" w:hint="cs"/>
          <w:rtl/>
        </w:rPr>
        <w:t>פוסק: "</w:t>
      </w:r>
      <w:r w:rsidRPr="00A85C86">
        <w:rPr>
          <w:rFonts w:cs="Arial"/>
          <w:rtl/>
        </w:rPr>
        <w:t>אין בין שבועת הסת לשבועת הדיינין אלא נקיטת חפץ, שאין הנשבע שבועת הסת אוחז ספר תורה אלא משביעין אותו בשם או בכנוי בשבועה או באלה מפיו או מפי בית דין כמו שבועת הדיינין, וכבר נהגו הכל להיות ספר תורה ביד חזן הכנסת או שאר העם בעת שמשביעין שבועת הסת כדי לאיים עליו</w:t>
      </w:r>
      <w:r>
        <w:rPr>
          <w:rFonts w:cs="Arial" w:hint="cs"/>
          <w:rtl/>
        </w:rPr>
        <w:t xml:space="preserve">" </w:t>
      </w:r>
      <w:r w:rsidRPr="00A85C86">
        <w:rPr>
          <w:rFonts w:cs="Arial"/>
          <w:rtl/>
        </w:rPr>
        <w:t xml:space="preserve">. </w:t>
      </w:r>
      <w:r w:rsidRPr="00A85C86">
        <w:rPr>
          <w:rFonts w:cs="Arial"/>
          <w:b/>
          <w:bCs/>
          <w:rtl/>
        </w:rPr>
        <w:t>+/השגת הראב"ד/</w:t>
      </w:r>
      <w:r w:rsidRPr="00A85C86">
        <w:rPr>
          <w:rFonts w:cs="Arial"/>
          <w:rtl/>
        </w:rPr>
        <w:t xml:space="preserve"> </w:t>
      </w:r>
      <w:r w:rsidRPr="00A85C86">
        <w:rPr>
          <w:rFonts w:cs="Arial"/>
          <w:i/>
          <w:iCs/>
          <w:rtl/>
        </w:rPr>
        <w:t>אין בין שבועת היסת לשבועת הדיינין אלא נקיטת חפץ וכו' אלא משביעין אותו בשם או בכינוי. א"א שמעתי שתקנו הגאונים שאין משביעין עכשיו לא בשם ולא בכנוי כדי שלא יהא העולם חרב על ידי החוטאים שרבו אלא שמחרימין אותו ומקללים אותו ומחרימין עליו בשופרות וכבוי נרות ומטות כפויות לאיים עליו שאם יחטא לעצמו יחטא</w:t>
      </w:r>
      <w:r>
        <w:rPr>
          <w:rFonts w:cs="Arial" w:hint="cs"/>
          <w:i/>
          <w:iCs/>
          <w:rtl/>
        </w:rPr>
        <w:t>"</w:t>
      </w:r>
      <w:r>
        <w:rPr>
          <w:rFonts w:cs="Arial" w:hint="cs"/>
          <w:rtl/>
        </w:rPr>
        <w:t xml:space="preserve">. </w:t>
      </w:r>
      <w:r w:rsidRPr="00510462">
        <w:rPr>
          <w:rFonts w:cs="Arial"/>
          <w:rtl/>
        </w:rPr>
        <w:t>מדברי הרמב״ם והרע״ב שם מבואר, שכל</w:t>
      </w:r>
      <w:r>
        <w:rPr>
          <w:rFonts w:cs="Arial" w:hint="cs"/>
          <w:rtl/>
        </w:rPr>
        <w:t xml:space="preserve"> </w:t>
      </w:r>
      <w:r w:rsidRPr="00510462">
        <w:rPr>
          <w:rFonts w:cs="Arial"/>
          <w:rtl/>
        </w:rPr>
        <w:t>שבועות המשנה צריכות נקיטת חפץ, ורק</w:t>
      </w:r>
      <w:r>
        <w:rPr>
          <w:rFonts w:cs="Arial" w:hint="cs"/>
          <w:rtl/>
        </w:rPr>
        <w:t xml:space="preserve"> </w:t>
      </w:r>
      <w:r w:rsidRPr="00510462">
        <w:rPr>
          <w:rFonts w:cs="Arial"/>
          <w:rtl/>
        </w:rPr>
        <w:t>שבועת היסת היא בלא נקיטת חפץ, וכן פסק</w:t>
      </w:r>
      <w:r>
        <w:rPr>
          <w:rFonts w:cs="Arial" w:hint="cs"/>
          <w:rtl/>
        </w:rPr>
        <w:t xml:space="preserve"> </w:t>
      </w:r>
      <w:r w:rsidRPr="00510462">
        <w:rPr>
          <w:rFonts w:cs="Arial"/>
          <w:rtl/>
        </w:rPr>
        <w:t>השו״ע (חו״מ פו, יג</w:t>
      </w:r>
      <w:r>
        <w:rPr>
          <w:rFonts w:cs="Arial" w:hint="cs"/>
          <w:rtl/>
        </w:rPr>
        <w:t>)</w:t>
      </w:r>
      <w:r w:rsidRPr="00510462">
        <w:rPr>
          <w:rFonts w:cs="Arial"/>
          <w:rtl/>
        </w:rPr>
        <w:t xml:space="preserve"> אבל יש חולקים על דברים</w:t>
      </w:r>
      <w:r>
        <w:rPr>
          <w:rFonts w:cs="Arial" w:hint="cs"/>
          <w:rtl/>
        </w:rPr>
        <w:t xml:space="preserve"> </w:t>
      </w:r>
      <w:r w:rsidRPr="00510462">
        <w:rPr>
          <w:rFonts w:cs="Arial"/>
          <w:rtl/>
        </w:rPr>
        <w:t xml:space="preserve">אלו, </w:t>
      </w:r>
      <w:bookmarkStart w:id="2" w:name="OLE_LINK10"/>
      <w:r w:rsidRPr="00510462">
        <w:rPr>
          <w:rFonts w:cs="Arial"/>
          <w:rtl/>
        </w:rPr>
        <w:t xml:space="preserve">וישנן שלש שיטות נוספות בדין זה; </w:t>
      </w:r>
      <w:r w:rsidRPr="00510462">
        <w:rPr>
          <w:rFonts w:cs="Arial"/>
          <w:b/>
          <w:bCs/>
          <w:rtl/>
        </w:rPr>
        <w:t>(א)</w:t>
      </w:r>
      <w:r w:rsidRPr="00510462">
        <w:rPr>
          <w:rFonts w:cs="Arial"/>
          <w:rtl/>
        </w:rPr>
        <w:t xml:space="preserve"> יש</w:t>
      </w:r>
      <w:r>
        <w:rPr>
          <w:rFonts w:cs="Arial" w:hint="cs"/>
          <w:rtl/>
        </w:rPr>
        <w:t xml:space="preserve"> </w:t>
      </w:r>
      <w:r w:rsidRPr="00510462">
        <w:rPr>
          <w:rFonts w:cs="Arial"/>
          <w:rtl/>
        </w:rPr>
        <w:t>סוברים שכל שבועות המשנה, ואפילו שבועות</w:t>
      </w:r>
      <w:r>
        <w:rPr>
          <w:rFonts w:cs="Arial" w:hint="cs"/>
          <w:rtl/>
        </w:rPr>
        <w:t xml:space="preserve"> </w:t>
      </w:r>
      <w:r w:rsidRPr="00510462">
        <w:rPr>
          <w:rFonts w:cs="Arial"/>
          <w:rtl/>
        </w:rPr>
        <w:t>הנוטלים, אינן צריכות נקיטת חפץ, ורק שבועות התורה הן בנקיטת חפץ</w:t>
      </w:r>
      <w:r>
        <w:rPr>
          <w:rFonts w:cs="Arial" w:hint="cs"/>
          <w:rtl/>
        </w:rPr>
        <w:t xml:space="preserve"> </w:t>
      </w:r>
      <w:r w:rsidRPr="00510462">
        <w:rPr>
          <w:rFonts w:cs="Arial"/>
          <w:rtl/>
        </w:rPr>
        <w:t>(ראה רש״י כתובות פח, א</w:t>
      </w:r>
      <w:r w:rsidR="00443E2F">
        <w:rPr>
          <w:rFonts w:cs="Arial" w:hint="cs"/>
          <w:rtl/>
        </w:rPr>
        <w:t xml:space="preserve"> </w:t>
      </w:r>
      <w:r w:rsidRPr="00510462">
        <w:rPr>
          <w:rFonts w:cs="Arial"/>
          <w:rtl/>
        </w:rPr>
        <w:t xml:space="preserve">ד״ה לידי, ור״ן כה, ב בדפי הרי״ף, בדעתו). </w:t>
      </w:r>
      <w:r w:rsidRPr="00510462">
        <w:rPr>
          <w:rFonts w:cs="Arial"/>
          <w:b/>
          <w:bCs/>
          <w:rtl/>
        </w:rPr>
        <w:t>(ב)</w:t>
      </w:r>
      <w:r w:rsidRPr="00510462">
        <w:rPr>
          <w:rFonts w:cs="Arial"/>
          <w:rtl/>
        </w:rPr>
        <w:t xml:space="preserve"> ויש</w:t>
      </w:r>
      <w:r>
        <w:rPr>
          <w:rFonts w:cs="Arial" w:hint="cs"/>
          <w:rtl/>
        </w:rPr>
        <w:t xml:space="preserve"> </w:t>
      </w:r>
      <w:r w:rsidRPr="00510462">
        <w:rPr>
          <w:rFonts w:cs="Arial"/>
          <w:rtl/>
        </w:rPr>
        <w:t>סוברים ששבועות הנוטלים צריכות נקיטת חפץ,</w:t>
      </w:r>
      <w:r>
        <w:rPr>
          <w:rFonts w:cs="Arial" w:hint="cs"/>
          <w:rtl/>
        </w:rPr>
        <w:t xml:space="preserve"> </w:t>
      </w:r>
      <w:r w:rsidRPr="00510462">
        <w:rPr>
          <w:rFonts w:cs="Arial"/>
          <w:rtl/>
        </w:rPr>
        <w:t>אבל שבועות הנפטרים דינן כשבועת היסת, ואינן</w:t>
      </w:r>
      <w:r w:rsidRPr="00A85C86">
        <w:rPr>
          <w:rFonts w:cs="Arial"/>
          <w:rtl/>
        </w:rPr>
        <w:t xml:space="preserve"> </w:t>
      </w:r>
      <w:r w:rsidRPr="00510462">
        <w:rPr>
          <w:rFonts w:cs="Arial"/>
          <w:rtl/>
        </w:rPr>
        <w:t>צריכות נקיטת חפץ</w:t>
      </w:r>
      <w:r w:rsidRPr="00510462">
        <w:rPr>
          <w:rFonts w:ascii="FrankRuehl" w:eastAsia="FrankRuehl" w:hAnsi="FrankRuehl" w:cs="FrankRuehl"/>
          <w:rtl/>
          <w:lang w:val="he-IL" w:eastAsia="he-IL"/>
        </w:rPr>
        <w:t xml:space="preserve"> </w:t>
      </w:r>
      <w:r>
        <w:rPr>
          <w:rFonts w:ascii="FrankRuehl" w:eastAsia="FrankRuehl" w:hAnsi="FrankRuehl" w:cs="FrankRuehl" w:hint="cs"/>
          <w:rtl/>
          <w:lang w:val="he-IL" w:eastAsia="he-IL"/>
        </w:rPr>
        <w:t>(</w:t>
      </w:r>
      <w:r w:rsidRPr="00510462">
        <w:rPr>
          <w:rFonts w:cs="Arial"/>
          <w:rtl/>
        </w:rPr>
        <w:t>ריטב״א מח, א, בדעת רש״י</w:t>
      </w:r>
      <w:r>
        <w:rPr>
          <w:rFonts w:cs="Arial" w:hint="cs"/>
          <w:rtl/>
        </w:rPr>
        <w:t xml:space="preserve"> </w:t>
      </w:r>
      <w:r w:rsidRPr="00510462">
        <w:rPr>
          <w:rFonts w:cs="Arial"/>
          <w:rtl/>
        </w:rPr>
        <w:t xml:space="preserve">שבעיון הקודם; וראה טור חו״מ פז, כב). </w:t>
      </w:r>
      <w:r w:rsidRPr="00B31F05">
        <w:rPr>
          <w:rFonts w:cs="Arial"/>
          <w:b/>
          <w:bCs/>
          <w:rtl/>
        </w:rPr>
        <w:t>(ג)</w:t>
      </w:r>
      <w:r w:rsidRPr="00510462">
        <w:rPr>
          <w:rFonts w:cs="Arial"/>
          <w:rtl/>
        </w:rPr>
        <w:t xml:space="preserve"> ויש</w:t>
      </w:r>
      <w:r>
        <w:rPr>
          <w:rFonts w:cs="Arial" w:hint="cs"/>
          <w:rtl/>
        </w:rPr>
        <w:t xml:space="preserve"> </w:t>
      </w:r>
      <w:r w:rsidRPr="00510462">
        <w:rPr>
          <w:rFonts w:cs="Arial"/>
          <w:rtl/>
        </w:rPr>
        <w:t>סוברים שאפילו שבועת היסת צריכה נקיטת חפץ</w:t>
      </w:r>
      <w:r>
        <w:rPr>
          <w:rFonts w:cs="Arial" w:hint="cs"/>
          <w:rtl/>
        </w:rPr>
        <w:t xml:space="preserve"> </w:t>
      </w:r>
      <w:r w:rsidRPr="00510462">
        <w:rPr>
          <w:rFonts w:cs="Arial"/>
          <w:rtl/>
        </w:rPr>
        <w:t>(ראה ש״ך חו״מ שם לח, בשם כמה ראשונים)</w:t>
      </w:r>
      <w:r>
        <w:rPr>
          <w:rFonts w:cs="Arial" w:hint="cs"/>
          <w:rtl/>
        </w:rPr>
        <w:t>.</w:t>
      </w:r>
    </w:p>
    <w:bookmarkEnd w:id="2"/>
    <w:p w:rsidR="00F1111D" w:rsidRDefault="00F1111D" w:rsidP="00510462">
      <w:pPr>
        <w:pStyle w:val="ac"/>
        <w:rPr>
          <w:rtl/>
        </w:rPr>
      </w:pPr>
      <w:r>
        <w:rPr>
          <w:rFonts w:cs="Arial" w:hint="cs"/>
          <w:rtl/>
        </w:rPr>
        <w:t xml:space="preserve"> </w:t>
      </w:r>
      <w:r w:rsidRPr="00A85C86">
        <w:rPr>
          <w:rFonts w:cs="Arial" w:hint="cs"/>
          <w:u w:val="single"/>
          <w:rtl/>
        </w:rPr>
        <w:t>הערה שלי:</w:t>
      </w:r>
      <w:r>
        <w:rPr>
          <w:rFonts w:cs="Arial" w:hint="cs"/>
          <w:rtl/>
        </w:rPr>
        <w:t xml:space="preserve"> </w:t>
      </w:r>
      <w:r w:rsidRPr="00586668">
        <w:rPr>
          <w:rFonts w:cs="Arial"/>
          <w:rtl/>
        </w:rPr>
        <w:t xml:space="preserve"> </w:t>
      </w:r>
      <w:r>
        <w:rPr>
          <w:rFonts w:cs="Arial" w:hint="cs"/>
          <w:u w:val="single"/>
          <w:rtl/>
        </w:rPr>
        <w:t>ה</w:t>
      </w:r>
      <w:r w:rsidRPr="0038617F">
        <w:rPr>
          <w:rFonts w:cs="Arial"/>
          <w:u w:val="single"/>
          <w:rtl/>
        </w:rPr>
        <w:t>רמב"ם הלכות טוען ונטען פרק א הלכה ב</w:t>
      </w:r>
      <w:r>
        <w:rPr>
          <w:rFonts w:cs="Arial" w:hint="cs"/>
          <w:rtl/>
        </w:rPr>
        <w:t xml:space="preserve"> פוסק:.</w:t>
      </w:r>
      <w:r>
        <w:rPr>
          <w:rFonts w:cs="Arial"/>
          <w:rtl/>
        </w:rPr>
        <w:t xml:space="preserve"> </w:t>
      </w:r>
      <w:r>
        <w:rPr>
          <w:rFonts w:cs="Arial" w:hint="cs"/>
          <w:rtl/>
        </w:rPr>
        <w:t>"...</w:t>
      </w:r>
      <w:r w:rsidRPr="008163DC">
        <w:rPr>
          <w:rtl/>
        </w:rPr>
        <w:t xml:space="preserve"> </w:t>
      </w:r>
      <w:r w:rsidRPr="008163DC">
        <w:rPr>
          <w:rFonts w:cs="Arial"/>
          <w:rtl/>
        </w:rPr>
        <w:t xml:space="preserve">אין לך מחוייב שבועה מן התורה חוץ משלשה, מי שהודה במקצת המטלטלין, ומי שחייבו עד אחד, והשומר, שהרי נאמר בשומר שבועת ה' תהיה בין שניהם, וכבר ביארנו שבועת השומרין בהלכות שכירות, וכל אחד מן השלשה נשבע ונפטר מלשלם, אבל כל הנשבעין ונוטלין כגון שכיר ונחבל ופוגם את שטרו וכיוצא בו, וכן כל הנשבעין בטענת ספק כגון השותפין והאריסין כולן נשבעין בתקנת חכמים, </w:t>
      </w:r>
      <w:r w:rsidRPr="00361B9B">
        <w:rPr>
          <w:rFonts w:cs="Arial"/>
          <w:u w:val="single"/>
          <w:rtl/>
        </w:rPr>
        <w:t xml:space="preserve">וכל אלו השבועות אף על פי שהן מדברי סופרים הרי הן כעין של תורה </w:t>
      </w:r>
      <w:r w:rsidRPr="00361B9B">
        <w:rPr>
          <w:rFonts w:cs="Arial"/>
          <w:b/>
          <w:bCs/>
          <w:u w:val="single"/>
          <w:rtl/>
        </w:rPr>
        <w:t>בנקיטת חפץ</w:t>
      </w:r>
      <w:r>
        <w:rPr>
          <w:rFonts w:cs="Arial" w:hint="cs"/>
          <w:rtl/>
        </w:rPr>
        <w:t>"</w:t>
      </w:r>
      <w:r>
        <w:rPr>
          <w:rFonts w:cs="Arial"/>
          <w:rtl/>
        </w:rPr>
        <w:t>.</w:t>
      </w:r>
      <w:r>
        <w:rPr>
          <w:rFonts w:cs="Arial" w:hint="cs"/>
          <w:rtl/>
        </w:rPr>
        <w:t xml:space="preserve"> </w:t>
      </w:r>
    </w:p>
  </w:endnote>
  <w:endnote w:id="3">
    <w:p w:rsidR="00D86C31" w:rsidRPr="00FC3225" w:rsidRDefault="00D86C31" w:rsidP="008163DC">
      <w:pPr>
        <w:pStyle w:val="ac"/>
        <w:rPr>
          <w:szCs w:val="24"/>
          <w:rtl/>
        </w:rPr>
      </w:pPr>
      <w:r w:rsidRPr="008163DC">
        <w:rPr>
          <w:rStyle w:val="ae"/>
          <w:b/>
          <w:bCs/>
          <w:color w:val="C00000"/>
          <w:sz w:val="18"/>
          <w:szCs w:val="18"/>
          <w:vertAlign w:val="baseline"/>
        </w:rPr>
        <w:endnoteRef/>
      </w:r>
      <w:r w:rsidRPr="00FC3225">
        <w:rPr>
          <w:b/>
          <w:bCs/>
          <w:color w:val="437D46"/>
          <w:sz w:val="28"/>
          <w:szCs w:val="28"/>
          <w:rtl/>
        </w:rPr>
        <w:t xml:space="preserve"> </w:t>
      </w:r>
      <w:r w:rsidRPr="00FC3225">
        <w:rPr>
          <w:sz w:val="18"/>
          <w:szCs w:val="18"/>
          <w:rtl/>
        </w:rPr>
        <w:t>שבועה מן התורה כוללת שלושה סוגי שבועות</w:t>
      </w:r>
      <w:r>
        <w:rPr>
          <w:rFonts w:hint="cs"/>
          <w:sz w:val="18"/>
          <w:szCs w:val="18"/>
          <w:rtl/>
        </w:rPr>
        <w:t>.</w:t>
      </w:r>
    </w:p>
  </w:endnote>
  <w:endnote w:id="4">
    <w:p w:rsidR="00D86C31" w:rsidRDefault="00D86C31">
      <w:pPr>
        <w:pStyle w:val="ac"/>
        <w:rPr>
          <w:rtl/>
        </w:rPr>
      </w:pPr>
      <w:r w:rsidRPr="008163DC">
        <w:rPr>
          <w:rStyle w:val="ae"/>
          <w:b/>
          <w:bCs/>
          <w:color w:val="C00000"/>
          <w:sz w:val="18"/>
          <w:szCs w:val="18"/>
          <w:vertAlign w:val="baseline"/>
        </w:rPr>
        <w:endnoteRef/>
      </w:r>
      <w:r w:rsidRPr="008163DC">
        <w:rPr>
          <w:rStyle w:val="ae"/>
          <w:b/>
          <w:bCs/>
          <w:color w:val="C00000"/>
          <w:sz w:val="18"/>
          <w:szCs w:val="18"/>
          <w:vertAlign w:val="baseline"/>
          <w:rtl/>
        </w:rPr>
        <w:t xml:space="preserve"> </w:t>
      </w:r>
      <w:r w:rsidRPr="0024397D">
        <w:rPr>
          <w:rFonts w:cs="Arial"/>
          <w:rtl/>
        </w:rPr>
        <w:t>שבועת מודה במקצת</w:t>
      </w:r>
      <w:r>
        <w:rPr>
          <w:rFonts w:cs="Arial" w:hint="cs"/>
          <w:rtl/>
        </w:rPr>
        <w:t>:</w:t>
      </w:r>
      <w:r w:rsidRPr="0024397D">
        <w:rPr>
          <w:rFonts w:cs="Arial"/>
          <w:rtl/>
        </w:rPr>
        <w:t xml:space="preserve"> </w:t>
      </w:r>
      <w:r>
        <w:rPr>
          <w:rFonts w:cs="Arial" w:hint="cs"/>
          <w:rtl/>
        </w:rPr>
        <w:t>נ</w:t>
      </w:r>
      <w:r w:rsidRPr="0024397D">
        <w:rPr>
          <w:rFonts w:cs="Arial"/>
          <w:rtl/>
        </w:rPr>
        <w:t xml:space="preserve">תבע </w:t>
      </w:r>
      <w:r>
        <w:rPr>
          <w:rFonts w:cs="Arial" w:hint="cs"/>
          <w:rtl/>
        </w:rPr>
        <w:t xml:space="preserve">שהודה </w:t>
      </w:r>
      <w:r w:rsidRPr="0024397D">
        <w:rPr>
          <w:rFonts w:cs="Arial"/>
          <w:rtl/>
        </w:rPr>
        <w:t xml:space="preserve">במקצת התביעה - חייב לשלם את החלק שהוא מודה בו, ולהשבע שאינו חייב את החלק שהוא כופר בו; </w:t>
      </w:r>
      <w:r w:rsidRPr="005F388F">
        <w:rPr>
          <w:rFonts w:cs="Arial" w:hint="cs"/>
          <w:sz w:val="18"/>
          <w:szCs w:val="18"/>
          <w:rtl/>
        </w:rPr>
        <w:t xml:space="preserve">דין זה קיים רק </w:t>
      </w:r>
      <w:r w:rsidRPr="005F388F">
        <w:rPr>
          <w:rFonts w:cs="Arial"/>
          <w:sz w:val="18"/>
          <w:szCs w:val="18"/>
          <w:rtl/>
        </w:rPr>
        <w:t>כאשר</w:t>
      </w:r>
      <w:r w:rsidRPr="005F388F">
        <w:rPr>
          <w:rFonts w:cs="Arial" w:hint="cs"/>
          <w:sz w:val="18"/>
          <w:szCs w:val="18"/>
          <w:rtl/>
        </w:rPr>
        <w:t xml:space="preserve"> </w:t>
      </w:r>
      <w:r w:rsidRPr="005F388F">
        <w:rPr>
          <w:rFonts w:cs="Arial"/>
          <w:sz w:val="18"/>
          <w:szCs w:val="18"/>
          <w:rtl/>
        </w:rPr>
        <w:t xml:space="preserve">החלק שהנתבע מודה בו הוא ממין </w:t>
      </w:r>
      <w:r w:rsidRPr="005F388F">
        <w:rPr>
          <w:rFonts w:cs="Arial" w:hint="cs"/>
          <w:sz w:val="18"/>
          <w:szCs w:val="18"/>
          <w:rtl/>
        </w:rPr>
        <w:t xml:space="preserve">הטענה עליה הוא נתבע, </w:t>
      </w:r>
      <w:r w:rsidRPr="005F388F">
        <w:rPr>
          <w:rFonts w:cs="Arial"/>
          <w:sz w:val="18"/>
          <w:szCs w:val="18"/>
          <w:rtl/>
        </w:rPr>
        <w:t>כגון</w:t>
      </w:r>
      <w:r>
        <w:rPr>
          <w:rFonts w:cs="Arial" w:hint="cs"/>
          <w:sz w:val="18"/>
          <w:szCs w:val="18"/>
          <w:rtl/>
        </w:rPr>
        <w:t xml:space="preserve">: </w:t>
      </w:r>
      <w:r w:rsidRPr="005F388F">
        <w:rPr>
          <w:rFonts w:cs="Arial"/>
          <w:sz w:val="18"/>
          <w:szCs w:val="18"/>
          <w:rtl/>
        </w:rPr>
        <w:t xml:space="preserve">האומר לחברו: "מנה לי בידך", והלה אומר לו: "אין לך בידי אלא חמישים", אבל </w:t>
      </w:r>
      <w:r w:rsidRPr="005F388F">
        <w:rPr>
          <w:rFonts w:cs="Arial" w:hint="cs"/>
          <w:sz w:val="18"/>
          <w:szCs w:val="18"/>
          <w:rtl/>
        </w:rPr>
        <w:t xml:space="preserve">דין זה לא קיים כאשר </w:t>
      </w:r>
      <w:r w:rsidRPr="005F388F">
        <w:rPr>
          <w:rFonts w:cs="Arial"/>
          <w:sz w:val="18"/>
          <w:szCs w:val="18"/>
          <w:rtl/>
        </w:rPr>
        <w:t>ההודאה</w:t>
      </w:r>
      <w:r w:rsidRPr="005F388F">
        <w:rPr>
          <w:rFonts w:cs="Arial" w:hint="cs"/>
          <w:sz w:val="18"/>
          <w:szCs w:val="18"/>
          <w:rtl/>
        </w:rPr>
        <w:t xml:space="preserve"> במקצת אינה </w:t>
      </w:r>
      <w:r w:rsidRPr="005F388F">
        <w:rPr>
          <w:rFonts w:cs="Arial"/>
          <w:sz w:val="18"/>
          <w:szCs w:val="18"/>
          <w:rtl/>
        </w:rPr>
        <w:t>ממין הטענה</w:t>
      </w:r>
      <w:r w:rsidRPr="005F388F">
        <w:rPr>
          <w:rFonts w:cs="Arial" w:hint="cs"/>
          <w:sz w:val="18"/>
          <w:szCs w:val="18"/>
          <w:rtl/>
        </w:rPr>
        <w:t xml:space="preserve"> (</w:t>
      </w:r>
      <w:r>
        <w:rPr>
          <w:rFonts w:cs="Arial" w:hint="cs"/>
          <w:sz w:val="18"/>
          <w:szCs w:val="18"/>
          <w:rtl/>
        </w:rPr>
        <w:t>"</w:t>
      </w:r>
      <w:r w:rsidRPr="00BE0B95">
        <w:rPr>
          <w:rFonts w:cs="Arial"/>
          <w:sz w:val="18"/>
          <w:szCs w:val="18"/>
          <w:rtl/>
        </w:rPr>
        <w:t>טענו חיטין והודה לו בשעורין</w:t>
      </w:r>
      <w:r>
        <w:rPr>
          <w:rFonts w:cs="Arial" w:hint="cs"/>
          <w:sz w:val="18"/>
          <w:szCs w:val="18"/>
          <w:rtl/>
        </w:rPr>
        <w:t>"</w:t>
      </w:r>
      <w:r w:rsidRPr="005F388F">
        <w:rPr>
          <w:rFonts w:cs="Arial" w:hint="cs"/>
          <w:sz w:val="18"/>
          <w:szCs w:val="18"/>
          <w:rtl/>
        </w:rPr>
        <w:t>)</w:t>
      </w:r>
      <w:r w:rsidRPr="005F388F">
        <w:rPr>
          <w:rFonts w:cs="Arial"/>
          <w:sz w:val="18"/>
          <w:szCs w:val="18"/>
          <w:rtl/>
        </w:rPr>
        <w:t xml:space="preserve"> כגון</w:t>
      </w:r>
      <w:r>
        <w:rPr>
          <w:rFonts w:cs="Arial" w:hint="cs"/>
          <w:sz w:val="18"/>
          <w:szCs w:val="18"/>
          <w:rtl/>
        </w:rPr>
        <w:t xml:space="preserve">: </w:t>
      </w:r>
      <w:r w:rsidRPr="005F388F">
        <w:rPr>
          <w:rFonts w:cs="Arial" w:hint="cs"/>
          <w:sz w:val="18"/>
          <w:szCs w:val="18"/>
          <w:rtl/>
        </w:rPr>
        <w:t>ראובן</w:t>
      </w:r>
      <w:r w:rsidRPr="005F388F">
        <w:rPr>
          <w:rFonts w:cs="Arial"/>
          <w:sz w:val="18"/>
          <w:szCs w:val="18"/>
          <w:rtl/>
        </w:rPr>
        <w:t xml:space="preserve"> תובע </w:t>
      </w:r>
      <w:r w:rsidRPr="005F388F">
        <w:rPr>
          <w:rFonts w:cs="Arial" w:hint="cs"/>
          <w:sz w:val="18"/>
          <w:szCs w:val="18"/>
          <w:rtl/>
        </w:rPr>
        <w:t>משמעון</w:t>
      </w:r>
      <w:r w:rsidRPr="005F388F">
        <w:rPr>
          <w:rFonts w:cs="Arial"/>
          <w:sz w:val="18"/>
          <w:szCs w:val="18"/>
          <w:rtl/>
        </w:rPr>
        <w:t xml:space="preserve"> כור חיטים </w:t>
      </w:r>
      <w:r w:rsidRPr="005F388F">
        <w:rPr>
          <w:rFonts w:cs="Arial" w:hint="cs"/>
          <w:sz w:val="18"/>
          <w:szCs w:val="18"/>
          <w:rtl/>
        </w:rPr>
        <w:t>ושמעון</w:t>
      </w:r>
      <w:r w:rsidRPr="005F388F">
        <w:rPr>
          <w:rFonts w:cs="Arial"/>
          <w:sz w:val="18"/>
          <w:szCs w:val="18"/>
          <w:rtl/>
        </w:rPr>
        <w:t xml:space="preserve"> אומר</w:t>
      </w:r>
      <w:r w:rsidRPr="005F388F">
        <w:rPr>
          <w:rFonts w:cs="Arial" w:hint="cs"/>
          <w:sz w:val="18"/>
          <w:szCs w:val="18"/>
          <w:rtl/>
        </w:rPr>
        <w:t xml:space="preserve"> לראובן:</w:t>
      </w:r>
      <w:r w:rsidRPr="005F388F">
        <w:rPr>
          <w:rFonts w:cs="Arial"/>
          <w:sz w:val="18"/>
          <w:szCs w:val="18"/>
          <w:rtl/>
        </w:rPr>
        <w:t xml:space="preserve"> </w:t>
      </w:r>
      <w:r w:rsidRPr="005F388F">
        <w:rPr>
          <w:rFonts w:cs="Arial" w:hint="cs"/>
          <w:sz w:val="18"/>
          <w:szCs w:val="18"/>
          <w:rtl/>
        </w:rPr>
        <w:t xml:space="preserve">"איני חייב לך </w:t>
      </w:r>
      <w:r w:rsidRPr="005F388F">
        <w:rPr>
          <w:rFonts w:cs="Arial"/>
          <w:sz w:val="18"/>
          <w:szCs w:val="18"/>
          <w:rtl/>
        </w:rPr>
        <w:t>אלא כור שעורים</w:t>
      </w:r>
      <w:r w:rsidRPr="005F388F">
        <w:rPr>
          <w:rFonts w:cs="Arial" w:hint="cs"/>
          <w:sz w:val="18"/>
          <w:szCs w:val="18"/>
          <w:rtl/>
        </w:rPr>
        <w:t>"</w:t>
      </w:r>
    </w:p>
  </w:endnote>
  <w:endnote w:id="5">
    <w:p w:rsidR="00D86C31" w:rsidRDefault="00D86C31">
      <w:pPr>
        <w:pStyle w:val="ac"/>
      </w:pPr>
      <w:r w:rsidRPr="008163DC">
        <w:rPr>
          <w:rStyle w:val="ae"/>
          <w:b/>
          <w:bCs/>
          <w:color w:val="C00000"/>
          <w:sz w:val="18"/>
          <w:szCs w:val="18"/>
          <w:vertAlign w:val="baseline"/>
        </w:rPr>
        <w:endnoteRef/>
      </w:r>
      <w:r w:rsidRPr="008163DC">
        <w:rPr>
          <w:rStyle w:val="ae"/>
          <w:b/>
          <w:bCs/>
          <w:color w:val="C00000"/>
          <w:sz w:val="24"/>
          <w:szCs w:val="24"/>
          <w:vertAlign w:val="baseline"/>
          <w:rtl/>
        </w:rPr>
        <w:t xml:space="preserve"> </w:t>
      </w:r>
      <w:r w:rsidRPr="00A97A31">
        <w:rPr>
          <w:rFonts w:cs="Arial"/>
          <w:rtl/>
        </w:rPr>
        <w:t>שבועת השומרים</w:t>
      </w:r>
      <w:r>
        <w:rPr>
          <w:rFonts w:cs="Arial" w:hint="cs"/>
          <w:rtl/>
        </w:rPr>
        <w:t>:</w:t>
      </w:r>
      <w:r w:rsidRPr="00A97A31">
        <w:rPr>
          <w:rFonts w:cs="Arial"/>
          <w:rtl/>
        </w:rPr>
        <w:t xml:space="preserve"> שבועה שמחייבים בה שומר הטוען טענה שיכולה לפטור אותו מתשלום דמי הפקדון (כגון שומר חינם שטוען שאבד לו הפקדון, או שומר שכר שטוען שאירע אונס לפקדון);</w:t>
      </w:r>
    </w:p>
  </w:endnote>
  <w:endnote w:id="6">
    <w:p w:rsidR="00D86C31" w:rsidRPr="004378B3" w:rsidRDefault="00D86C31" w:rsidP="00B018B4">
      <w:pPr>
        <w:pStyle w:val="ac"/>
        <w:rPr>
          <w:sz w:val="18"/>
          <w:szCs w:val="18"/>
        </w:rPr>
      </w:pPr>
      <w:r w:rsidRPr="008163DC">
        <w:rPr>
          <w:rStyle w:val="ae"/>
          <w:b/>
          <w:bCs/>
          <w:color w:val="C00000"/>
          <w:sz w:val="18"/>
          <w:szCs w:val="18"/>
          <w:vertAlign w:val="baseline"/>
        </w:rPr>
        <w:endnoteRef/>
      </w:r>
      <w:r w:rsidRPr="003F6033">
        <w:rPr>
          <w:rStyle w:val="ae"/>
          <w:b/>
          <w:bCs/>
          <w:color w:val="C00000"/>
          <w:sz w:val="24"/>
          <w:szCs w:val="24"/>
          <w:vertAlign w:val="baseline"/>
          <w:rtl/>
        </w:rPr>
        <w:t xml:space="preserve"> </w:t>
      </w:r>
      <w:r w:rsidRPr="004378B3">
        <w:rPr>
          <w:sz w:val="18"/>
          <w:szCs w:val="18"/>
          <w:rtl/>
        </w:rPr>
        <w:t>שומר חינם שטוען שאבד לו הפקדון, או שומר שכר שטוען שאירע אונס לפקדון</w:t>
      </w:r>
      <w:r w:rsidRPr="004378B3">
        <w:rPr>
          <w:rFonts w:hint="cs"/>
          <w:sz w:val="18"/>
          <w:szCs w:val="18"/>
          <w:rtl/>
        </w:rPr>
        <w:t>.</w:t>
      </w:r>
    </w:p>
  </w:endnote>
  <w:endnote w:id="7">
    <w:p w:rsidR="00D86C31" w:rsidRDefault="00D86C31">
      <w:pPr>
        <w:pStyle w:val="ac"/>
        <w:rPr>
          <w:rtl/>
        </w:rPr>
      </w:pPr>
      <w:r w:rsidRPr="008163DC">
        <w:rPr>
          <w:rStyle w:val="ae"/>
          <w:b/>
          <w:bCs/>
          <w:color w:val="C00000"/>
          <w:sz w:val="18"/>
          <w:szCs w:val="18"/>
          <w:vertAlign w:val="baseline"/>
        </w:rPr>
        <w:endnoteRef/>
      </w:r>
      <w:r>
        <w:rPr>
          <w:rtl/>
        </w:rPr>
        <w:t xml:space="preserve"> </w:t>
      </w:r>
      <w:r w:rsidRPr="00A97A31">
        <w:rPr>
          <w:rFonts w:cs="Arial"/>
          <w:rtl/>
        </w:rPr>
        <w:t>שבועת עד אחד</w:t>
      </w:r>
      <w:r>
        <w:rPr>
          <w:rFonts w:cs="Arial" w:hint="cs"/>
          <w:rtl/>
        </w:rPr>
        <w:t>:</w:t>
      </w:r>
      <w:r w:rsidRPr="00A97A31">
        <w:rPr>
          <w:rFonts w:cs="Arial"/>
          <w:rtl/>
        </w:rPr>
        <w:t xml:space="preserve"> שבועה שמחייבים בה את הנתבע להשבע כאשר עד אחד מעיד נגדו</w:t>
      </w:r>
      <w:r>
        <w:rPr>
          <w:rFonts w:hint="cs"/>
          <w:rtl/>
        </w:rPr>
        <w:t>.</w:t>
      </w:r>
    </w:p>
  </w:endnote>
  <w:endnote w:id="8">
    <w:p w:rsidR="000E1D93" w:rsidRDefault="000E1D93" w:rsidP="00B018B4">
      <w:pPr>
        <w:pStyle w:val="ac"/>
      </w:pPr>
      <w:r w:rsidRPr="008163DC">
        <w:rPr>
          <w:rStyle w:val="ae"/>
          <w:b/>
          <w:bCs/>
          <w:color w:val="C00000"/>
          <w:sz w:val="18"/>
          <w:szCs w:val="18"/>
          <w:vertAlign w:val="baseline"/>
        </w:rPr>
        <w:endnoteRef/>
      </w:r>
      <w:r w:rsidRPr="003F6033">
        <w:rPr>
          <w:rStyle w:val="ae"/>
          <w:b/>
          <w:bCs/>
          <w:color w:val="C00000"/>
          <w:sz w:val="24"/>
          <w:szCs w:val="24"/>
          <w:vertAlign w:val="baseline"/>
          <w:rtl/>
        </w:rPr>
        <w:t xml:space="preserve"> </w:t>
      </w:r>
      <w:r w:rsidRPr="004378B3">
        <w:rPr>
          <w:sz w:val="18"/>
          <w:szCs w:val="18"/>
          <w:rtl/>
        </w:rPr>
        <w:t>משום שנתקנה בתקופת המשנה.</w:t>
      </w:r>
      <w:r>
        <w:rPr>
          <w:rFonts w:hint="cs"/>
          <w:rtl/>
        </w:rPr>
        <w:t xml:space="preserve"> עיקרה נלמד בפרק ז'.</w:t>
      </w:r>
    </w:p>
  </w:endnote>
  <w:endnote w:id="9">
    <w:p w:rsidR="000E1D93" w:rsidRDefault="000E1D93" w:rsidP="00CD7D37">
      <w:pPr>
        <w:pStyle w:val="ac"/>
      </w:pPr>
      <w:r w:rsidRPr="008163DC">
        <w:rPr>
          <w:rStyle w:val="ae"/>
          <w:b/>
          <w:bCs/>
          <w:color w:val="C00000"/>
          <w:sz w:val="18"/>
          <w:szCs w:val="18"/>
          <w:vertAlign w:val="baseline"/>
        </w:rPr>
        <w:endnoteRef/>
      </w:r>
      <w:r w:rsidRPr="008163DC">
        <w:rPr>
          <w:rStyle w:val="ae"/>
          <w:b/>
          <w:bCs/>
          <w:color w:val="C00000"/>
          <w:sz w:val="18"/>
          <w:szCs w:val="18"/>
          <w:vertAlign w:val="baseline"/>
          <w:rtl/>
        </w:rPr>
        <w:t xml:space="preserve"> </w:t>
      </w:r>
      <w:bookmarkStart w:id="4" w:name="OLE_LINK23"/>
      <w:r w:rsidRPr="00FC3225">
        <w:rPr>
          <w:sz w:val="18"/>
          <w:szCs w:val="18"/>
          <w:rtl/>
        </w:rPr>
        <w:t xml:space="preserve">שכיר </w:t>
      </w:r>
      <w:bookmarkStart w:id="5" w:name="_Hlk503528454"/>
      <w:r w:rsidRPr="00FC3225">
        <w:rPr>
          <w:sz w:val="18"/>
          <w:szCs w:val="18"/>
          <w:rtl/>
        </w:rPr>
        <w:t xml:space="preserve">שתבע מבעל הבית בזמנו </w:t>
      </w:r>
      <w:bookmarkEnd w:id="5"/>
      <w:r w:rsidRPr="00FC3225">
        <w:rPr>
          <w:sz w:val="18"/>
          <w:szCs w:val="18"/>
          <w:rtl/>
        </w:rPr>
        <w:t xml:space="preserve">(שכיר יום - במשך כל הלילה שלאחר עבודתו עד הבוקר; שכיר לילה - במשך כל היום שלאחר עבודתו עד שקיעת החמה), שישלם לו את שכר מלאכתו, ובעל הבית טוען, שכבר שילם לו את שכרו, והשכיר טוען, שעדיין לא קיבל את שכרו, הדין הוא, שהשכיר נשבע שלא קיבל את שכרו, ובעל הבית משלם לו. </w:t>
      </w:r>
      <w:bookmarkEnd w:id="4"/>
    </w:p>
  </w:endnote>
  <w:endnote w:id="10">
    <w:p w:rsidR="0057316D" w:rsidRDefault="0057316D" w:rsidP="0057316D">
      <w:pPr>
        <w:pStyle w:val="ac"/>
        <w:rPr>
          <w:rFonts w:hint="cs"/>
        </w:rPr>
      </w:pPr>
      <w:r>
        <w:rPr>
          <w:rStyle w:val="ae"/>
        </w:rPr>
        <w:endnoteRef/>
      </w:r>
      <w:r>
        <w:rPr>
          <w:rtl/>
        </w:rPr>
        <w:t xml:space="preserve"> </w:t>
      </w:r>
      <w:r>
        <w:rPr>
          <w:rFonts w:cs="Arial"/>
          <w:rtl/>
        </w:rPr>
        <w:t>שולחן ערוך חושן משפט הלכות טוען ונטען סימן פז</w:t>
      </w:r>
      <w:r>
        <w:rPr>
          <w:rFonts w:cs="Arial" w:hint="cs"/>
          <w:rtl/>
        </w:rPr>
        <w:t xml:space="preserve"> ס' ט.</w:t>
      </w:r>
    </w:p>
  </w:endnote>
  <w:endnote w:id="11">
    <w:p w:rsidR="000E1D93" w:rsidRDefault="000E1D93" w:rsidP="008D4647">
      <w:pPr>
        <w:pStyle w:val="ac"/>
        <w:rPr>
          <w:rFonts w:hint="cs"/>
        </w:rPr>
      </w:pPr>
      <w:r w:rsidRPr="00EC413C">
        <w:rPr>
          <w:rStyle w:val="ae"/>
          <w:b/>
          <w:bCs/>
          <w:color w:val="C00000"/>
          <w:sz w:val="18"/>
          <w:szCs w:val="18"/>
          <w:vertAlign w:val="baseline"/>
        </w:rPr>
        <w:endnoteRef/>
      </w:r>
      <w:r w:rsidRPr="00EC413C">
        <w:rPr>
          <w:rStyle w:val="ae"/>
          <w:b/>
          <w:bCs/>
          <w:color w:val="C00000"/>
          <w:sz w:val="18"/>
          <w:szCs w:val="18"/>
          <w:vertAlign w:val="baseline"/>
          <w:rtl/>
        </w:rPr>
        <w:t xml:space="preserve"> </w:t>
      </w:r>
      <w:r w:rsidRPr="00AF011F">
        <w:rPr>
          <w:rtl/>
        </w:rPr>
        <w:t xml:space="preserve">נתבע </w:t>
      </w:r>
      <w:r>
        <w:rPr>
          <w:rFonts w:hint="cs"/>
          <w:rtl/>
        </w:rPr>
        <w:t>ה</w:t>
      </w:r>
      <w:r w:rsidRPr="00AF011F">
        <w:rPr>
          <w:rtl/>
        </w:rPr>
        <w:t>חשוד שישבע לשקר</w:t>
      </w:r>
      <w:r>
        <w:rPr>
          <w:rFonts w:hint="cs"/>
          <w:rtl/>
        </w:rPr>
        <w:t xml:space="preserve"> הוא </w:t>
      </w:r>
      <w:r>
        <w:rPr>
          <w:rFonts w:cs="Arial"/>
          <w:rtl/>
        </w:rPr>
        <w:t>מי שמעידים עליו עדים שהוא חשוד להישבע לשקר או שעבר עבירה הפוסלתו להישבע. "חשוד על השבועה", מחשש שמא ישבע לשק</w:t>
      </w:r>
      <w:r>
        <w:rPr>
          <w:rFonts w:cs="Arial" w:hint="cs"/>
          <w:rtl/>
        </w:rPr>
        <w:t xml:space="preserve">ר, </w:t>
      </w:r>
      <w:r>
        <w:rPr>
          <w:rFonts w:cs="Arial"/>
          <w:rtl/>
        </w:rPr>
        <w:t>אין משביעים אותו לא שבועת התורה ולא שבועת המשנה ולא שבועת היסת</w:t>
      </w:r>
      <w:r>
        <w:rPr>
          <w:rFonts w:cs="Arial" w:hint="cs"/>
          <w:rtl/>
        </w:rPr>
        <w:t>.</w:t>
      </w:r>
    </w:p>
  </w:endnote>
  <w:endnote w:id="12">
    <w:p w:rsidR="000E1D93" w:rsidRDefault="000E1D93" w:rsidP="00AF011F">
      <w:pPr>
        <w:pStyle w:val="ac"/>
        <w:rPr>
          <w:rFonts w:hint="cs"/>
          <w:rtl/>
        </w:rPr>
      </w:pPr>
      <w:r w:rsidRPr="00EC413C">
        <w:rPr>
          <w:rStyle w:val="ae"/>
          <w:b/>
          <w:bCs/>
          <w:color w:val="C00000"/>
          <w:sz w:val="18"/>
          <w:szCs w:val="18"/>
          <w:vertAlign w:val="baseline"/>
        </w:rPr>
        <w:endnoteRef/>
      </w:r>
      <w:r>
        <w:rPr>
          <w:rtl/>
        </w:rPr>
        <w:t xml:space="preserve"> </w:t>
      </w:r>
      <w:r>
        <w:rPr>
          <w:rFonts w:hint="cs"/>
          <w:rtl/>
        </w:rPr>
        <w:t>כאשר</w:t>
      </w:r>
      <w:r w:rsidRPr="00AF011F">
        <w:rPr>
          <w:rtl/>
        </w:rPr>
        <w:t xml:space="preserve"> הנתבע חשוד שישבע לשקר, הדין הוא </w:t>
      </w:r>
      <w:r w:rsidRPr="00CA430F">
        <w:rPr>
          <w:u w:val="single"/>
          <w:rtl/>
        </w:rPr>
        <w:t>שהתובע</w:t>
      </w:r>
      <w:r w:rsidRPr="00AF011F">
        <w:rPr>
          <w:rtl/>
        </w:rPr>
        <w:t xml:space="preserve"> נשבע על אמיתות תביעתו ונוטל את שתבע.</w:t>
      </w:r>
    </w:p>
  </w:endnote>
  <w:endnote w:id="13">
    <w:p w:rsidR="00FA3BB7" w:rsidRDefault="00FA3BB7">
      <w:pPr>
        <w:pStyle w:val="ac"/>
        <w:rPr>
          <w:rtl/>
        </w:rPr>
      </w:pPr>
      <w:r w:rsidRPr="008222BE">
        <w:rPr>
          <w:rStyle w:val="ae"/>
          <w:b/>
          <w:bCs/>
          <w:color w:val="C00000"/>
          <w:sz w:val="18"/>
          <w:szCs w:val="18"/>
          <w:vertAlign w:val="baseline"/>
        </w:rPr>
        <w:endnoteRef/>
      </w:r>
      <w:r>
        <w:rPr>
          <w:rtl/>
        </w:rPr>
        <w:t xml:space="preserve"> </w:t>
      </w:r>
      <w:bookmarkStart w:id="7" w:name="OLE_LINK6"/>
      <w:r>
        <w:rPr>
          <w:rFonts w:cs="Arial" w:hint="cs"/>
          <w:rtl/>
        </w:rPr>
        <w:t xml:space="preserve">תקנת </w:t>
      </w:r>
      <w:r w:rsidRPr="008222BE">
        <w:rPr>
          <w:rFonts w:cs="Arial"/>
          <w:rtl/>
        </w:rPr>
        <w:t>חכמים בתקופת המשנה</w:t>
      </w:r>
      <w:r>
        <w:rPr>
          <w:rFonts w:cs="Arial" w:hint="cs"/>
          <w:rtl/>
        </w:rPr>
        <w:t>.</w:t>
      </w:r>
      <w:bookmarkEnd w:id="7"/>
    </w:p>
  </w:endnote>
  <w:endnote w:id="14">
    <w:p w:rsidR="00FA3BB7" w:rsidRDefault="00FA3BB7" w:rsidP="00631A4C">
      <w:pPr>
        <w:pStyle w:val="ac"/>
        <w:rPr>
          <w:rtl/>
        </w:rPr>
      </w:pPr>
      <w:r w:rsidRPr="007B77D8">
        <w:rPr>
          <w:rStyle w:val="ae"/>
          <w:b/>
          <w:bCs/>
          <w:color w:val="C00000"/>
          <w:sz w:val="18"/>
          <w:szCs w:val="18"/>
          <w:vertAlign w:val="baseline"/>
        </w:rPr>
        <w:endnoteRef/>
      </w:r>
      <w:r>
        <w:rPr>
          <w:rtl/>
        </w:rPr>
        <w:t xml:space="preserve"> </w:t>
      </w:r>
      <w:r w:rsidRPr="007B77D8">
        <w:rPr>
          <w:sz w:val="18"/>
          <w:szCs w:val="18"/>
          <w:rtl/>
        </w:rPr>
        <w:t>חכמים תיקנו לטובתו שיהא בידו להישבע וליטול</w:t>
      </w:r>
      <w:r w:rsidRPr="007B77D8">
        <w:rPr>
          <w:rFonts w:hint="cs"/>
          <w:sz w:val="18"/>
          <w:szCs w:val="18"/>
          <w:rtl/>
        </w:rPr>
        <w:t xml:space="preserve">. </w:t>
      </w:r>
      <w:r w:rsidRPr="007B77D8">
        <w:rPr>
          <w:rFonts w:cs="Arial"/>
          <w:sz w:val="18"/>
          <w:szCs w:val="18"/>
          <w:rtl/>
        </w:rPr>
        <w:t>במקרים אלו, נחלקו אחרונים בגדר זכות</w:t>
      </w:r>
      <w:r w:rsidRPr="007B77D8">
        <w:rPr>
          <w:rFonts w:hint="cs"/>
          <w:sz w:val="18"/>
          <w:szCs w:val="18"/>
          <w:rtl/>
        </w:rPr>
        <w:t xml:space="preserve"> </w:t>
      </w:r>
      <w:r w:rsidRPr="007B77D8">
        <w:rPr>
          <w:rFonts w:cs="Arial"/>
          <w:sz w:val="18"/>
          <w:szCs w:val="18"/>
          <w:rtl/>
        </w:rPr>
        <w:t xml:space="preserve">התובע בממון לאחר שנשבע; לדעת </w:t>
      </w:r>
      <w:bookmarkStart w:id="8" w:name="OLE_LINK17"/>
      <w:r w:rsidRPr="007B77D8">
        <w:rPr>
          <w:rFonts w:cs="Arial"/>
          <w:sz w:val="18"/>
          <w:szCs w:val="18"/>
          <w:rtl/>
        </w:rPr>
        <w:t>הש״ך (תקפו</w:t>
      </w:r>
      <w:r w:rsidRPr="007B77D8">
        <w:rPr>
          <w:rFonts w:hint="cs"/>
          <w:sz w:val="18"/>
          <w:szCs w:val="18"/>
          <w:rtl/>
        </w:rPr>
        <w:t xml:space="preserve"> </w:t>
      </w:r>
      <w:r w:rsidRPr="007B77D8">
        <w:rPr>
          <w:rFonts w:cs="Arial"/>
          <w:sz w:val="18"/>
          <w:szCs w:val="18"/>
          <w:rtl/>
        </w:rPr>
        <w:t xml:space="preserve">כהן, כז) </w:t>
      </w:r>
      <w:bookmarkEnd w:id="8"/>
      <w:r w:rsidRPr="007B77D8">
        <w:rPr>
          <w:rFonts w:cs="Arial"/>
          <w:sz w:val="18"/>
          <w:szCs w:val="18"/>
          <w:rtl/>
        </w:rPr>
        <w:t>אין לתובע זכות בממון אלא מדרבנן.</w:t>
      </w:r>
      <w:r w:rsidRPr="007B77D8">
        <w:rPr>
          <w:rFonts w:hint="cs"/>
          <w:sz w:val="18"/>
          <w:szCs w:val="18"/>
          <w:rtl/>
        </w:rPr>
        <w:t xml:space="preserve"> </w:t>
      </w:r>
      <w:r w:rsidRPr="007B77D8">
        <w:rPr>
          <w:rFonts w:cs="Arial"/>
          <w:sz w:val="18"/>
          <w:szCs w:val="18"/>
          <w:rtl/>
        </w:rPr>
        <w:t>ולכן אם הנתבע מסרב לשלם, דינו כדין גזלן</w:t>
      </w:r>
      <w:r w:rsidRPr="007B77D8">
        <w:rPr>
          <w:rFonts w:cs="Arial" w:hint="cs"/>
          <w:sz w:val="18"/>
          <w:szCs w:val="18"/>
          <w:rtl/>
        </w:rPr>
        <w:t xml:space="preserve"> </w:t>
      </w:r>
      <w:r w:rsidRPr="007B77D8">
        <w:rPr>
          <w:rFonts w:cs="Arial"/>
          <w:sz w:val="18"/>
          <w:szCs w:val="18"/>
          <w:rtl/>
        </w:rPr>
        <w:t>מדרבנן, שאין בית דין יורדים לנכסיו לגבות</w:t>
      </w:r>
      <w:r w:rsidRPr="007B77D8">
        <w:rPr>
          <w:rFonts w:hint="cs"/>
          <w:sz w:val="18"/>
          <w:szCs w:val="18"/>
          <w:rtl/>
        </w:rPr>
        <w:t xml:space="preserve"> </w:t>
      </w:r>
      <w:r w:rsidRPr="007B77D8">
        <w:rPr>
          <w:rFonts w:cs="Arial"/>
          <w:sz w:val="18"/>
          <w:szCs w:val="18"/>
          <w:rtl/>
        </w:rPr>
        <w:t>מהם בכפיה, אלא מנדים אותו עד שישלם.</w:t>
      </w:r>
      <w:r w:rsidRPr="007B77D8">
        <w:rPr>
          <w:rFonts w:hint="cs"/>
          <w:sz w:val="18"/>
          <w:szCs w:val="18"/>
          <w:rtl/>
        </w:rPr>
        <w:t xml:space="preserve"> </w:t>
      </w:r>
      <w:r w:rsidRPr="007B77D8">
        <w:rPr>
          <w:rFonts w:cs="Arial"/>
          <w:sz w:val="18"/>
          <w:szCs w:val="18"/>
          <w:rtl/>
        </w:rPr>
        <w:t>אבל קצות החושן (פט, א) סובר, שלאחר תקנת</w:t>
      </w:r>
      <w:r w:rsidRPr="007B77D8">
        <w:rPr>
          <w:rFonts w:hint="cs"/>
          <w:sz w:val="18"/>
          <w:szCs w:val="18"/>
          <w:rtl/>
        </w:rPr>
        <w:t xml:space="preserve"> </w:t>
      </w:r>
      <w:r w:rsidRPr="007B77D8">
        <w:rPr>
          <w:rFonts w:cs="Arial"/>
          <w:sz w:val="18"/>
          <w:szCs w:val="18"/>
          <w:rtl/>
        </w:rPr>
        <w:t>חכמים הממון שייך לתובע לגמרי. שהרי אם</w:t>
      </w:r>
      <w:r w:rsidRPr="007B77D8">
        <w:rPr>
          <w:rFonts w:hint="cs"/>
          <w:sz w:val="18"/>
          <w:szCs w:val="18"/>
          <w:rtl/>
        </w:rPr>
        <w:t xml:space="preserve"> </w:t>
      </w:r>
      <w:r w:rsidRPr="007B77D8">
        <w:rPr>
          <w:rFonts w:cs="Arial"/>
          <w:sz w:val="18"/>
          <w:szCs w:val="18"/>
          <w:rtl/>
        </w:rPr>
        <w:t>האמת כדבריו, ברור שהממון שייך לו מדין</w:t>
      </w:r>
      <w:r w:rsidRPr="007B77D8">
        <w:rPr>
          <w:rFonts w:cs="Arial" w:hint="cs"/>
          <w:sz w:val="18"/>
          <w:szCs w:val="18"/>
          <w:rtl/>
        </w:rPr>
        <w:t xml:space="preserve"> </w:t>
      </w:r>
      <w:r w:rsidRPr="007B77D8">
        <w:rPr>
          <w:rFonts w:cs="Arial"/>
          <w:sz w:val="18"/>
          <w:szCs w:val="18"/>
          <w:rtl/>
        </w:rPr>
        <w:t>תורה. אלא שבלא התקנה לא היתה לו נאמנות</w:t>
      </w:r>
      <w:r w:rsidRPr="007B77D8">
        <w:rPr>
          <w:rFonts w:cs="Arial" w:hint="cs"/>
          <w:sz w:val="18"/>
          <w:szCs w:val="18"/>
          <w:rtl/>
        </w:rPr>
        <w:t xml:space="preserve"> </w:t>
      </w:r>
      <w:r w:rsidRPr="007B77D8">
        <w:rPr>
          <w:rFonts w:cs="Arial"/>
          <w:sz w:val="18"/>
          <w:szCs w:val="18"/>
          <w:rtl/>
        </w:rPr>
        <w:t>לזכות בדין, אבל במקום שתיקנו חכמים שיהא</w:t>
      </w:r>
      <w:r w:rsidRPr="007B77D8">
        <w:rPr>
          <w:rFonts w:cs="Arial" w:hint="cs"/>
          <w:sz w:val="18"/>
          <w:szCs w:val="18"/>
          <w:rtl/>
        </w:rPr>
        <w:t xml:space="preserve"> </w:t>
      </w:r>
      <w:r w:rsidRPr="007B77D8">
        <w:rPr>
          <w:rFonts w:cs="Arial"/>
          <w:sz w:val="18"/>
          <w:szCs w:val="18"/>
          <w:rtl/>
        </w:rPr>
        <w:t>נאמן, נתנו לו נאמנות כעין של תורה [ויש להם</w:t>
      </w:r>
      <w:r w:rsidRPr="007B77D8">
        <w:rPr>
          <w:rFonts w:cs="Arial" w:hint="cs"/>
          <w:sz w:val="18"/>
          <w:szCs w:val="18"/>
          <w:rtl/>
        </w:rPr>
        <w:t xml:space="preserve"> </w:t>
      </w:r>
      <w:r w:rsidRPr="007B77D8">
        <w:rPr>
          <w:rFonts w:cs="Arial"/>
          <w:sz w:val="18"/>
          <w:szCs w:val="18"/>
          <w:rtl/>
        </w:rPr>
        <w:t>כח לעשות זאת מדין"הפקר בית דין הפקר"].</w:t>
      </w:r>
      <w:r w:rsidRPr="007B77D8">
        <w:rPr>
          <w:rFonts w:cs="Arial" w:hint="cs"/>
          <w:sz w:val="18"/>
          <w:szCs w:val="18"/>
          <w:rtl/>
        </w:rPr>
        <w:t xml:space="preserve"> </w:t>
      </w:r>
      <w:r w:rsidRPr="007B77D8">
        <w:rPr>
          <w:rFonts w:cs="Arial"/>
          <w:sz w:val="18"/>
          <w:szCs w:val="18"/>
          <w:rtl/>
        </w:rPr>
        <w:t>ולכן לדעתו אם הנתבע מסרב לשלם, דינו כדין</w:t>
      </w:r>
      <w:r>
        <w:rPr>
          <w:rFonts w:hint="cs"/>
          <w:sz w:val="18"/>
          <w:szCs w:val="18"/>
          <w:rtl/>
        </w:rPr>
        <w:t xml:space="preserve"> </w:t>
      </w:r>
      <w:r w:rsidRPr="007B77D8">
        <w:rPr>
          <w:rFonts w:cs="Arial"/>
          <w:sz w:val="18"/>
          <w:szCs w:val="18"/>
          <w:rtl/>
        </w:rPr>
        <w:t>גזלן גמור שיורדים לנכסיו.</w:t>
      </w:r>
    </w:p>
  </w:endnote>
  <w:endnote w:id="15">
    <w:p w:rsidR="00FA3BB7" w:rsidRDefault="00FA3BB7" w:rsidP="00495283">
      <w:pPr>
        <w:pStyle w:val="ac"/>
        <w:rPr>
          <w:rFonts w:hint="cs"/>
          <w:rtl/>
        </w:rPr>
      </w:pPr>
      <w:r w:rsidRPr="00495283">
        <w:rPr>
          <w:rStyle w:val="ae"/>
          <w:b/>
          <w:bCs/>
          <w:color w:val="C00000"/>
          <w:sz w:val="18"/>
          <w:szCs w:val="18"/>
          <w:vertAlign w:val="baseline"/>
        </w:rPr>
        <w:endnoteRef/>
      </w:r>
      <w:r>
        <w:rPr>
          <w:rtl/>
        </w:rPr>
        <w:t xml:space="preserve"> </w:t>
      </w:r>
      <w:bookmarkStart w:id="9" w:name="OLE_LINK21"/>
      <w:r w:rsidRPr="00495283">
        <w:rPr>
          <w:rtl/>
        </w:rPr>
        <w:t>לשיטת רש״י בכתובות</w:t>
      </w:r>
      <w:r>
        <w:rPr>
          <w:rFonts w:hint="cs"/>
          <w:rtl/>
        </w:rPr>
        <w:t xml:space="preserve"> דף </w:t>
      </w:r>
      <w:r w:rsidRPr="00495283">
        <w:rPr>
          <w:rtl/>
        </w:rPr>
        <w:t>פח</w:t>
      </w:r>
      <w:r>
        <w:rPr>
          <w:rFonts w:hint="cs"/>
          <w:rtl/>
        </w:rPr>
        <w:t xml:space="preserve"> עמוד</w:t>
      </w:r>
      <w:r w:rsidRPr="00495283">
        <w:rPr>
          <w:rtl/>
        </w:rPr>
        <w:t xml:space="preserve"> א, גם שבועות הנוטלין הן שבועות קלות ללא נקיטת חפץ, </w:t>
      </w:r>
      <w:r w:rsidRPr="00495283">
        <w:rPr>
          <w:rFonts w:hint="cs"/>
          <w:rtl/>
        </w:rPr>
        <w:t>כ</w:t>
      </w:r>
      <w:r w:rsidRPr="00495283">
        <w:rPr>
          <w:rtl/>
        </w:rPr>
        <w:t>יון שהן דרבנן, ורק</w:t>
      </w:r>
      <w:r>
        <w:rPr>
          <w:rFonts w:hint="cs"/>
          <w:rtl/>
        </w:rPr>
        <w:t xml:space="preserve"> </w:t>
      </w:r>
      <w:r w:rsidRPr="00495283">
        <w:rPr>
          <w:rtl/>
        </w:rPr>
        <w:t>שבועות דאורייתא טעונות נקיטת חפץ.</w:t>
      </w:r>
      <w:bookmarkEnd w:id="9"/>
      <w:r w:rsidRPr="00495283">
        <w:rPr>
          <w:rtl/>
        </w:rPr>
        <w:t>גם הראשונים הסוברים ששבועות</w:t>
      </w:r>
      <w:r>
        <w:rPr>
          <w:rFonts w:hint="cs"/>
          <w:rtl/>
        </w:rPr>
        <w:t xml:space="preserve"> </w:t>
      </w:r>
      <w:r w:rsidRPr="00495283">
        <w:rPr>
          <w:rtl/>
        </w:rPr>
        <w:t xml:space="preserve">הנוטלים חמורות </w:t>
      </w:r>
      <w:r w:rsidRPr="00495283">
        <w:rPr>
          <w:rFonts w:hint="cs"/>
          <w:rtl/>
        </w:rPr>
        <w:t>כ</w:t>
      </w:r>
      <w:r w:rsidRPr="00495283">
        <w:rPr>
          <w:rtl/>
        </w:rPr>
        <w:t>עין של תורה וטעונות נקיטת חפץ  (ו</w:t>
      </w:r>
      <w:r w:rsidRPr="00495283">
        <w:rPr>
          <w:rFonts w:hint="cs"/>
          <w:rtl/>
        </w:rPr>
        <w:t>כ</w:t>
      </w:r>
      <w:r w:rsidRPr="00495283">
        <w:rPr>
          <w:rtl/>
        </w:rPr>
        <w:t>ן שיטת רש״י בגיטין לה,</w:t>
      </w:r>
      <w:r>
        <w:rPr>
          <w:rFonts w:hint="cs"/>
          <w:rtl/>
        </w:rPr>
        <w:t xml:space="preserve"> </w:t>
      </w:r>
      <w:r w:rsidRPr="00495283">
        <w:rPr>
          <w:rtl/>
        </w:rPr>
        <w:t xml:space="preserve">א), מודים ששבועות אלו הנזכרות כאן הן שבועות קלות ללא </w:t>
      </w:r>
      <w:r>
        <w:rPr>
          <w:rFonts w:hint="cs"/>
          <w:rtl/>
        </w:rPr>
        <w:t>נ</w:t>
      </w:r>
      <w:r w:rsidRPr="00495283">
        <w:rPr>
          <w:rtl/>
        </w:rPr>
        <w:t xml:space="preserve">קיטת חפץ, </w:t>
      </w:r>
      <w:r w:rsidRPr="00495283">
        <w:rPr>
          <w:rFonts w:hint="cs"/>
          <w:rtl/>
        </w:rPr>
        <w:t>כ</w:t>
      </w:r>
      <w:r w:rsidRPr="00495283">
        <w:rPr>
          <w:rtl/>
        </w:rPr>
        <w:t>יון</w:t>
      </w:r>
      <w:r>
        <w:rPr>
          <w:rFonts w:hint="cs"/>
          <w:rtl/>
        </w:rPr>
        <w:t xml:space="preserve"> </w:t>
      </w:r>
      <w:r w:rsidRPr="00495283">
        <w:rPr>
          <w:rtl/>
        </w:rPr>
        <w:t xml:space="preserve">שהן שבועות </w:t>
      </w:r>
      <w:r w:rsidRPr="00495283">
        <w:rPr>
          <w:rFonts w:hint="cs"/>
          <w:rtl/>
        </w:rPr>
        <w:t>כ</w:t>
      </w:r>
      <w:r w:rsidRPr="00495283">
        <w:rPr>
          <w:rtl/>
        </w:rPr>
        <w:t>די להיפטר, בשבועת היסת  (עיין ריטב״א מה, א; אולם עיין ביאור</w:t>
      </w:r>
      <w:r>
        <w:rPr>
          <w:rFonts w:hint="cs"/>
          <w:rtl/>
        </w:rPr>
        <w:t xml:space="preserve"> </w:t>
      </w:r>
      <w:r w:rsidRPr="00495283">
        <w:rPr>
          <w:rtl/>
        </w:rPr>
        <w:t>הגר״א חושן משפט צא, בז).</w:t>
      </w:r>
    </w:p>
  </w:endnote>
  <w:endnote w:id="16">
    <w:p w:rsidR="00FA3BB7" w:rsidRPr="008D2945" w:rsidRDefault="00FA3BB7" w:rsidP="00CD4F43">
      <w:pPr>
        <w:pStyle w:val="ac"/>
        <w:rPr>
          <w:sz w:val="18"/>
          <w:szCs w:val="18"/>
          <w:rtl/>
        </w:rPr>
      </w:pPr>
      <w:r w:rsidRPr="00A1623E">
        <w:rPr>
          <w:rStyle w:val="ae"/>
          <w:b/>
          <w:bCs/>
          <w:color w:val="C00000"/>
          <w:sz w:val="18"/>
          <w:szCs w:val="18"/>
          <w:vertAlign w:val="baseline"/>
        </w:rPr>
        <w:endnoteRef/>
      </w:r>
      <w:r>
        <w:rPr>
          <w:rtl/>
        </w:rPr>
        <w:t xml:space="preserve"> </w:t>
      </w:r>
      <w:r w:rsidRPr="008D2945">
        <w:rPr>
          <w:sz w:val="18"/>
          <w:szCs w:val="18"/>
          <w:rtl/>
        </w:rPr>
        <w:t xml:space="preserve">בשבועות הנוטלים </w:t>
      </w:r>
      <w:r w:rsidRPr="008D2945">
        <w:rPr>
          <w:rFonts w:hint="cs"/>
          <w:sz w:val="18"/>
          <w:szCs w:val="18"/>
          <w:rtl/>
        </w:rPr>
        <w:t>(</w:t>
      </w:r>
      <w:r w:rsidRPr="008D2945">
        <w:rPr>
          <w:sz w:val="18"/>
          <w:szCs w:val="18"/>
          <w:rtl/>
        </w:rPr>
        <w:t>שמעיקר הדין אין לתובע</w:t>
      </w:r>
      <w:r w:rsidRPr="008D2945">
        <w:rPr>
          <w:rFonts w:hint="cs"/>
          <w:sz w:val="18"/>
          <w:szCs w:val="18"/>
          <w:rtl/>
        </w:rPr>
        <w:t xml:space="preserve"> </w:t>
      </w:r>
      <w:r w:rsidRPr="008D2945">
        <w:rPr>
          <w:sz w:val="18"/>
          <w:szCs w:val="18"/>
          <w:rtl/>
        </w:rPr>
        <w:t>נאמנות בטענתו, וחכמים תיקנו לו שישבע ויטול</w:t>
      </w:r>
      <w:bookmarkStart w:id="11" w:name="OLE_LINK14"/>
      <w:r w:rsidRPr="008D2945">
        <w:rPr>
          <w:rFonts w:hint="cs"/>
          <w:sz w:val="18"/>
          <w:szCs w:val="18"/>
          <w:rtl/>
        </w:rPr>
        <w:t>)</w:t>
      </w:r>
      <w:r w:rsidRPr="008D2945">
        <w:rPr>
          <w:sz w:val="18"/>
          <w:szCs w:val="18"/>
          <w:rtl/>
        </w:rPr>
        <w:t>, אין לתובע ז</w:t>
      </w:r>
      <w:r w:rsidRPr="008D2945">
        <w:rPr>
          <w:rFonts w:hint="cs"/>
          <w:sz w:val="18"/>
          <w:szCs w:val="18"/>
          <w:rtl/>
        </w:rPr>
        <w:t>כ</w:t>
      </w:r>
      <w:r w:rsidRPr="008D2945">
        <w:rPr>
          <w:sz w:val="18"/>
          <w:szCs w:val="18"/>
          <w:rtl/>
        </w:rPr>
        <w:t>ות בממון אלא בשבועה, ול</w:t>
      </w:r>
      <w:r w:rsidRPr="008D2945">
        <w:rPr>
          <w:rFonts w:hint="cs"/>
          <w:sz w:val="18"/>
          <w:szCs w:val="18"/>
          <w:rtl/>
        </w:rPr>
        <w:t>כ</w:t>
      </w:r>
      <w:r w:rsidRPr="008D2945">
        <w:rPr>
          <w:sz w:val="18"/>
          <w:szCs w:val="18"/>
          <w:rtl/>
        </w:rPr>
        <w:t>ן</w:t>
      </w:r>
      <w:r w:rsidRPr="008D2945">
        <w:rPr>
          <w:rFonts w:hint="cs"/>
          <w:sz w:val="18"/>
          <w:szCs w:val="18"/>
          <w:rtl/>
        </w:rPr>
        <w:t xml:space="preserve"> </w:t>
      </w:r>
      <w:bookmarkStart w:id="12" w:name="OLE_LINK12"/>
      <w:r w:rsidRPr="008D2945">
        <w:rPr>
          <w:sz w:val="18"/>
          <w:szCs w:val="18"/>
          <w:rtl/>
        </w:rPr>
        <w:t>אפילו תפס מהנתבע ואינו רוצה להישבע מוציאים את הממון מידו</w:t>
      </w:r>
      <w:bookmarkEnd w:id="11"/>
      <w:bookmarkEnd w:id="12"/>
      <w:r w:rsidR="00CD4F43">
        <w:rPr>
          <w:rFonts w:hint="cs"/>
          <w:sz w:val="18"/>
          <w:szCs w:val="18"/>
          <w:rtl/>
        </w:rPr>
        <w:t xml:space="preserve"> (ראה </w:t>
      </w:r>
      <w:r w:rsidR="00CD4F43" w:rsidRPr="00CD4F43">
        <w:rPr>
          <w:sz w:val="18"/>
          <w:szCs w:val="18"/>
          <w:rtl/>
        </w:rPr>
        <w:t xml:space="preserve">ש״ך חושן משפט סימן פז </w:t>
      </w:r>
      <w:r w:rsidR="00CD4F43" w:rsidRPr="00CD4F43">
        <w:rPr>
          <w:rFonts w:hint="cs"/>
          <w:sz w:val="18"/>
          <w:szCs w:val="18"/>
          <w:rtl/>
        </w:rPr>
        <w:t>ס"ק כ</w:t>
      </w:r>
      <w:r w:rsidR="00CD4F43">
        <w:rPr>
          <w:rFonts w:hint="cs"/>
          <w:sz w:val="18"/>
          <w:szCs w:val="18"/>
          <w:rtl/>
        </w:rPr>
        <w:t>ה).</w:t>
      </w:r>
    </w:p>
  </w:endnote>
  <w:endnote w:id="17">
    <w:p w:rsidR="00FA3BB7" w:rsidRPr="008D2945" w:rsidRDefault="00FA3BB7" w:rsidP="00F86DCE">
      <w:pPr>
        <w:pStyle w:val="ac"/>
        <w:rPr>
          <w:sz w:val="18"/>
          <w:szCs w:val="18"/>
          <w:rtl/>
        </w:rPr>
      </w:pPr>
      <w:r w:rsidRPr="006C4EBC">
        <w:rPr>
          <w:rStyle w:val="ae"/>
          <w:b/>
          <w:bCs/>
          <w:color w:val="C00000"/>
          <w:sz w:val="18"/>
          <w:szCs w:val="18"/>
          <w:vertAlign w:val="baseline"/>
        </w:rPr>
        <w:endnoteRef/>
      </w:r>
      <w:r>
        <w:rPr>
          <w:rtl/>
        </w:rPr>
        <w:t xml:space="preserve"> </w:t>
      </w:r>
      <w:r w:rsidRPr="008D2945">
        <w:rPr>
          <w:rFonts w:hint="cs"/>
          <w:sz w:val="18"/>
          <w:szCs w:val="18"/>
          <w:rtl/>
        </w:rPr>
        <w:t>אף</w:t>
      </w:r>
      <w:r w:rsidRPr="008D2945">
        <w:rPr>
          <w:sz w:val="18"/>
          <w:szCs w:val="18"/>
          <w:rtl/>
        </w:rPr>
        <w:t xml:space="preserve"> שמעיקר הדין יש לתובע ראיה מספיקה לטענתו, חכמים בתקופת המשנה</w:t>
      </w:r>
      <w:r w:rsidRPr="008D2945">
        <w:rPr>
          <w:rFonts w:hint="cs"/>
          <w:sz w:val="18"/>
          <w:szCs w:val="18"/>
          <w:rtl/>
        </w:rPr>
        <w:t xml:space="preserve"> </w:t>
      </w:r>
      <w:r w:rsidRPr="008D2945">
        <w:rPr>
          <w:sz w:val="18"/>
          <w:szCs w:val="18"/>
          <w:rtl/>
        </w:rPr>
        <w:t>החמירו עליו</w:t>
      </w:r>
      <w:r w:rsidRPr="008D2945">
        <w:rPr>
          <w:rFonts w:hint="cs"/>
          <w:sz w:val="18"/>
          <w:szCs w:val="18"/>
          <w:rtl/>
        </w:rPr>
        <w:t xml:space="preserve"> </w:t>
      </w:r>
      <w:r w:rsidRPr="008D2945">
        <w:rPr>
          <w:sz w:val="18"/>
          <w:szCs w:val="18"/>
          <w:rtl/>
        </w:rPr>
        <w:t>ותיקנו שלא יטול אלא בשבועה</w:t>
      </w:r>
      <w:r w:rsidRPr="008D2945">
        <w:rPr>
          <w:rFonts w:hint="cs"/>
          <w:sz w:val="18"/>
          <w:szCs w:val="18"/>
          <w:rtl/>
        </w:rPr>
        <w:t xml:space="preserve"> </w:t>
      </w:r>
      <w:r w:rsidRPr="008D2945">
        <w:rPr>
          <w:sz w:val="18"/>
          <w:szCs w:val="18"/>
          <w:rtl/>
        </w:rPr>
        <w:t>(תוי״ט על משנה א). המקרים בהם תיקנו שבועות אלו ופרטי</w:t>
      </w:r>
      <w:r w:rsidRPr="008D2945">
        <w:rPr>
          <w:rFonts w:hint="cs"/>
          <w:sz w:val="18"/>
          <w:szCs w:val="18"/>
          <w:rtl/>
        </w:rPr>
        <w:t xml:space="preserve"> </w:t>
      </w:r>
      <w:r w:rsidRPr="008D2945">
        <w:rPr>
          <w:sz w:val="18"/>
          <w:szCs w:val="18"/>
          <w:rtl/>
        </w:rPr>
        <w:t xml:space="preserve">דיניהן, </w:t>
      </w:r>
      <w:r w:rsidR="00CD4F43">
        <w:rPr>
          <w:rFonts w:hint="cs"/>
          <w:sz w:val="18"/>
          <w:szCs w:val="18"/>
          <w:rtl/>
        </w:rPr>
        <w:t>מתבארים</w:t>
      </w:r>
      <w:r w:rsidRPr="008D2945">
        <w:rPr>
          <w:sz w:val="18"/>
          <w:szCs w:val="18"/>
          <w:rtl/>
        </w:rPr>
        <w:t xml:space="preserve"> בפרק </w:t>
      </w:r>
      <w:r w:rsidRPr="008D2945">
        <w:rPr>
          <w:rFonts w:hint="cs"/>
          <w:sz w:val="18"/>
          <w:szCs w:val="18"/>
          <w:rtl/>
        </w:rPr>
        <w:t>זה</w:t>
      </w:r>
      <w:r w:rsidRPr="008D2945">
        <w:rPr>
          <w:sz w:val="18"/>
          <w:szCs w:val="18"/>
          <w:rtl/>
        </w:rPr>
        <w:t xml:space="preserve"> משניות א-ז</w:t>
      </w:r>
      <w:r w:rsidRPr="008D2945">
        <w:rPr>
          <w:rFonts w:hint="cs"/>
          <w:sz w:val="18"/>
          <w:szCs w:val="18"/>
          <w:rtl/>
        </w:rPr>
        <w:t>.</w:t>
      </w:r>
    </w:p>
  </w:endnote>
  <w:endnote w:id="18">
    <w:p w:rsidR="00CD7D37" w:rsidRPr="008D2945" w:rsidRDefault="00CD7D37" w:rsidP="00005510">
      <w:pPr>
        <w:pStyle w:val="ac"/>
        <w:rPr>
          <w:sz w:val="18"/>
          <w:szCs w:val="18"/>
          <w:rtl/>
        </w:rPr>
      </w:pPr>
      <w:r w:rsidRPr="007E607F">
        <w:rPr>
          <w:rStyle w:val="ae"/>
          <w:b/>
          <w:bCs/>
          <w:color w:val="C00000"/>
          <w:sz w:val="18"/>
          <w:szCs w:val="18"/>
          <w:vertAlign w:val="baseline"/>
        </w:rPr>
        <w:endnoteRef/>
      </w:r>
      <w:r w:rsidRPr="007E607F">
        <w:rPr>
          <w:rStyle w:val="ae"/>
          <w:b/>
          <w:bCs/>
          <w:color w:val="C00000"/>
          <w:sz w:val="18"/>
          <w:szCs w:val="18"/>
          <w:vertAlign w:val="baseline"/>
          <w:rtl/>
        </w:rPr>
        <w:t xml:space="preserve"> </w:t>
      </w:r>
      <w:r w:rsidRPr="008D2945">
        <w:rPr>
          <w:sz w:val="18"/>
          <w:szCs w:val="18"/>
          <w:rtl/>
        </w:rPr>
        <w:t>שבועות הנפטרים המוזכרות בפרקנו, הן שבועות שהטילו חכמים על</w:t>
      </w:r>
      <w:r w:rsidRPr="008D2945">
        <w:rPr>
          <w:rFonts w:hint="cs"/>
          <w:sz w:val="18"/>
          <w:szCs w:val="18"/>
          <w:rtl/>
        </w:rPr>
        <w:t xml:space="preserve"> </w:t>
      </w:r>
      <w:r w:rsidRPr="008D2945">
        <w:rPr>
          <w:sz w:val="18"/>
          <w:szCs w:val="18"/>
          <w:rtl/>
        </w:rPr>
        <w:t xml:space="preserve">הנתבע במקרים מסויימים, אפילו כאשר </w:t>
      </w:r>
      <w:r w:rsidRPr="008D2945">
        <w:rPr>
          <w:rFonts w:hint="cs"/>
          <w:sz w:val="18"/>
          <w:szCs w:val="18"/>
          <w:rtl/>
        </w:rPr>
        <w:t>ה</w:t>
      </w:r>
      <w:r w:rsidRPr="008D2945">
        <w:rPr>
          <w:sz w:val="18"/>
          <w:szCs w:val="18"/>
          <w:rtl/>
        </w:rPr>
        <w:t>תובע אינו טוען אלא טענת שמא בלבד. המקרים</w:t>
      </w:r>
      <w:r w:rsidRPr="008D2945">
        <w:rPr>
          <w:rFonts w:hint="cs"/>
          <w:sz w:val="18"/>
          <w:szCs w:val="18"/>
          <w:rtl/>
        </w:rPr>
        <w:t xml:space="preserve"> </w:t>
      </w:r>
      <w:r w:rsidRPr="008D2945">
        <w:rPr>
          <w:sz w:val="18"/>
          <w:szCs w:val="18"/>
          <w:rtl/>
        </w:rPr>
        <w:t>בהם תיקנו שבועות אלו ופרטי דיניהן, יתבארו במשנה ח (מאירי). ישנן שבועות נפטרים</w:t>
      </w:r>
      <w:r w:rsidRPr="008D2945">
        <w:rPr>
          <w:rFonts w:hint="cs"/>
          <w:sz w:val="18"/>
          <w:szCs w:val="18"/>
          <w:rtl/>
        </w:rPr>
        <w:t xml:space="preserve"> </w:t>
      </w:r>
      <w:r w:rsidRPr="008D2945">
        <w:rPr>
          <w:sz w:val="18"/>
          <w:szCs w:val="18"/>
          <w:rtl/>
        </w:rPr>
        <w:t>נוספות שנתקנו בתקופת המשנה, שאינן נוהגות אלא כשהתובע טוען טענת ברי</w:t>
      </w:r>
      <w:r w:rsidRPr="008D2945">
        <w:rPr>
          <w:rFonts w:hint="cs"/>
          <w:sz w:val="18"/>
          <w:szCs w:val="18"/>
          <w:rtl/>
        </w:rPr>
        <w:t xml:space="preserve"> </w:t>
      </w:r>
      <w:r w:rsidRPr="008D2945">
        <w:rPr>
          <w:sz w:val="18"/>
          <w:szCs w:val="18"/>
          <w:rtl/>
        </w:rPr>
        <w:t>(ראה ש״ך</w:t>
      </w:r>
      <w:r w:rsidR="00005510">
        <w:rPr>
          <w:rFonts w:hint="cs"/>
          <w:sz w:val="18"/>
          <w:szCs w:val="18"/>
          <w:rtl/>
        </w:rPr>
        <w:t xml:space="preserve"> </w:t>
      </w:r>
      <w:r w:rsidRPr="008D2945">
        <w:rPr>
          <w:sz w:val="18"/>
          <w:szCs w:val="18"/>
          <w:rtl/>
        </w:rPr>
        <w:t>חו״מ פז, לא)</w:t>
      </w:r>
      <w:r w:rsidRPr="008D2945">
        <w:rPr>
          <w:rFonts w:hint="cs"/>
          <w:sz w:val="18"/>
          <w:szCs w:val="18"/>
          <w:rtl/>
        </w:rPr>
        <w:t xml:space="preserve">. </w:t>
      </w:r>
      <w:r w:rsidRPr="008D2945">
        <w:rPr>
          <w:sz w:val="18"/>
          <w:szCs w:val="18"/>
          <w:rtl/>
        </w:rPr>
        <w:t xml:space="preserve">דוגמאות לשבועות כאלו </w:t>
      </w:r>
      <w:r w:rsidRPr="008D2945">
        <w:rPr>
          <w:rFonts w:hint="cs"/>
          <w:sz w:val="18"/>
          <w:szCs w:val="18"/>
          <w:rtl/>
        </w:rPr>
        <w:t>נמצאות</w:t>
      </w:r>
      <w:r w:rsidRPr="008D2945">
        <w:rPr>
          <w:sz w:val="18"/>
          <w:szCs w:val="18"/>
          <w:rtl/>
        </w:rPr>
        <w:t xml:space="preserve"> </w:t>
      </w:r>
      <w:r w:rsidRPr="008D2945">
        <w:rPr>
          <w:rFonts w:hint="cs"/>
          <w:sz w:val="18"/>
          <w:szCs w:val="18"/>
          <w:rtl/>
        </w:rPr>
        <w:t xml:space="preserve">במשנה </w:t>
      </w:r>
      <w:r w:rsidRPr="008D2945">
        <w:rPr>
          <w:sz w:val="18"/>
          <w:szCs w:val="18"/>
          <w:rtl/>
        </w:rPr>
        <w:t xml:space="preserve">בפרק </w:t>
      </w:r>
      <w:r w:rsidRPr="008D2945">
        <w:rPr>
          <w:rFonts w:hint="cs"/>
          <w:sz w:val="18"/>
          <w:szCs w:val="18"/>
          <w:rtl/>
        </w:rPr>
        <w:t xml:space="preserve">זה </w:t>
      </w:r>
      <w:r w:rsidR="00005510">
        <w:rPr>
          <w:rFonts w:hint="cs"/>
          <w:sz w:val="18"/>
          <w:szCs w:val="18"/>
          <w:rtl/>
        </w:rPr>
        <w:t>(עיין משנה</w:t>
      </w:r>
      <w:r w:rsidRPr="008D2945">
        <w:rPr>
          <w:sz w:val="18"/>
          <w:szCs w:val="18"/>
          <w:rtl/>
        </w:rPr>
        <w:t xml:space="preserve"> </w:t>
      </w:r>
      <w:r w:rsidR="00005510" w:rsidRPr="008D2945">
        <w:rPr>
          <w:rFonts w:hint="cs"/>
          <w:sz w:val="18"/>
          <w:szCs w:val="18"/>
          <w:rtl/>
        </w:rPr>
        <w:t xml:space="preserve">שוטנשטיין </w:t>
      </w:r>
      <w:r w:rsidRPr="008D2945">
        <w:rPr>
          <w:sz w:val="18"/>
          <w:szCs w:val="18"/>
          <w:rtl/>
        </w:rPr>
        <w:t>א עיון 3 ובמשנה ו עיון 3</w:t>
      </w:r>
      <w:r w:rsidR="00005510">
        <w:rPr>
          <w:rFonts w:hint="cs"/>
          <w:sz w:val="18"/>
          <w:szCs w:val="18"/>
          <w:rtl/>
        </w:rPr>
        <w:t>)</w:t>
      </w:r>
      <w:r w:rsidRPr="008D2945">
        <w:rPr>
          <w:rFonts w:hint="cs"/>
          <w:sz w:val="18"/>
          <w:szCs w:val="18"/>
          <w:rtl/>
        </w:rPr>
        <w:t xml:space="preserve">. </w:t>
      </w:r>
      <w:r w:rsidRPr="008D2945">
        <w:rPr>
          <w:sz w:val="18"/>
          <w:szCs w:val="18"/>
          <w:rtl/>
        </w:rPr>
        <w:t>רש״י בכמה מקומות בפרקנו נוקט ששבועות</w:t>
      </w:r>
      <w:r w:rsidRPr="008D2945">
        <w:rPr>
          <w:rFonts w:hint="cs"/>
          <w:sz w:val="18"/>
          <w:szCs w:val="18"/>
          <w:rtl/>
        </w:rPr>
        <w:t xml:space="preserve"> </w:t>
      </w:r>
      <w:r w:rsidRPr="008D2945">
        <w:rPr>
          <w:sz w:val="18"/>
          <w:szCs w:val="18"/>
          <w:rtl/>
        </w:rPr>
        <w:t>הנפטרים הללו הן "שבועת היסת״</w:t>
      </w:r>
      <w:r w:rsidRPr="008D2945">
        <w:rPr>
          <w:rFonts w:hint="cs"/>
          <w:sz w:val="18"/>
          <w:szCs w:val="18"/>
          <w:rtl/>
        </w:rPr>
        <w:t xml:space="preserve"> </w:t>
      </w:r>
      <w:r w:rsidRPr="008D2945">
        <w:rPr>
          <w:sz w:val="18"/>
          <w:szCs w:val="18"/>
          <w:rtl/>
        </w:rPr>
        <w:t>ואף שגם</w:t>
      </w:r>
      <w:r w:rsidRPr="008D2945">
        <w:rPr>
          <w:rFonts w:hint="cs"/>
          <w:sz w:val="18"/>
          <w:szCs w:val="18"/>
          <w:rtl/>
        </w:rPr>
        <w:t xml:space="preserve"> </w:t>
      </w:r>
      <w:r w:rsidRPr="008D2945">
        <w:rPr>
          <w:sz w:val="18"/>
          <w:szCs w:val="18"/>
          <w:rtl/>
        </w:rPr>
        <w:t xml:space="preserve">הוא מודה שחיוב שבועה לכל כופר </w:t>
      </w:r>
      <w:r w:rsidR="00005510">
        <w:rPr>
          <w:rFonts w:hint="cs"/>
          <w:sz w:val="18"/>
          <w:szCs w:val="18"/>
          <w:rtl/>
        </w:rPr>
        <w:t>ב</w:t>
      </w:r>
      <w:r w:rsidRPr="008D2945">
        <w:rPr>
          <w:sz w:val="18"/>
          <w:szCs w:val="18"/>
          <w:rtl/>
        </w:rPr>
        <w:t>כל התחדש</w:t>
      </w:r>
      <w:r w:rsidRPr="008D2945">
        <w:rPr>
          <w:rFonts w:hint="cs"/>
          <w:sz w:val="18"/>
          <w:szCs w:val="18"/>
          <w:rtl/>
        </w:rPr>
        <w:t xml:space="preserve"> </w:t>
      </w:r>
      <w:r w:rsidRPr="008D2945">
        <w:rPr>
          <w:sz w:val="18"/>
          <w:szCs w:val="18"/>
          <w:rtl/>
        </w:rPr>
        <w:t>רק בתקופת האמוראים (עיקר תקנת שבועת</w:t>
      </w:r>
      <w:r w:rsidR="00005510">
        <w:rPr>
          <w:rFonts w:hint="cs"/>
          <w:sz w:val="18"/>
          <w:szCs w:val="18"/>
          <w:rtl/>
        </w:rPr>
        <w:t xml:space="preserve"> </w:t>
      </w:r>
      <w:r w:rsidRPr="008D2945">
        <w:rPr>
          <w:sz w:val="18"/>
          <w:szCs w:val="18"/>
          <w:rtl/>
        </w:rPr>
        <w:t>היסת היה בתקופת המשנה, אלא שאז תיקנו</w:t>
      </w:r>
      <w:r w:rsidRPr="008D2945">
        <w:rPr>
          <w:rFonts w:hint="cs"/>
          <w:sz w:val="18"/>
          <w:szCs w:val="18"/>
          <w:rtl/>
        </w:rPr>
        <w:t xml:space="preserve"> </w:t>
      </w:r>
      <w:r w:rsidRPr="008D2945">
        <w:rPr>
          <w:sz w:val="18"/>
          <w:szCs w:val="18"/>
          <w:rtl/>
        </w:rPr>
        <w:t>שיש להישבע רק במקרים מסויימים, ובתקופת</w:t>
      </w:r>
      <w:r w:rsidRPr="008D2945">
        <w:rPr>
          <w:rFonts w:hint="cs"/>
          <w:sz w:val="18"/>
          <w:szCs w:val="18"/>
          <w:rtl/>
        </w:rPr>
        <w:t xml:space="preserve"> </w:t>
      </w:r>
      <w:r w:rsidRPr="008D2945">
        <w:rPr>
          <w:sz w:val="18"/>
          <w:szCs w:val="18"/>
          <w:rtl/>
        </w:rPr>
        <w:t xml:space="preserve">האמוראים הרחיבו את התקנה לכל כופר </w:t>
      </w:r>
      <w:r w:rsidR="00005510">
        <w:rPr>
          <w:rFonts w:hint="cs"/>
          <w:sz w:val="18"/>
          <w:szCs w:val="18"/>
          <w:rtl/>
        </w:rPr>
        <w:t>ב</w:t>
      </w:r>
      <w:r w:rsidRPr="008D2945">
        <w:rPr>
          <w:sz w:val="18"/>
          <w:szCs w:val="18"/>
          <w:rtl/>
        </w:rPr>
        <w:t>כל</w:t>
      </w:r>
      <w:r w:rsidRPr="008D2945">
        <w:rPr>
          <w:rFonts w:hint="cs"/>
          <w:sz w:val="18"/>
          <w:szCs w:val="18"/>
          <w:rtl/>
        </w:rPr>
        <w:t xml:space="preserve"> </w:t>
      </w:r>
      <w:r w:rsidRPr="008D2945">
        <w:rPr>
          <w:sz w:val="18"/>
          <w:szCs w:val="18"/>
          <w:rtl/>
        </w:rPr>
        <w:t>(ריטב״א מח, א; וראה בעיון הבא ״נפקא מינה"</w:t>
      </w:r>
      <w:r w:rsidRPr="008D2945">
        <w:rPr>
          <w:rFonts w:hint="cs"/>
          <w:sz w:val="18"/>
          <w:szCs w:val="18"/>
          <w:rtl/>
        </w:rPr>
        <w:t xml:space="preserve"> </w:t>
      </w:r>
      <w:r w:rsidRPr="008D2945">
        <w:rPr>
          <w:sz w:val="18"/>
          <w:szCs w:val="18"/>
          <w:rtl/>
        </w:rPr>
        <w:t>להלכה הנובעת מדברים אלו</w:t>
      </w:r>
      <w:r w:rsidRPr="008D2945">
        <w:rPr>
          <w:rFonts w:hint="cs"/>
          <w:sz w:val="18"/>
          <w:szCs w:val="18"/>
          <w:rtl/>
        </w:rPr>
        <w:t>).</w:t>
      </w:r>
    </w:p>
  </w:endnote>
  <w:endnote w:id="19">
    <w:p w:rsidR="00CD7D37" w:rsidRPr="008D2945" w:rsidRDefault="00CD7D37" w:rsidP="00F55A14">
      <w:pPr>
        <w:pStyle w:val="ac"/>
        <w:rPr>
          <w:sz w:val="18"/>
          <w:szCs w:val="18"/>
          <w:rtl/>
        </w:rPr>
      </w:pPr>
      <w:r w:rsidRPr="00EF3034">
        <w:rPr>
          <w:rStyle w:val="ae"/>
          <w:b/>
          <w:bCs/>
          <w:color w:val="C00000"/>
          <w:sz w:val="18"/>
          <w:szCs w:val="18"/>
          <w:vertAlign w:val="baseline"/>
        </w:rPr>
        <w:endnoteRef/>
      </w:r>
      <w:r>
        <w:rPr>
          <w:rtl/>
        </w:rPr>
        <w:t xml:space="preserve"> </w:t>
      </w:r>
      <w:r w:rsidR="00F55A14" w:rsidRPr="00F55A14">
        <w:rPr>
          <w:sz w:val="18"/>
          <w:szCs w:val="18"/>
          <w:rtl/>
        </w:rPr>
        <w:t xml:space="preserve">חושן משפט הלכות טוען ונטען סימן פז </w:t>
      </w:r>
      <w:r w:rsidR="00F55A14" w:rsidRPr="00F55A14">
        <w:rPr>
          <w:rFonts w:hint="cs"/>
          <w:sz w:val="18"/>
          <w:szCs w:val="18"/>
          <w:rtl/>
        </w:rPr>
        <w:t xml:space="preserve">ס' </w:t>
      </w:r>
      <w:r w:rsidR="00F55A14">
        <w:rPr>
          <w:rFonts w:hint="cs"/>
          <w:sz w:val="18"/>
          <w:szCs w:val="18"/>
          <w:rtl/>
        </w:rPr>
        <w:t xml:space="preserve">ט. </w:t>
      </w:r>
      <w:r w:rsidRPr="008D2945">
        <w:rPr>
          <w:sz w:val="18"/>
          <w:szCs w:val="18"/>
          <w:rtl/>
        </w:rPr>
        <w:t>לדעת רוב הראשונים,</w:t>
      </w:r>
      <w:r w:rsidRPr="008D2945">
        <w:rPr>
          <w:rFonts w:hint="cs"/>
          <w:sz w:val="18"/>
          <w:szCs w:val="18"/>
          <w:rtl/>
        </w:rPr>
        <w:t xml:space="preserve"> </w:t>
      </w:r>
      <w:r w:rsidRPr="008D2945">
        <w:rPr>
          <w:sz w:val="18"/>
          <w:szCs w:val="18"/>
          <w:rtl/>
        </w:rPr>
        <w:t>הוא הדין גם בשבועות הנוטלים כשמעיקר הדין התובע נאמן בלא שבועה, שאמנם לאחר</w:t>
      </w:r>
      <w:r w:rsidR="00F55A14">
        <w:rPr>
          <w:rFonts w:hint="cs"/>
          <w:sz w:val="18"/>
          <w:szCs w:val="18"/>
          <w:rtl/>
        </w:rPr>
        <w:t xml:space="preserve"> </w:t>
      </w:r>
      <w:r w:rsidRPr="008D2945">
        <w:rPr>
          <w:sz w:val="18"/>
          <w:szCs w:val="18"/>
          <w:rtl/>
        </w:rPr>
        <w:t>תקנת חכמים אין התובע יכול לגבות בלא שבועה, אולם אם תפס את הממון ו</w:t>
      </w:r>
      <w:r w:rsidRPr="008D2945">
        <w:rPr>
          <w:rFonts w:hint="cs"/>
          <w:sz w:val="18"/>
          <w:szCs w:val="18"/>
          <w:rtl/>
        </w:rPr>
        <w:t>כ</w:t>
      </w:r>
      <w:r w:rsidRPr="008D2945">
        <w:rPr>
          <w:sz w:val="18"/>
          <w:szCs w:val="18"/>
          <w:rtl/>
        </w:rPr>
        <w:t>עת הוא</w:t>
      </w:r>
      <w:r w:rsidRPr="008D2945">
        <w:rPr>
          <w:rFonts w:hint="cs"/>
          <w:sz w:val="18"/>
          <w:szCs w:val="18"/>
          <w:rtl/>
        </w:rPr>
        <w:t xml:space="preserve"> </w:t>
      </w:r>
      <w:r w:rsidRPr="008D2945">
        <w:rPr>
          <w:sz w:val="18"/>
          <w:szCs w:val="18"/>
          <w:rtl/>
        </w:rPr>
        <w:t xml:space="preserve">מסרב להישבע, אין להוציא את הממון מידו בכפיה (ראה </w:t>
      </w:r>
      <w:r w:rsidR="0057316D" w:rsidRPr="0057316D">
        <w:rPr>
          <w:rFonts w:cs="Arial"/>
          <w:sz w:val="18"/>
          <w:szCs w:val="18"/>
          <w:rtl/>
        </w:rPr>
        <w:t xml:space="preserve">שולחן ערוך </w:t>
      </w:r>
      <w:bookmarkStart w:id="13" w:name="OLE_LINK33"/>
      <w:r w:rsidR="0057316D" w:rsidRPr="0057316D">
        <w:rPr>
          <w:rFonts w:cs="Arial"/>
          <w:sz w:val="18"/>
          <w:szCs w:val="18"/>
          <w:rtl/>
        </w:rPr>
        <w:t xml:space="preserve">חושן משפט הלכות טוען ונטען סימן פז </w:t>
      </w:r>
      <w:r w:rsidR="0057316D">
        <w:rPr>
          <w:rFonts w:hint="cs"/>
          <w:sz w:val="18"/>
          <w:szCs w:val="18"/>
          <w:rtl/>
        </w:rPr>
        <w:t xml:space="preserve">ס' </w:t>
      </w:r>
      <w:bookmarkEnd w:id="13"/>
      <w:r w:rsidR="0057316D">
        <w:rPr>
          <w:rFonts w:hint="cs"/>
          <w:sz w:val="18"/>
          <w:szCs w:val="18"/>
          <w:rtl/>
        </w:rPr>
        <w:t>י</w:t>
      </w:r>
      <w:r w:rsidRPr="008D2945">
        <w:rPr>
          <w:sz w:val="18"/>
          <w:szCs w:val="18"/>
          <w:rtl/>
        </w:rPr>
        <w:t xml:space="preserve">, </w:t>
      </w:r>
      <w:bookmarkStart w:id="14" w:name="OLE_LINK31"/>
      <w:bookmarkStart w:id="15" w:name="OLE_LINK32"/>
      <w:r w:rsidRPr="008D2945">
        <w:rPr>
          <w:sz w:val="18"/>
          <w:szCs w:val="18"/>
          <w:rtl/>
        </w:rPr>
        <w:t xml:space="preserve">וש״ך </w:t>
      </w:r>
      <w:r w:rsidR="0057316D" w:rsidRPr="0057316D">
        <w:rPr>
          <w:rFonts w:cs="Arial"/>
          <w:sz w:val="18"/>
          <w:szCs w:val="18"/>
          <w:rtl/>
        </w:rPr>
        <w:t xml:space="preserve">חושן משפט סימן פז </w:t>
      </w:r>
      <w:r w:rsidR="0057316D">
        <w:rPr>
          <w:rFonts w:hint="cs"/>
          <w:sz w:val="18"/>
          <w:szCs w:val="18"/>
          <w:rtl/>
        </w:rPr>
        <w:t>ס"ק כז</w:t>
      </w:r>
      <w:bookmarkEnd w:id="14"/>
      <w:bookmarkEnd w:id="15"/>
      <w:r w:rsidR="0057316D">
        <w:rPr>
          <w:rFonts w:hint="cs"/>
          <w:sz w:val="18"/>
          <w:szCs w:val="18"/>
          <w:rtl/>
        </w:rPr>
        <w:t xml:space="preserve">: " </w:t>
      </w:r>
      <w:r w:rsidR="0057316D" w:rsidRPr="0057316D">
        <w:rPr>
          <w:rFonts w:cs="Arial"/>
          <w:sz w:val="18"/>
          <w:szCs w:val="18"/>
          <w:rtl/>
        </w:rPr>
        <w:t>וכן דעת הרא"ש</w:t>
      </w:r>
      <w:r w:rsidR="0057316D">
        <w:rPr>
          <w:rFonts w:hint="cs"/>
          <w:sz w:val="18"/>
          <w:szCs w:val="18"/>
          <w:rtl/>
        </w:rPr>
        <w:t>..."</w:t>
      </w:r>
      <w:r w:rsidRPr="008D2945">
        <w:rPr>
          <w:sz w:val="18"/>
          <w:szCs w:val="18"/>
          <w:rtl/>
        </w:rPr>
        <w:t>; ו</w:t>
      </w:r>
      <w:r w:rsidRPr="008D2945">
        <w:rPr>
          <w:rFonts w:hint="cs"/>
          <w:sz w:val="18"/>
          <w:szCs w:val="18"/>
          <w:rtl/>
        </w:rPr>
        <w:t>כ</w:t>
      </w:r>
      <w:r w:rsidRPr="008D2945">
        <w:rPr>
          <w:sz w:val="18"/>
          <w:szCs w:val="18"/>
          <w:rtl/>
        </w:rPr>
        <w:t>ן</w:t>
      </w:r>
      <w:r w:rsidRPr="008D2945">
        <w:rPr>
          <w:rFonts w:hint="cs"/>
          <w:sz w:val="18"/>
          <w:szCs w:val="18"/>
          <w:rtl/>
        </w:rPr>
        <w:t xml:space="preserve"> </w:t>
      </w:r>
      <w:r w:rsidRPr="008D2945">
        <w:rPr>
          <w:sz w:val="18"/>
          <w:szCs w:val="18"/>
          <w:rtl/>
        </w:rPr>
        <w:t>משמע מדברי הרמב׳׳ם והרע״ב שם).</w:t>
      </w:r>
      <w:r w:rsidR="002212E5">
        <w:rPr>
          <w:rFonts w:hint="cs"/>
          <w:sz w:val="18"/>
          <w:szCs w:val="18"/>
          <w:rtl/>
        </w:rPr>
        <w:t xml:space="preserve"> עכ"פ דינו ש</w:t>
      </w:r>
      <w:r w:rsidR="002212E5" w:rsidRPr="002212E5">
        <w:rPr>
          <w:sz w:val="18"/>
          <w:szCs w:val="18"/>
          <w:rtl/>
        </w:rPr>
        <w:t>מנדין אותו ל' יום</w:t>
      </w:r>
      <w:r w:rsidR="002212E5">
        <w:rPr>
          <w:rFonts w:hint="cs"/>
          <w:sz w:val="18"/>
          <w:szCs w:val="18"/>
          <w:rtl/>
        </w:rPr>
        <w:t>,</w:t>
      </w:r>
      <w:r w:rsidR="002212E5" w:rsidRPr="002212E5">
        <w:rPr>
          <w:sz w:val="18"/>
          <w:szCs w:val="18"/>
          <w:rtl/>
        </w:rPr>
        <w:t xml:space="preserve"> לא בא ולא תבע נידוי, מכין אותו מכות מרדות ומתירין לו נידויו, ואין יורדין לנכסיו (ומותר לקראו עבריין, שהרי עובר על דברי חכמים)</w:t>
      </w:r>
      <w:r w:rsidR="002212E5">
        <w:rPr>
          <w:rFonts w:hint="cs"/>
          <w:sz w:val="18"/>
          <w:szCs w:val="18"/>
          <w:rtl/>
        </w:rPr>
        <w:t>.</w:t>
      </w:r>
    </w:p>
  </w:endnote>
  <w:endnote w:id="20">
    <w:p w:rsidR="00CD7D37" w:rsidRPr="001E4CFC" w:rsidRDefault="00CD7D37" w:rsidP="000C2506">
      <w:pPr>
        <w:pStyle w:val="ac"/>
        <w:rPr>
          <w:sz w:val="18"/>
          <w:szCs w:val="18"/>
        </w:rPr>
      </w:pPr>
      <w:r w:rsidRPr="008163DC">
        <w:rPr>
          <w:rStyle w:val="ae"/>
          <w:b/>
          <w:bCs/>
          <w:color w:val="C00000"/>
          <w:sz w:val="18"/>
          <w:szCs w:val="18"/>
          <w:vertAlign w:val="baseline"/>
        </w:rPr>
        <w:endnoteRef/>
      </w:r>
      <w:r w:rsidRPr="008163DC">
        <w:rPr>
          <w:rStyle w:val="ae"/>
          <w:b/>
          <w:bCs/>
          <w:color w:val="C00000"/>
          <w:sz w:val="18"/>
          <w:szCs w:val="18"/>
          <w:vertAlign w:val="baseline"/>
          <w:rtl/>
        </w:rPr>
        <w:t xml:space="preserve"> </w:t>
      </w:r>
      <w:r w:rsidRPr="001E4CFC">
        <w:rPr>
          <w:rFonts w:cs="Arial"/>
          <w:sz w:val="18"/>
          <w:szCs w:val="18"/>
          <w:rtl/>
        </w:rPr>
        <w:t>שבועת היסת היא שבועה שהטילו חכמים על הנתבע הכופר בכל התביעה</w:t>
      </w:r>
      <w:r w:rsidR="000C2506">
        <w:rPr>
          <w:rFonts w:cs="Arial" w:hint="cs"/>
          <w:sz w:val="18"/>
          <w:szCs w:val="18"/>
          <w:rtl/>
        </w:rPr>
        <w:t xml:space="preserve"> (בתביעת</w:t>
      </w:r>
      <w:r w:rsidR="000C2506" w:rsidRPr="000C2506">
        <w:rPr>
          <w:rFonts w:cs="Arial"/>
          <w:sz w:val="18"/>
          <w:szCs w:val="18"/>
          <w:rtl/>
        </w:rPr>
        <w:t xml:space="preserve"> קרקעות, עבדים</w:t>
      </w:r>
      <w:r w:rsidR="000C2506">
        <w:rPr>
          <w:rFonts w:cs="Arial" w:hint="cs"/>
          <w:sz w:val="18"/>
          <w:szCs w:val="18"/>
          <w:rtl/>
        </w:rPr>
        <w:t xml:space="preserve"> או</w:t>
      </w:r>
      <w:r w:rsidR="000C2506" w:rsidRPr="000C2506">
        <w:rPr>
          <w:rFonts w:cs="Arial"/>
          <w:sz w:val="18"/>
          <w:szCs w:val="18"/>
          <w:rtl/>
        </w:rPr>
        <w:t xml:space="preserve"> שטרות</w:t>
      </w:r>
      <w:r w:rsidR="000C2506">
        <w:rPr>
          <w:rFonts w:cs="Arial" w:hint="cs"/>
          <w:sz w:val="18"/>
          <w:szCs w:val="18"/>
          <w:rtl/>
        </w:rPr>
        <w:t>)</w:t>
      </w:r>
      <w:r w:rsidRPr="001E4CFC">
        <w:rPr>
          <w:rFonts w:cs="Arial"/>
          <w:sz w:val="18"/>
          <w:szCs w:val="18"/>
          <w:rtl/>
        </w:rPr>
        <w:t xml:space="preserve"> שישבע שאינו חייב כלום ויפטר</w:t>
      </w:r>
      <w:r>
        <w:rPr>
          <w:rFonts w:cs="Arial" w:hint="cs"/>
          <w:sz w:val="18"/>
          <w:szCs w:val="18"/>
          <w:rtl/>
        </w:rPr>
        <w:t xml:space="preserve"> (</w:t>
      </w:r>
      <w:r w:rsidRPr="001E4CFC">
        <w:rPr>
          <w:rFonts w:cs="Arial"/>
          <w:sz w:val="18"/>
          <w:szCs w:val="18"/>
          <w:rtl/>
        </w:rPr>
        <w:t>מן התורה חייב להשבע רק מי שמודה במקצת התביעה, ואילו הכופר בכל התביעה - פטור מלשלם אף ללא שבועה</w:t>
      </w:r>
      <w:r>
        <w:rPr>
          <w:rFonts w:cs="Arial" w:hint="cs"/>
          <w:sz w:val="18"/>
          <w:szCs w:val="18"/>
          <w:rtl/>
        </w:rPr>
        <w:t>)</w:t>
      </w:r>
      <w:r w:rsidRPr="001E4CFC">
        <w:rPr>
          <w:rFonts w:cs="Arial"/>
          <w:sz w:val="18"/>
          <w:szCs w:val="18"/>
          <w:rtl/>
        </w:rPr>
        <w:t xml:space="preserve">. </w:t>
      </w:r>
    </w:p>
  </w:endnote>
  <w:endnote w:id="21">
    <w:p w:rsidR="00813A08" w:rsidRDefault="00CD7D37" w:rsidP="00813A08">
      <w:pPr>
        <w:pStyle w:val="ac"/>
        <w:rPr>
          <w:rtl/>
        </w:rPr>
      </w:pPr>
      <w:r w:rsidRPr="002D40BB">
        <w:rPr>
          <w:rStyle w:val="ae"/>
          <w:b/>
          <w:bCs/>
          <w:color w:val="C00000"/>
          <w:sz w:val="18"/>
          <w:szCs w:val="18"/>
          <w:vertAlign w:val="baseline"/>
        </w:rPr>
        <w:endnoteRef/>
      </w:r>
      <w:r w:rsidRPr="002D40BB">
        <w:rPr>
          <w:rStyle w:val="ae"/>
          <w:b/>
          <w:bCs/>
          <w:color w:val="C00000"/>
          <w:sz w:val="18"/>
          <w:szCs w:val="18"/>
          <w:vertAlign w:val="baseline"/>
          <w:rtl/>
        </w:rPr>
        <w:t xml:space="preserve"> </w:t>
      </w:r>
      <w:r w:rsidRPr="001E4CFC">
        <w:rPr>
          <w:rFonts w:cs="Arial" w:hint="cs"/>
          <w:sz w:val="18"/>
          <w:szCs w:val="18"/>
          <w:rtl/>
        </w:rPr>
        <w:t xml:space="preserve">שבועה זו </w:t>
      </w:r>
      <w:r>
        <w:rPr>
          <w:rFonts w:cs="Arial" w:hint="cs"/>
          <w:sz w:val="18"/>
          <w:szCs w:val="18"/>
          <w:rtl/>
        </w:rPr>
        <w:t xml:space="preserve">- </w:t>
      </w:r>
      <w:r w:rsidRPr="001E4CFC">
        <w:rPr>
          <w:rFonts w:cs="Arial"/>
          <w:sz w:val="18"/>
          <w:szCs w:val="18"/>
          <w:rtl/>
        </w:rPr>
        <w:t>שגם כאשר הנתבע כופר בכל התביעה - ישבע שבועת היסת</w:t>
      </w:r>
      <w:r>
        <w:rPr>
          <w:rFonts w:cs="Arial" w:hint="cs"/>
          <w:sz w:val="18"/>
          <w:szCs w:val="18"/>
          <w:rtl/>
        </w:rPr>
        <w:t>,</w:t>
      </w:r>
      <w:r w:rsidRPr="001E4CFC">
        <w:rPr>
          <w:rFonts w:cs="Arial"/>
          <w:sz w:val="18"/>
          <w:szCs w:val="18"/>
          <w:rtl/>
        </w:rPr>
        <w:t xml:space="preserve"> </w:t>
      </w:r>
      <w:r w:rsidRPr="001E4CFC">
        <w:rPr>
          <w:rFonts w:cs="Arial" w:hint="cs"/>
          <w:sz w:val="18"/>
          <w:szCs w:val="18"/>
          <w:rtl/>
        </w:rPr>
        <w:t>תוקנה</w:t>
      </w:r>
      <w:r w:rsidRPr="001E4CFC">
        <w:rPr>
          <w:rFonts w:cs="Arial"/>
          <w:sz w:val="18"/>
          <w:szCs w:val="18"/>
          <w:rtl/>
        </w:rPr>
        <w:t xml:space="preserve"> בתקופת האמוראים</w:t>
      </w:r>
      <w:r w:rsidRPr="001E4CFC">
        <w:rPr>
          <w:rFonts w:cs="Arial" w:hint="cs"/>
          <w:sz w:val="18"/>
          <w:szCs w:val="18"/>
          <w:rtl/>
        </w:rPr>
        <w:t xml:space="preserve"> כדי</w:t>
      </w:r>
      <w:r w:rsidRPr="001E4CFC">
        <w:rPr>
          <w:rFonts w:cs="Arial"/>
          <w:sz w:val="18"/>
          <w:szCs w:val="18"/>
          <w:rtl/>
        </w:rPr>
        <w:t xml:space="preserve"> להכחיש את טענת התובע. </w:t>
      </w:r>
      <w:r>
        <w:rPr>
          <w:rFonts w:hint="cs"/>
          <w:sz w:val="18"/>
          <w:szCs w:val="18"/>
          <w:rtl/>
        </w:rPr>
        <w:t xml:space="preserve">אומנם, במשנה הפותחת את הפרק יש שתי בבות בהן השבועה היא שבועת היסת, עובדה המראה שכבר בתקופת המשנה תיקנו שבועת היסת. </w:t>
      </w:r>
      <w:bookmarkStart w:id="17" w:name="OLE_LINK20"/>
    </w:p>
    <w:tbl>
      <w:tblPr>
        <w:tblStyle w:val="a3"/>
        <w:bidiVisual/>
        <w:tblW w:w="0" w:type="auto"/>
        <w:jc w:val="center"/>
        <w:tblLook w:val="04A0" w:firstRow="1" w:lastRow="0" w:firstColumn="1" w:lastColumn="0" w:noHBand="0" w:noVBand="1"/>
      </w:tblPr>
      <w:tblGrid>
        <w:gridCol w:w="855"/>
        <w:gridCol w:w="3620"/>
        <w:gridCol w:w="3752"/>
      </w:tblGrid>
      <w:tr w:rsidR="00813A08" w:rsidRPr="00813A08" w:rsidTr="00EC413C">
        <w:trPr>
          <w:jc w:val="center"/>
        </w:trPr>
        <w:tc>
          <w:tcPr>
            <w:tcW w:w="8227" w:type="dxa"/>
            <w:gridSpan w:val="3"/>
            <w:shd w:val="clear" w:color="auto" w:fill="F2F2F2" w:themeFill="background1" w:themeFillShade="F2"/>
          </w:tcPr>
          <w:p w:rsidR="00813A08" w:rsidRPr="00F55A14" w:rsidRDefault="00813A08" w:rsidP="0046590D">
            <w:pPr>
              <w:pStyle w:val="ac"/>
              <w:jc w:val="center"/>
              <w:rPr>
                <w:rtl/>
              </w:rPr>
            </w:pPr>
            <w:r w:rsidRPr="00F55A14">
              <w:rPr>
                <w:color w:val="C00000"/>
                <w:rtl/>
              </w:rPr>
              <w:t>השבועות הנזכרות בשתי בבות אלו</w:t>
            </w:r>
            <w:r w:rsidRPr="00F55A14">
              <w:rPr>
                <w:rFonts w:hint="cs"/>
                <w:color w:val="C00000"/>
                <w:rtl/>
              </w:rPr>
              <w:t xml:space="preserve"> הן </w:t>
            </w:r>
            <w:r w:rsidRPr="00F55A14">
              <w:rPr>
                <w:color w:val="C00000"/>
                <w:rtl/>
              </w:rPr>
              <w:t>״שבועות היסת״ (רש״י).</w:t>
            </w:r>
          </w:p>
        </w:tc>
      </w:tr>
      <w:tr w:rsidR="00813A08" w:rsidRPr="00813A08" w:rsidTr="00EC413C">
        <w:trPr>
          <w:jc w:val="center"/>
        </w:trPr>
        <w:tc>
          <w:tcPr>
            <w:tcW w:w="855" w:type="dxa"/>
            <w:vAlign w:val="center"/>
          </w:tcPr>
          <w:p w:rsidR="00813A08" w:rsidRPr="00F55A14" w:rsidRDefault="00813A08" w:rsidP="0046590D">
            <w:pPr>
              <w:pStyle w:val="ac"/>
              <w:jc w:val="center"/>
              <w:rPr>
                <w:color w:val="C00000"/>
                <w:rtl/>
              </w:rPr>
            </w:pPr>
            <w:r w:rsidRPr="00F55A14">
              <w:rPr>
                <w:rFonts w:hint="cs"/>
                <w:color w:val="C00000"/>
                <w:rtl/>
              </w:rPr>
              <w:t>בבא ראשונה</w:t>
            </w:r>
          </w:p>
        </w:tc>
        <w:tc>
          <w:tcPr>
            <w:tcW w:w="3620" w:type="dxa"/>
          </w:tcPr>
          <w:p w:rsidR="00813A08" w:rsidRPr="00813A08" w:rsidRDefault="00813A08" w:rsidP="00A609E6">
            <w:pPr>
              <w:pStyle w:val="ac"/>
              <w:numPr>
                <w:ilvl w:val="0"/>
                <w:numId w:val="7"/>
              </w:numPr>
              <w:ind w:left="177" w:hanging="177"/>
              <w:rPr>
                <w:u w:val="single"/>
                <w:rtl/>
              </w:rPr>
            </w:pPr>
            <w:r w:rsidRPr="00813A08">
              <w:rPr>
                <w:rtl/>
              </w:rPr>
              <w:t xml:space="preserve">אָמַר </w:t>
            </w:r>
            <w:r w:rsidRPr="00813A08">
              <w:rPr>
                <w:rFonts w:hint="cs"/>
                <w:rtl/>
              </w:rPr>
              <w:t>(</w:t>
            </w:r>
            <w:r w:rsidRPr="00813A08">
              <w:rPr>
                <w:rtl/>
              </w:rPr>
              <w:t>בַּעַל הַבָּיִת</w:t>
            </w:r>
            <w:r w:rsidRPr="00813A08">
              <w:rPr>
                <w:rFonts w:hint="cs"/>
                <w:rtl/>
              </w:rPr>
              <w:t xml:space="preserve">) </w:t>
            </w:r>
            <w:r w:rsidRPr="00813A08">
              <w:rPr>
                <w:rtl/>
              </w:rPr>
              <w:t xml:space="preserve">לַחֶנְוָנִי תֶּן לִי בְדִינָר פֵּרוֹת וְנָתַן לוֹ, אָמַר לוֹ תֶּן לִי הַדִּינָר, אָמַר לוֹ נְתַתִּיו לְךָ וּנְתַתּוֹ בָאֹנְפָּלִי, </w:t>
            </w:r>
            <w:r w:rsidRPr="00813A08">
              <w:rPr>
                <w:color w:val="C00000"/>
                <w:u w:val="single"/>
                <w:rtl/>
              </w:rPr>
              <w:t xml:space="preserve">יִשָּׁבַע </w:t>
            </w:r>
            <w:bookmarkStart w:id="18" w:name="OLE_LINK2"/>
            <w:r w:rsidRPr="00813A08">
              <w:rPr>
                <w:color w:val="C00000"/>
                <w:u w:val="single"/>
                <w:rtl/>
              </w:rPr>
              <w:t>בַּעַל הַבָּיִת</w:t>
            </w:r>
            <w:bookmarkEnd w:id="18"/>
            <w:r w:rsidRPr="00813A08">
              <w:rPr>
                <w:color w:val="C00000"/>
                <w:u w:val="single"/>
                <w:rtl/>
              </w:rPr>
              <w:t>.</w:t>
            </w:r>
          </w:p>
        </w:tc>
        <w:tc>
          <w:tcPr>
            <w:tcW w:w="3752" w:type="dxa"/>
          </w:tcPr>
          <w:p w:rsidR="00813A08" w:rsidRPr="00813A08" w:rsidRDefault="00813A08" w:rsidP="00A609E6">
            <w:pPr>
              <w:pStyle w:val="ac"/>
              <w:numPr>
                <w:ilvl w:val="0"/>
                <w:numId w:val="7"/>
              </w:numPr>
              <w:ind w:left="243" w:hanging="243"/>
              <w:rPr>
                <w:u w:val="single"/>
                <w:rtl/>
              </w:rPr>
            </w:pPr>
            <w:r w:rsidRPr="00813A08">
              <w:rPr>
                <w:rtl/>
              </w:rPr>
              <w:t>נָתַן לוֹ אֶת הַדִּינָר, אָמַר לוֹ תֶּן לִי אֶת הַפֵּרוֹת, אָמַר לוֹ נְתַתִּים לְךָ וְהוֹלַכְתָּן לְתוֹךְ בֵּיתֶךָ</w:t>
            </w:r>
            <w:r w:rsidRPr="00813A08">
              <w:rPr>
                <w:rFonts w:hint="cs"/>
                <w:rtl/>
              </w:rPr>
              <w:t>,</w:t>
            </w:r>
            <w:r w:rsidRPr="00813A08">
              <w:rPr>
                <w:rtl/>
              </w:rPr>
              <w:t xml:space="preserve"> </w:t>
            </w:r>
            <w:bookmarkStart w:id="19" w:name="OLE_LINK25"/>
            <w:r w:rsidRPr="00813A08">
              <w:rPr>
                <w:b/>
                <w:bCs/>
                <w:color w:val="7030A0"/>
                <w:u w:val="single"/>
                <w:rtl/>
              </w:rPr>
              <w:t>יִשָּׁבַע חֶנְוָנִי</w:t>
            </w:r>
            <w:bookmarkEnd w:id="19"/>
            <w:r w:rsidRPr="00813A08">
              <w:rPr>
                <w:u w:val="single"/>
                <w:rtl/>
              </w:rPr>
              <w:t>.</w:t>
            </w:r>
            <w:r w:rsidRPr="00813A08">
              <w:rPr>
                <w:rtl/>
              </w:rPr>
              <w:t xml:space="preserve"> רַבִּי יְהוּדָה אוֹמֵר, כָּל שֶׁהַפֵּרוֹת בְּיָדוֹ, יָדוֹ עַל הָעֶלְיוֹנָה.</w:t>
            </w:r>
          </w:p>
        </w:tc>
      </w:tr>
      <w:tr w:rsidR="00813A08" w:rsidRPr="00813A08" w:rsidTr="00EC413C">
        <w:trPr>
          <w:jc w:val="center"/>
        </w:trPr>
        <w:tc>
          <w:tcPr>
            <w:tcW w:w="855" w:type="dxa"/>
            <w:vAlign w:val="center"/>
          </w:tcPr>
          <w:p w:rsidR="00813A08" w:rsidRPr="00F55A14" w:rsidRDefault="00813A08" w:rsidP="0046590D">
            <w:pPr>
              <w:pStyle w:val="ac"/>
              <w:jc w:val="center"/>
              <w:rPr>
                <w:color w:val="C00000"/>
                <w:rtl/>
              </w:rPr>
            </w:pPr>
            <w:r w:rsidRPr="00F55A14">
              <w:rPr>
                <w:rFonts w:hint="cs"/>
                <w:color w:val="C00000"/>
                <w:rtl/>
              </w:rPr>
              <w:t>בבא שניה</w:t>
            </w:r>
          </w:p>
        </w:tc>
        <w:tc>
          <w:tcPr>
            <w:tcW w:w="3620" w:type="dxa"/>
          </w:tcPr>
          <w:p w:rsidR="00813A08" w:rsidRPr="00813A08" w:rsidRDefault="00813A08" w:rsidP="00A609E6">
            <w:pPr>
              <w:pStyle w:val="ac"/>
              <w:numPr>
                <w:ilvl w:val="0"/>
                <w:numId w:val="7"/>
              </w:numPr>
              <w:ind w:left="177" w:hanging="177"/>
              <w:rPr>
                <w:rtl/>
              </w:rPr>
            </w:pPr>
            <w:r w:rsidRPr="00813A08">
              <w:rPr>
                <w:rtl/>
              </w:rPr>
              <w:t xml:space="preserve">אָמַר לַשֻּׁלְחָנִי תֶּן לִי בְדִינָר מָעוֹת וְנָתַן לוֹ, אָמַר לוֹ תֶּן לִי אֶת הַדִּינָר, אָמַר לוֹ נְתַתִּיו לְךָ וּנְתַתּוֹ בָאֹנְפָּלִי, </w:t>
            </w:r>
            <w:bookmarkStart w:id="20" w:name="OLE_LINK24"/>
            <w:r w:rsidRPr="00813A08">
              <w:rPr>
                <w:color w:val="C00000"/>
                <w:u w:val="single"/>
                <w:rtl/>
              </w:rPr>
              <w:t>יִשָּׁבַע בַּעַל הַבָּיִת</w:t>
            </w:r>
            <w:bookmarkEnd w:id="20"/>
            <w:r w:rsidRPr="00813A08">
              <w:rPr>
                <w:color w:val="C00000"/>
                <w:u w:val="single"/>
                <w:rtl/>
              </w:rPr>
              <w:t>.</w:t>
            </w:r>
          </w:p>
        </w:tc>
        <w:tc>
          <w:tcPr>
            <w:tcW w:w="3752" w:type="dxa"/>
          </w:tcPr>
          <w:p w:rsidR="00813A08" w:rsidRPr="00813A08" w:rsidRDefault="00813A08" w:rsidP="00A609E6">
            <w:pPr>
              <w:pStyle w:val="ac"/>
              <w:numPr>
                <w:ilvl w:val="0"/>
                <w:numId w:val="7"/>
              </w:numPr>
              <w:ind w:left="243" w:hanging="243"/>
              <w:rPr>
                <w:rtl/>
              </w:rPr>
            </w:pPr>
            <w:r w:rsidRPr="00813A08">
              <w:rPr>
                <w:rtl/>
              </w:rPr>
              <w:t xml:space="preserve">נָתַן לוֹ אֶת הַדִּינָר, אָמַר לוֹ תֶּן לִי אֶת הַמָּעוֹת, אָמַר לוֹ נְתַתִּים לְךָ וְהִשְׁלַכְתָּם לְתוֹךְ כִּיסֶךָ, </w:t>
            </w:r>
            <w:bookmarkStart w:id="21" w:name="OLE_LINK26"/>
            <w:r w:rsidRPr="00813A08">
              <w:rPr>
                <w:b/>
                <w:bCs/>
                <w:color w:val="7030A0"/>
                <w:u w:val="single"/>
                <w:rtl/>
              </w:rPr>
              <w:t>יִשָּׁבַע שֻׁלְחָנִי</w:t>
            </w:r>
            <w:bookmarkEnd w:id="21"/>
            <w:r w:rsidRPr="00813A08">
              <w:rPr>
                <w:b/>
                <w:bCs/>
                <w:color w:val="7030A0"/>
                <w:u w:val="single"/>
                <w:rtl/>
              </w:rPr>
              <w:t xml:space="preserve">. </w:t>
            </w:r>
            <w:r w:rsidRPr="00813A08">
              <w:rPr>
                <w:rtl/>
              </w:rPr>
              <w:t>רַבִּי יְהוּדָה אוֹמֵר, אֵין דֶּרֶךְ שֻׁלְחָנִי לִתֵּן אִסָּר עַד שֶׁיִּטֹּל דִּינָרוֹ:</w:t>
            </w:r>
          </w:p>
        </w:tc>
      </w:tr>
    </w:tbl>
    <w:p w:rsidR="00813A08" w:rsidRPr="00EC413C" w:rsidRDefault="00813A08" w:rsidP="00A609E6">
      <w:pPr>
        <w:pStyle w:val="ac"/>
        <w:rPr>
          <w:sz w:val="18"/>
          <w:szCs w:val="18"/>
          <w:rtl/>
        </w:rPr>
      </w:pPr>
      <w:r w:rsidRPr="00EC413C">
        <w:rPr>
          <w:rFonts w:hint="cs"/>
          <w:sz w:val="18"/>
          <w:szCs w:val="18"/>
          <w:rtl/>
        </w:rPr>
        <w:t>כ</w:t>
      </w:r>
      <w:r w:rsidRPr="00EC413C">
        <w:rPr>
          <w:sz w:val="18"/>
          <w:szCs w:val="18"/>
          <w:rtl/>
        </w:rPr>
        <w:t>לומר, בשונה מהשבועות המנויות לעיל במשנה, שהן ״שבועות הנוטלין״,</w:t>
      </w:r>
      <w:r w:rsidR="00A609E6">
        <w:rPr>
          <w:rFonts w:hint="cs"/>
          <w:sz w:val="18"/>
          <w:szCs w:val="18"/>
          <w:rtl/>
        </w:rPr>
        <w:t xml:space="preserve"> </w:t>
      </w:r>
      <w:r w:rsidRPr="00EC413C">
        <w:rPr>
          <w:sz w:val="18"/>
          <w:szCs w:val="18"/>
          <w:rtl/>
        </w:rPr>
        <w:t xml:space="preserve">השבועות הנזכרות כאן הן שבועות </w:t>
      </w:r>
      <w:r w:rsidR="00A609E6" w:rsidRPr="00A609E6">
        <w:rPr>
          <w:sz w:val="18"/>
          <w:szCs w:val="18"/>
          <w:rtl/>
        </w:rPr>
        <w:t xml:space="preserve">שהטילו חכמים </w:t>
      </w:r>
      <w:r w:rsidR="00A609E6">
        <w:rPr>
          <w:rFonts w:hint="cs"/>
          <w:sz w:val="18"/>
          <w:szCs w:val="18"/>
          <w:rtl/>
        </w:rPr>
        <w:t>ע</w:t>
      </w:r>
      <w:r w:rsidRPr="00EC413C">
        <w:rPr>
          <w:sz w:val="18"/>
          <w:szCs w:val="18"/>
          <w:rtl/>
        </w:rPr>
        <w:t>ל</w:t>
      </w:r>
      <w:r w:rsidR="00A609E6">
        <w:rPr>
          <w:rFonts w:hint="cs"/>
          <w:sz w:val="18"/>
          <w:szCs w:val="18"/>
          <w:rtl/>
        </w:rPr>
        <w:t xml:space="preserve"> </w:t>
      </w:r>
      <w:r w:rsidRPr="00EC413C">
        <w:rPr>
          <w:sz w:val="18"/>
          <w:szCs w:val="18"/>
          <w:rtl/>
        </w:rPr>
        <w:t xml:space="preserve">נתבע הכופר </w:t>
      </w:r>
      <w:r w:rsidR="00A609E6">
        <w:rPr>
          <w:rFonts w:hint="cs"/>
          <w:sz w:val="18"/>
          <w:szCs w:val="18"/>
          <w:rtl/>
        </w:rPr>
        <w:t>ב</w:t>
      </w:r>
      <w:r w:rsidRPr="00EC413C">
        <w:rPr>
          <w:sz w:val="18"/>
          <w:szCs w:val="18"/>
          <w:rtl/>
        </w:rPr>
        <w:t>כל כדי</w:t>
      </w:r>
      <w:r w:rsidRPr="00EC413C">
        <w:rPr>
          <w:rFonts w:hint="cs"/>
          <w:sz w:val="18"/>
          <w:szCs w:val="18"/>
          <w:rtl/>
        </w:rPr>
        <w:t xml:space="preserve"> </w:t>
      </w:r>
      <w:r w:rsidRPr="00EC413C">
        <w:rPr>
          <w:sz w:val="18"/>
          <w:szCs w:val="18"/>
          <w:rtl/>
        </w:rPr>
        <w:t xml:space="preserve">להיפטר, ושבועה כזו נקראת ״שבועת היסת״. </w:t>
      </w:r>
      <w:bookmarkStart w:id="22" w:name="OLE_LINK18"/>
      <w:r w:rsidRPr="00EC413C">
        <w:rPr>
          <w:sz w:val="18"/>
          <w:szCs w:val="18"/>
          <w:rtl/>
        </w:rPr>
        <w:t>ואף שלא נתקנה שבועת היסת עד</w:t>
      </w:r>
      <w:r w:rsidRPr="00EC413C">
        <w:rPr>
          <w:rFonts w:hint="cs"/>
          <w:sz w:val="18"/>
          <w:szCs w:val="18"/>
          <w:rtl/>
        </w:rPr>
        <w:t xml:space="preserve"> </w:t>
      </w:r>
      <w:r w:rsidRPr="00EC413C">
        <w:rPr>
          <w:sz w:val="18"/>
          <w:szCs w:val="18"/>
          <w:rtl/>
        </w:rPr>
        <w:t>דורו של רב נחמן (עיין רש״י מח, ב)</w:t>
      </w:r>
      <w:r w:rsidR="00A609E6">
        <w:rPr>
          <w:rFonts w:hint="cs"/>
          <w:sz w:val="18"/>
          <w:szCs w:val="18"/>
          <w:rtl/>
        </w:rPr>
        <w:t xml:space="preserve"> -</w:t>
      </w:r>
      <w:r w:rsidRPr="00EC413C">
        <w:rPr>
          <w:sz w:val="18"/>
          <w:szCs w:val="18"/>
          <w:rtl/>
        </w:rPr>
        <w:t xml:space="preserve"> היינו שלא נתקנה כתקנה כללית בכל מקרה</w:t>
      </w:r>
      <w:r w:rsidRPr="00EC413C">
        <w:rPr>
          <w:rFonts w:hint="cs"/>
          <w:sz w:val="18"/>
          <w:szCs w:val="18"/>
          <w:rtl/>
        </w:rPr>
        <w:t xml:space="preserve"> </w:t>
      </w:r>
      <w:r w:rsidRPr="00EC413C">
        <w:rPr>
          <w:sz w:val="18"/>
          <w:szCs w:val="18"/>
          <w:rtl/>
        </w:rPr>
        <w:t xml:space="preserve">שכופר </w:t>
      </w:r>
      <w:r w:rsidRPr="00EC413C">
        <w:rPr>
          <w:rFonts w:hint="cs"/>
          <w:sz w:val="18"/>
          <w:szCs w:val="18"/>
          <w:rtl/>
        </w:rPr>
        <w:t>בכ</w:t>
      </w:r>
      <w:r w:rsidRPr="00EC413C">
        <w:rPr>
          <w:sz w:val="18"/>
          <w:szCs w:val="18"/>
          <w:rtl/>
        </w:rPr>
        <w:t>ל</w:t>
      </w:r>
      <w:r w:rsidR="00A609E6">
        <w:rPr>
          <w:rFonts w:hint="cs"/>
          <w:sz w:val="18"/>
          <w:szCs w:val="18"/>
          <w:rtl/>
        </w:rPr>
        <w:t xml:space="preserve"> -</w:t>
      </w:r>
      <w:r w:rsidRPr="00EC413C">
        <w:rPr>
          <w:sz w:val="18"/>
          <w:szCs w:val="18"/>
          <w:rtl/>
        </w:rPr>
        <w:t xml:space="preserve"> אבל במקרים הנזכרים </w:t>
      </w:r>
      <w:r w:rsidRPr="00EC413C">
        <w:rPr>
          <w:rFonts w:hint="cs"/>
          <w:sz w:val="18"/>
          <w:szCs w:val="18"/>
          <w:rtl/>
        </w:rPr>
        <w:t>כ</w:t>
      </w:r>
      <w:r w:rsidRPr="00EC413C">
        <w:rPr>
          <w:sz w:val="18"/>
          <w:szCs w:val="18"/>
          <w:rtl/>
        </w:rPr>
        <w:t>אן במשנה</w:t>
      </w:r>
      <w:r w:rsidRPr="00EC413C">
        <w:rPr>
          <w:rFonts w:hint="cs"/>
          <w:sz w:val="18"/>
          <w:szCs w:val="18"/>
          <w:rtl/>
        </w:rPr>
        <w:t xml:space="preserve"> </w:t>
      </w:r>
      <w:r w:rsidRPr="00EC413C">
        <w:rPr>
          <w:sz w:val="18"/>
          <w:szCs w:val="18"/>
          <w:rtl/>
        </w:rPr>
        <w:t xml:space="preserve">(של </w:t>
      </w:r>
      <w:r w:rsidR="00A609E6" w:rsidRPr="00813A08">
        <w:rPr>
          <w:color w:val="C00000"/>
          <w:u w:val="single"/>
          <w:rtl/>
        </w:rPr>
        <w:t>יִשָּׁבַע בַּעַל הַבָּיִת</w:t>
      </w:r>
      <w:r w:rsidR="00A609E6" w:rsidRPr="00EC413C">
        <w:rPr>
          <w:sz w:val="18"/>
          <w:szCs w:val="18"/>
          <w:rtl/>
        </w:rPr>
        <w:t xml:space="preserve"> </w:t>
      </w:r>
      <w:r w:rsidR="00A609E6">
        <w:rPr>
          <w:rFonts w:hint="cs"/>
          <w:sz w:val="18"/>
          <w:szCs w:val="18"/>
          <w:rtl/>
        </w:rPr>
        <w:t xml:space="preserve">, </w:t>
      </w:r>
      <w:r w:rsidR="00A609E6" w:rsidRPr="00A609E6">
        <w:rPr>
          <w:color w:val="7030A0"/>
          <w:u w:val="single"/>
          <w:rtl/>
        </w:rPr>
        <w:t>יִשָּׁבַע חֶנְוָנִי</w:t>
      </w:r>
      <w:r w:rsidR="00A609E6" w:rsidRPr="00A609E6">
        <w:rPr>
          <w:rFonts w:hint="cs"/>
          <w:sz w:val="18"/>
          <w:szCs w:val="18"/>
          <w:rtl/>
        </w:rPr>
        <w:t xml:space="preserve">,  </w:t>
      </w:r>
      <w:r w:rsidR="00A609E6" w:rsidRPr="00A609E6">
        <w:rPr>
          <w:color w:val="7030A0"/>
          <w:u w:val="single"/>
          <w:rtl/>
        </w:rPr>
        <w:t>יִשָּׁבַע שֻׁלְחָנִי</w:t>
      </w:r>
      <w:r w:rsidRPr="00EC413C">
        <w:rPr>
          <w:sz w:val="18"/>
          <w:szCs w:val="18"/>
          <w:rtl/>
        </w:rPr>
        <w:t xml:space="preserve">) תיקנו שבועת היסת אף בזמן המשנה, שאם לא </w:t>
      </w:r>
      <w:r w:rsidRPr="00EC413C">
        <w:rPr>
          <w:rFonts w:hint="cs"/>
          <w:sz w:val="18"/>
          <w:szCs w:val="18"/>
          <w:rtl/>
        </w:rPr>
        <w:t>כ</w:t>
      </w:r>
      <w:r w:rsidRPr="00EC413C">
        <w:rPr>
          <w:sz w:val="18"/>
          <w:szCs w:val="18"/>
          <w:rtl/>
        </w:rPr>
        <w:t xml:space="preserve">ן </w:t>
      </w:r>
      <w:r w:rsidRPr="00EC413C">
        <w:rPr>
          <w:rFonts w:hint="cs"/>
          <w:sz w:val="18"/>
          <w:szCs w:val="18"/>
          <w:rtl/>
        </w:rPr>
        <w:t>כ</w:t>
      </w:r>
      <w:r w:rsidRPr="00EC413C">
        <w:rPr>
          <w:sz w:val="18"/>
          <w:szCs w:val="18"/>
          <w:rtl/>
        </w:rPr>
        <w:t>ל אחד יגזול את</w:t>
      </w:r>
      <w:r w:rsidRPr="00EC413C">
        <w:rPr>
          <w:rFonts w:hint="cs"/>
          <w:sz w:val="18"/>
          <w:szCs w:val="18"/>
          <w:rtl/>
        </w:rPr>
        <w:t xml:space="preserve"> </w:t>
      </w:r>
      <w:r w:rsidRPr="00EC413C">
        <w:rPr>
          <w:sz w:val="18"/>
          <w:szCs w:val="18"/>
          <w:rtl/>
        </w:rPr>
        <w:t xml:space="preserve">חבירו, </w:t>
      </w:r>
      <w:r w:rsidRPr="00EC413C">
        <w:rPr>
          <w:rFonts w:hint="cs"/>
          <w:sz w:val="18"/>
          <w:szCs w:val="18"/>
          <w:rtl/>
        </w:rPr>
        <w:t>כ</w:t>
      </w:r>
      <w:r w:rsidRPr="00EC413C">
        <w:rPr>
          <w:sz w:val="18"/>
          <w:szCs w:val="18"/>
          <w:rtl/>
        </w:rPr>
        <w:t>יון שבני אדם קונים פירות ומחליפים מעות בכל עת, ויאמר לו ״נתתי לך</w:t>
      </w:r>
      <w:r w:rsidRPr="00EC413C">
        <w:rPr>
          <w:rFonts w:hint="cs"/>
          <w:sz w:val="18"/>
          <w:szCs w:val="18"/>
          <w:rtl/>
        </w:rPr>
        <w:t xml:space="preserve"> </w:t>
      </w:r>
      <w:r w:rsidRPr="00EC413C">
        <w:rPr>
          <w:sz w:val="18"/>
          <w:szCs w:val="18"/>
          <w:rtl/>
        </w:rPr>
        <w:t xml:space="preserve">את הפירות או ״את המעות״ </w:t>
      </w:r>
      <w:r w:rsidRPr="00EC413C">
        <w:rPr>
          <w:rFonts w:hint="cs"/>
          <w:sz w:val="18"/>
          <w:szCs w:val="18"/>
          <w:rtl/>
        </w:rPr>
        <w:t>כ</w:t>
      </w:r>
      <w:r w:rsidRPr="00EC413C">
        <w:rPr>
          <w:sz w:val="18"/>
          <w:szCs w:val="18"/>
          <w:rtl/>
        </w:rPr>
        <w:t>י אי אפשר להעמיד עדים על כל מקח  (ריטב״א</w:t>
      </w:r>
      <w:r w:rsidR="00A609E6">
        <w:rPr>
          <w:rFonts w:hint="cs"/>
          <w:sz w:val="18"/>
          <w:szCs w:val="18"/>
          <w:rtl/>
        </w:rPr>
        <w:t xml:space="preserve"> </w:t>
      </w:r>
      <w:r w:rsidRPr="00EC413C">
        <w:rPr>
          <w:sz w:val="18"/>
          <w:szCs w:val="18"/>
          <w:rtl/>
        </w:rPr>
        <w:t>ותורת חיים מה, א בביאור דעת רש״י; עיין גם בעל המאור; אולם עיין תוספות מה,</w:t>
      </w:r>
      <w:r w:rsidRPr="00EC413C">
        <w:rPr>
          <w:rFonts w:hint="cs"/>
          <w:sz w:val="18"/>
          <w:szCs w:val="18"/>
          <w:rtl/>
        </w:rPr>
        <w:t xml:space="preserve"> </w:t>
      </w:r>
      <w:r w:rsidRPr="00EC413C">
        <w:rPr>
          <w:sz w:val="18"/>
          <w:szCs w:val="18"/>
          <w:rtl/>
        </w:rPr>
        <w:t>א ר״ה נשבע; ריטב״א שם; ר״ן בשם רי״ף; רמב״ם בפירוש המשנה).</w:t>
      </w:r>
    </w:p>
    <w:bookmarkEnd w:id="17"/>
    <w:bookmarkEnd w:id="22"/>
    <w:p w:rsidR="00CD7D37" w:rsidRDefault="00CD7D37" w:rsidP="008C2665">
      <w:pPr>
        <w:pStyle w:val="ac"/>
        <w:rPr>
          <w:sz w:val="16"/>
          <w:szCs w:val="16"/>
          <w:u w:val="single"/>
          <w:rtl/>
        </w:rPr>
      </w:pPr>
    </w:p>
    <w:p w:rsidR="00CD7D37" w:rsidRDefault="00CD7D37">
      <w:pPr>
        <w:pStyle w:val="ac"/>
        <w:rPr>
          <w:rFonts w:hint="c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924072436"/>
      <w:docPartObj>
        <w:docPartGallery w:val="Page Numbers (Bottom of Page)"/>
        <w:docPartUnique/>
      </w:docPartObj>
    </w:sdtPr>
    <w:sdtEndPr>
      <w:rPr>
        <w:cs/>
      </w:rPr>
    </w:sdtEndPr>
    <w:sdtContent>
      <w:p w:rsidR="00CF0967" w:rsidRDefault="00CF0967">
        <w:pPr>
          <w:pStyle w:val="aa"/>
          <w:jc w:val="center"/>
          <w:rPr>
            <w:cs/>
          </w:rPr>
        </w:pPr>
        <w:r>
          <w:fldChar w:fldCharType="begin"/>
        </w:r>
        <w:r>
          <w:rPr>
            <w:cs/>
          </w:rPr>
          <w:instrText>PAGE   \* MERGEFORMAT</w:instrText>
        </w:r>
        <w:r>
          <w:fldChar w:fldCharType="separate"/>
        </w:r>
        <w:r w:rsidR="00C51C6D" w:rsidRPr="00C51C6D">
          <w:rPr>
            <w:noProof/>
            <w:rtl/>
            <w:lang w:val="he-IL"/>
          </w:rPr>
          <w:t>3</w:t>
        </w:r>
        <w:r>
          <w:fldChar w:fldCharType="end"/>
        </w:r>
      </w:p>
    </w:sdtContent>
  </w:sdt>
  <w:p w:rsidR="00CF0967" w:rsidRDefault="00CF096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63CA" w:rsidRDefault="00CF63CA" w:rsidP="00FC3225">
      <w:pPr>
        <w:spacing w:after="0" w:line="240" w:lineRule="auto"/>
      </w:pPr>
      <w:r>
        <w:separator/>
      </w:r>
    </w:p>
  </w:footnote>
  <w:footnote w:type="continuationSeparator" w:id="0">
    <w:p w:rsidR="00CF63CA" w:rsidRDefault="00CF63CA" w:rsidP="00FC3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2070" w:rsidRDefault="00172070" w:rsidP="00A1623E">
    <w:pPr>
      <w:pStyle w:val="a8"/>
      <w:jc w:val="center"/>
      <w:rPr>
        <w:rtl/>
      </w:rPr>
    </w:pPr>
    <w:bookmarkStart w:id="23" w:name="OLE_LINK34"/>
    <w:bookmarkStart w:id="24" w:name="OLE_LINK35"/>
    <w:r w:rsidRPr="00172070">
      <w:rPr>
        <w:rFonts w:hint="cs"/>
        <w:b/>
        <w:bCs/>
        <w:rtl/>
      </w:rPr>
      <w:t xml:space="preserve">ג' שבועות </w:t>
    </w:r>
    <w:r w:rsidR="00A1623E">
      <w:rPr>
        <w:rFonts w:hint="cs"/>
        <w:b/>
        <w:bCs/>
        <w:rtl/>
      </w:rPr>
      <w:t xml:space="preserve">(והתפלגותן) </w:t>
    </w:r>
    <w:bookmarkEnd w:id="23"/>
    <w:bookmarkEnd w:id="24"/>
  </w:p>
  <w:p w:rsidR="002233E2" w:rsidRDefault="002212E5" w:rsidP="002233E2">
    <w:pPr>
      <w:pStyle w:val="a8"/>
      <w:jc w:val="center"/>
      <w:rPr>
        <w:b/>
        <w:bCs/>
        <w:color w:val="C00000"/>
        <w:rtl/>
      </w:rPr>
    </w:pPr>
    <w:r>
      <w:rPr>
        <w:rFonts w:hint="cs"/>
        <w:b/>
        <w:bCs/>
        <w:color w:val="C00000"/>
        <w:rtl/>
      </w:rPr>
      <w:t>ההערות הן</w:t>
    </w:r>
    <w:r w:rsidRPr="002212E5">
      <w:rPr>
        <w:rFonts w:hint="cs"/>
        <w:b/>
        <w:bCs/>
        <w:color w:val="C00000"/>
        <w:rtl/>
      </w:rPr>
      <w:t xml:space="preserve"> </w:t>
    </w:r>
    <w:r w:rsidR="00D71E65">
      <w:rPr>
        <w:rFonts w:hint="cs"/>
        <w:b/>
        <w:bCs/>
        <w:color w:val="C00000"/>
        <w:rtl/>
      </w:rPr>
      <w:t xml:space="preserve">בעיקרן </w:t>
    </w:r>
    <w:r w:rsidRPr="002212E5">
      <w:rPr>
        <w:rFonts w:hint="cs"/>
        <w:b/>
        <w:bCs/>
        <w:color w:val="C00000"/>
        <w:rtl/>
      </w:rPr>
      <w:t xml:space="preserve">לקט </w:t>
    </w:r>
    <w:r w:rsidR="00D71E65">
      <w:rPr>
        <w:rFonts w:hint="cs"/>
        <w:b/>
        <w:bCs/>
        <w:color w:val="C00000"/>
        <w:rtl/>
      </w:rPr>
      <w:t>מ</w:t>
    </w:r>
    <w:r w:rsidR="002233E2">
      <w:rPr>
        <w:rFonts w:hint="cs"/>
        <w:b/>
        <w:bCs/>
        <w:color w:val="C00000"/>
        <w:rtl/>
      </w:rPr>
      <w:t xml:space="preserve">הרמב"ם, </w:t>
    </w:r>
    <w:r w:rsidR="002233E2" w:rsidRPr="002233E2">
      <w:rPr>
        <w:rFonts w:cs="Arial"/>
        <w:b/>
        <w:bCs/>
        <w:color w:val="C00000"/>
        <w:rtl/>
      </w:rPr>
      <w:t>שו</w:t>
    </w:r>
    <w:r w:rsidR="002233E2">
      <w:rPr>
        <w:rFonts w:cs="Arial" w:hint="cs"/>
        <w:b/>
        <w:bCs/>
        <w:color w:val="C00000"/>
        <w:rtl/>
      </w:rPr>
      <w:t>"ע</w:t>
    </w:r>
    <w:r w:rsidR="002233E2" w:rsidRPr="002233E2">
      <w:rPr>
        <w:rFonts w:cs="Arial"/>
        <w:b/>
        <w:bCs/>
        <w:color w:val="C00000"/>
        <w:rtl/>
      </w:rPr>
      <w:t xml:space="preserve"> חושן משפט הלכות טוען ונטען סימן פז</w:t>
    </w:r>
    <w:r w:rsidR="002233E2">
      <w:rPr>
        <w:rFonts w:cs="Arial" w:hint="cs"/>
        <w:b/>
        <w:bCs/>
        <w:color w:val="C00000"/>
        <w:rtl/>
      </w:rPr>
      <w:t xml:space="preserve">, </w:t>
    </w:r>
  </w:p>
  <w:p w:rsidR="00A1623E" w:rsidRDefault="002212E5" w:rsidP="002233E2">
    <w:pPr>
      <w:pStyle w:val="a8"/>
      <w:jc w:val="center"/>
    </w:pPr>
    <w:r w:rsidRPr="002212E5">
      <w:rPr>
        <w:rFonts w:hint="cs"/>
        <w:b/>
        <w:bCs/>
        <w:color w:val="C00000"/>
        <w:rtl/>
      </w:rPr>
      <w:t>ביאור משנה שוטנשטיין ופירושו בגמרא.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1086F"/>
    <w:multiLevelType w:val="hybridMultilevel"/>
    <w:tmpl w:val="8654E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6695E"/>
    <w:multiLevelType w:val="hybridMultilevel"/>
    <w:tmpl w:val="D85CCE04"/>
    <w:lvl w:ilvl="0" w:tplc="25E63A0E">
      <w:start w:val="1"/>
      <w:numFmt w:val="hebrew1"/>
      <w:lvlText w:val="%1."/>
      <w:lvlJc w:val="center"/>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FD6948"/>
    <w:multiLevelType w:val="hybridMultilevel"/>
    <w:tmpl w:val="95D8FBD2"/>
    <w:lvl w:ilvl="0" w:tplc="4A1C6F42">
      <w:start w:val="1"/>
      <w:numFmt w:val="hebrew1"/>
      <w:lvlText w:val="%1."/>
      <w:lvlJc w:val="center"/>
      <w:pPr>
        <w:ind w:left="360" w:hanging="360"/>
      </w:pPr>
      <w:rPr>
        <w:rFonts w:hint="default"/>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2C57186"/>
    <w:multiLevelType w:val="hybridMultilevel"/>
    <w:tmpl w:val="C254AB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D73F39"/>
    <w:multiLevelType w:val="multilevel"/>
    <w:tmpl w:val="3A10CBA8"/>
    <w:lvl w:ilvl="0">
      <w:start w:val="1"/>
      <w:numFmt w:val="hebrew1"/>
      <w:lvlText w:val="%1."/>
      <w:lvlJc w:val="center"/>
      <w:pPr>
        <w:ind w:left="720" w:hanging="360"/>
      </w:pPr>
      <w:rPr>
        <w:sz w:val="16"/>
        <w:szCs w:val="16"/>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3B7E1ECD"/>
    <w:multiLevelType w:val="hybridMultilevel"/>
    <w:tmpl w:val="1B9EBDD6"/>
    <w:lvl w:ilvl="0" w:tplc="906278E2">
      <w:start w:val="1"/>
      <w:numFmt w:val="decimal"/>
      <w:lvlText w:val="%1."/>
      <w:lvlJc w:val="left"/>
      <w:pPr>
        <w:ind w:left="360" w:hanging="360"/>
      </w:pPr>
      <w:rPr>
        <w:rFonts w:cs="Arial"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16F65FA"/>
    <w:multiLevelType w:val="multilevel"/>
    <w:tmpl w:val="E1423292"/>
    <w:lvl w:ilvl="0">
      <w:start w:val="13"/>
      <w:numFmt w:val="decimal"/>
      <w:lvlText w:val="%1."/>
      <w:lvlJc w:val="left"/>
      <w:rPr>
        <w:rFonts w:ascii="FrankRuehl" w:eastAsia="FrankRuehl" w:hAnsi="FrankRuehl" w:cs="FrankRuehl"/>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4AB4097"/>
    <w:multiLevelType w:val="hybridMultilevel"/>
    <w:tmpl w:val="374E3730"/>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5645E3E"/>
    <w:multiLevelType w:val="multilevel"/>
    <w:tmpl w:val="697079AC"/>
    <w:lvl w:ilvl="0">
      <w:start w:val="1"/>
      <w:numFmt w:val="decimal"/>
      <w:lvlText w:val="%1."/>
      <w:lvlJc w:val="left"/>
      <w:pPr>
        <w:ind w:left="720" w:hanging="360"/>
      </w:pPr>
      <w:rPr>
        <w:sz w:val="16"/>
        <w:szCs w:val="16"/>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abstractNumId w:val="8"/>
  </w:num>
  <w:num w:numId="2">
    <w:abstractNumId w:val="0"/>
  </w:num>
  <w:num w:numId="3">
    <w:abstractNumId w:val="5"/>
  </w:num>
  <w:num w:numId="4">
    <w:abstractNumId w:val="4"/>
  </w:num>
  <w:num w:numId="5">
    <w:abstractNumId w:val="2"/>
  </w:num>
  <w:num w:numId="6">
    <w:abstractNumId w:val="7"/>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225"/>
    <w:rsid w:val="00005510"/>
    <w:rsid w:val="0004492B"/>
    <w:rsid w:val="00061CDD"/>
    <w:rsid w:val="0007525E"/>
    <w:rsid w:val="000A45D5"/>
    <w:rsid w:val="000C2506"/>
    <w:rsid w:val="000E1D93"/>
    <w:rsid w:val="0010126A"/>
    <w:rsid w:val="0016496A"/>
    <w:rsid w:val="00172070"/>
    <w:rsid w:val="001E4CFC"/>
    <w:rsid w:val="002212E5"/>
    <w:rsid w:val="002233E2"/>
    <w:rsid w:val="00241277"/>
    <w:rsid w:val="0024397D"/>
    <w:rsid w:val="002D40BB"/>
    <w:rsid w:val="00314C1A"/>
    <w:rsid w:val="00323B40"/>
    <w:rsid w:val="003470AB"/>
    <w:rsid w:val="00361B9B"/>
    <w:rsid w:val="0038617F"/>
    <w:rsid w:val="003B3C28"/>
    <w:rsid w:val="003C1D90"/>
    <w:rsid w:val="003F6033"/>
    <w:rsid w:val="004378B3"/>
    <w:rsid w:val="00443E2F"/>
    <w:rsid w:val="00444CEF"/>
    <w:rsid w:val="0046590D"/>
    <w:rsid w:val="00495283"/>
    <w:rsid w:val="004A57F1"/>
    <w:rsid w:val="004B6A6F"/>
    <w:rsid w:val="004D2BC9"/>
    <w:rsid w:val="004E6F58"/>
    <w:rsid w:val="004F5D99"/>
    <w:rsid w:val="00503B6C"/>
    <w:rsid w:val="00510462"/>
    <w:rsid w:val="00526E37"/>
    <w:rsid w:val="00561460"/>
    <w:rsid w:val="0057316D"/>
    <w:rsid w:val="00586668"/>
    <w:rsid w:val="005E6B5F"/>
    <w:rsid w:val="005F388F"/>
    <w:rsid w:val="006208CB"/>
    <w:rsid w:val="00631A4C"/>
    <w:rsid w:val="00637A3F"/>
    <w:rsid w:val="00645A51"/>
    <w:rsid w:val="006845F1"/>
    <w:rsid w:val="006C4EBC"/>
    <w:rsid w:val="006E34B8"/>
    <w:rsid w:val="00700881"/>
    <w:rsid w:val="00731AEC"/>
    <w:rsid w:val="00757858"/>
    <w:rsid w:val="007B77D8"/>
    <w:rsid w:val="007E607F"/>
    <w:rsid w:val="00813A08"/>
    <w:rsid w:val="008163DC"/>
    <w:rsid w:val="008222BE"/>
    <w:rsid w:val="00847530"/>
    <w:rsid w:val="008A11FF"/>
    <w:rsid w:val="008B1B9C"/>
    <w:rsid w:val="008B58C5"/>
    <w:rsid w:val="008C2665"/>
    <w:rsid w:val="008C55C5"/>
    <w:rsid w:val="008D2945"/>
    <w:rsid w:val="008D4647"/>
    <w:rsid w:val="008F588A"/>
    <w:rsid w:val="008F6AD3"/>
    <w:rsid w:val="00913C79"/>
    <w:rsid w:val="0097045F"/>
    <w:rsid w:val="009C2C65"/>
    <w:rsid w:val="009D7A8E"/>
    <w:rsid w:val="009F4EAC"/>
    <w:rsid w:val="00A1623E"/>
    <w:rsid w:val="00A408F0"/>
    <w:rsid w:val="00A609E6"/>
    <w:rsid w:val="00A65937"/>
    <w:rsid w:val="00A85C86"/>
    <w:rsid w:val="00A95652"/>
    <w:rsid w:val="00A97A31"/>
    <w:rsid w:val="00AB5BD9"/>
    <w:rsid w:val="00AB7763"/>
    <w:rsid w:val="00AF011F"/>
    <w:rsid w:val="00B018B4"/>
    <w:rsid w:val="00B05EDD"/>
    <w:rsid w:val="00B06AE7"/>
    <w:rsid w:val="00B31F05"/>
    <w:rsid w:val="00B45402"/>
    <w:rsid w:val="00B5053D"/>
    <w:rsid w:val="00B760F8"/>
    <w:rsid w:val="00B87E80"/>
    <w:rsid w:val="00BC6696"/>
    <w:rsid w:val="00BE0B95"/>
    <w:rsid w:val="00C20984"/>
    <w:rsid w:val="00C51A99"/>
    <w:rsid w:val="00C51C6D"/>
    <w:rsid w:val="00C81DA4"/>
    <w:rsid w:val="00CA430F"/>
    <w:rsid w:val="00CD4F43"/>
    <w:rsid w:val="00CD7D37"/>
    <w:rsid w:val="00CF0967"/>
    <w:rsid w:val="00CF63CA"/>
    <w:rsid w:val="00D54201"/>
    <w:rsid w:val="00D55145"/>
    <w:rsid w:val="00D7163C"/>
    <w:rsid w:val="00D71E65"/>
    <w:rsid w:val="00D764FA"/>
    <w:rsid w:val="00D86C31"/>
    <w:rsid w:val="00E03CAC"/>
    <w:rsid w:val="00E313EA"/>
    <w:rsid w:val="00E71ADD"/>
    <w:rsid w:val="00E75E8A"/>
    <w:rsid w:val="00EC413C"/>
    <w:rsid w:val="00ED46F4"/>
    <w:rsid w:val="00EF3034"/>
    <w:rsid w:val="00F1111D"/>
    <w:rsid w:val="00F55A14"/>
    <w:rsid w:val="00F66619"/>
    <w:rsid w:val="00F71FFF"/>
    <w:rsid w:val="00F86DCE"/>
    <w:rsid w:val="00F97DE5"/>
    <w:rsid w:val="00FA3BB7"/>
    <w:rsid w:val="00FA430F"/>
    <w:rsid w:val="00FC3225"/>
    <w:rsid w:val="00FE1118"/>
    <w:rsid w:val="00FF44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A1662"/>
  <w15:chartTrackingRefBased/>
  <w15:docId w15:val="{D44FB3ED-2634-4F4A-8E8E-6E1C3B114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0"/>
    <w:autoRedefine/>
    <w:uiPriority w:val="9"/>
    <w:qFormat/>
    <w:rsid w:val="00444CEF"/>
    <w:pPr>
      <w:keepNext/>
      <w:keepLines/>
      <w:pBdr>
        <w:top w:val="single" w:sz="8" w:space="1" w:color="auto"/>
        <w:bottom w:val="single" w:sz="8" w:space="1" w:color="auto"/>
      </w:pBdr>
      <w:shd w:val="clear" w:color="auto" w:fill="F2F2F2" w:themeFill="background1" w:themeFillShade="F2"/>
      <w:spacing w:before="240" w:after="0"/>
      <w:jc w:val="center"/>
      <w:outlineLvl w:val="0"/>
    </w:pPr>
    <w:rPr>
      <w:rFonts w:asciiTheme="majorHAnsi" w:eastAsiaTheme="majorEastAsia" w:hAnsiTheme="majorHAnsi" w:cs="Narkisim"/>
      <w:sz w:val="32"/>
      <w:szCs w:val="28"/>
    </w:rPr>
  </w:style>
  <w:style w:type="paragraph" w:styleId="2">
    <w:name w:val="heading 2"/>
    <w:basedOn w:val="a"/>
    <w:next w:val="a"/>
    <w:link w:val="20"/>
    <w:autoRedefine/>
    <w:uiPriority w:val="9"/>
    <w:unhideWhenUsed/>
    <w:qFormat/>
    <w:rsid w:val="00444CEF"/>
    <w:pPr>
      <w:keepNext/>
      <w:keepLines/>
      <w:spacing w:before="40" w:after="0"/>
      <w:outlineLvl w:val="1"/>
    </w:pPr>
    <w:rPr>
      <w:rFonts w:asciiTheme="majorHAnsi" w:eastAsiaTheme="majorEastAsia" w:hAnsiTheme="majorHAnsi" w:cstheme="majorBidi"/>
      <w:sz w:val="26"/>
      <w:szCs w:val="24"/>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44CEF"/>
    <w:rPr>
      <w:rFonts w:asciiTheme="majorHAnsi" w:eastAsiaTheme="majorEastAsia" w:hAnsiTheme="majorHAnsi" w:cs="Narkisim"/>
      <w:sz w:val="32"/>
      <w:szCs w:val="28"/>
      <w:shd w:val="clear" w:color="auto" w:fill="F2F2F2" w:themeFill="background1" w:themeFillShade="F2"/>
    </w:rPr>
  </w:style>
  <w:style w:type="character" w:customStyle="1" w:styleId="20">
    <w:name w:val="כותרת 2 תו"/>
    <w:basedOn w:val="a0"/>
    <w:link w:val="2"/>
    <w:uiPriority w:val="9"/>
    <w:rsid w:val="00444CEF"/>
    <w:rPr>
      <w:rFonts w:asciiTheme="majorHAnsi" w:eastAsiaTheme="majorEastAsia" w:hAnsiTheme="majorHAnsi" w:cstheme="majorBidi"/>
      <w:sz w:val="26"/>
      <w:szCs w:val="24"/>
      <w:u w:val="single"/>
    </w:rPr>
  </w:style>
  <w:style w:type="table" w:styleId="a3">
    <w:name w:val="Table Grid"/>
    <w:basedOn w:val="a1"/>
    <w:uiPriority w:val="59"/>
    <w:rsid w:val="00FC3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FC3225"/>
    <w:pPr>
      <w:spacing w:after="0" w:line="240" w:lineRule="auto"/>
    </w:pPr>
    <w:rPr>
      <w:sz w:val="20"/>
      <w:szCs w:val="20"/>
    </w:rPr>
  </w:style>
  <w:style w:type="character" w:customStyle="1" w:styleId="a5">
    <w:name w:val="טקסט הערת שוליים תו"/>
    <w:basedOn w:val="a0"/>
    <w:link w:val="a4"/>
    <w:uiPriority w:val="99"/>
    <w:semiHidden/>
    <w:rsid w:val="00FC3225"/>
    <w:rPr>
      <w:sz w:val="20"/>
      <w:szCs w:val="20"/>
    </w:rPr>
  </w:style>
  <w:style w:type="character" w:styleId="a6">
    <w:name w:val="footnote reference"/>
    <w:basedOn w:val="a0"/>
    <w:uiPriority w:val="99"/>
    <w:semiHidden/>
    <w:unhideWhenUsed/>
    <w:rsid w:val="00FC3225"/>
    <w:rPr>
      <w:vertAlign w:val="superscript"/>
    </w:rPr>
  </w:style>
  <w:style w:type="paragraph" w:styleId="a7">
    <w:name w:val="List Paragraph"/>
    <w:basedOn w:val="a"/>
    <w:uiPriority w:val="34"/>
    <w:qFormat/>
    <w:rsid w:val="00314C1A"/>
    <w:pPr>
      <w:ind w:left="720"/>
      <w:contextualSpacing/>
    </w:pPr>
  </w:style>
  <w:style w:type="paragraph" w:styleId="a8">
    <w:name w:val="header"/>
    <w:basedOn w:val="a"/>
    <w:link w:val="a9"/>
    <w:uiPriority w:val="99"/>
    <w:unhideWhenUsed/>
    <w:rsid w:val="00637A3F"/>
    <w:pPr>
      <w:tabs>
        <w:tab w:val="center" w:pos="4153"/>
        <w:tab w:val="right" w:pos="8306"/>
      </w:tabs>
      <w:spacing w:after="0" w:line="240" w:lineRule="auto"/>
    </w:pPr>
  </w:style>
  <w:style w:type="character" w:customStyle="1" w:styleId="a9">
    <w:name w:val="כותרת עליונה תו"/>
    <w:basedOn w:val="a0"/>
    <w:link w:val="a8"/>
    <w:uiPriority w:val="99"/>
    <w:rsid w:val="00637A3F"/>
  </w:style>
  <w:style w:type="paragraph" w:styleId="aa">
    <w:name w:val="footer"/>
    <w:basedOn w:val="a"/>
    <w:link w:val="ab"/>
    <w:uiPriority w:val="99"/>
    <w:unhideWhenUsed/>
    <w:rsid w:val="00637A3F"/>
    <w:pPr>
      <w:tabs>
        <w:tab w:val="center" w:pos="4153"/>
        <w:tab w:val="right" w:pos="8306"/>
      </w:tabs>
      <w:spacing w:after="0" w:line="240" w:lineRule="auto"/>
    </w:pPr>
  </w:style>
  <w:style w:type="character" w:customStyle="1" w:styleId="ab">
    <w:name w:val="כותרת תחתונה תו"/>
    <w:basedOn w:val="a0"/>
    <w:link w:val="aa"/>
    <w:uiPriority w:val="99"/>
    <w:rsid w:val="00637A3F"/>
  </w:style>
  <w:style w:type="paragraph" w:styleId="ac">
    <w:name w:val="endnote text"/>
    <w:basedOn w:val="a"/>
    <w:link w:val="ad"/>
    <w:uiPriority w:val="99"/>
    <w:unhideWhenUsed/>
    <w:rsid w:val="00B87E80"/>
    <w:pPr>
      <w:spacing w:after="0" w:line="240" w:lineRule="auto"/>
    </w:pPr>
    <w:rPr>
      <w:sz w:val="20"/>
      <w:szCs w:val="20"/>
    </w:rPr>
  </w:style>
  <w:style w:type="character" w:customStyle="1" w:styleId="ad">
    <w:name w:val="טקסט הערת סיום תו"/>
    <w:basedOn w:val="a0"/>
    <w:link w:val="ac"/>
    <w:uiPriority w:val="99"/>
    <w:rsid w:val="00B87E80"/>
    <w:rPr>
      <w:sz w:val="20"/>
      <w:szCs w:val="20"/>
    </w:rPr>
  </w:style>
  <w:style w:type="character" w:styleId="ae">
    <w:name w:val="endnote reference"/>
    <w:basedOn w:val="a0"/>
    <w:uiPriority w:val="99"/>
    <w:semiHidden/>
    <w:unhideWhenUsed/>
    <w:rsid w:val="00B87E80"/>
    <w:rPr>
      <w:vertAlign w:val="superscript"/>
    </w:rPr>
  </w:style>
  <w:style w:type="character" w:styleId="Hyperlink">
    <w:name w:val="Hyperlink"/>
    <w:basedOn w:val="a0"/>
    <w:uiPriority w:val="99"/>
    <w:unhideWhenUsed/>
    <w:rsid w:val="0010126A"/>
    <w:rPr>
      <w:color w:val="0000FF" w:themeColor="hyperlink"/>
      <w:u w:val="single"/>
    </w:rPr>
  </w:style>
  <w:style w:type="character" w:styleId="af">
    <w:name w:val="Unresolved Mention"/>
    <w:basedOn w:val="a0"/>
    <w:uiPriority w:val="99"/>
    <w:semiHidden/>
    <w:unhideWhenUsed/>
    <w:rsid w:val="0010126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ma@eliyif.com?subject=&#1492;&#1506;&#1512;&#1492;%20&#1506;&#1500;%20&#1496;&#1489;&#1500;&#1514;%20&#1505;&#1493;&#1490;&#1497;%20&#1492;&#1513;&#1489;&#1493;&#1506;&#1493;&#1514;%20eliyif.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yuma@eliyif.com?subject=&#1492;&#1506;&#1512;&#1492;%20&#1506;&#1500;%20&#1496;&#1489;&#1500;&#1514;%20&#1505;&#1493;&#1490;&#1497;%20&#1492;&#1513;&#1489;&#1493;&#1506;&#1493;&#1514;%20eliyif.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61233-AC58-476F-A0B4-C1FBD3D56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239</Words>
  <Characters>1197</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שבועת הדיינין</vt:lpstr>
    </vt:vector>
  </TitlesOfParts>
  <Manager>אליהו יפרח</Manager>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שבועת הדיינין</dc:title>
  <dc:subject>טבלת שבועת הדיינין</dc:subject>
  <dc:creator>אליהו יפרח</dc:creator>
  <cp:keywords/>
  <dc:description/>
  <cp:lastModifiedBy>אליהו יפרח</cp:lastModifiedBy>
  <cp:revision>12</cp:revision>
  <cp:lastPrinted>2018-01-14T19:50:00Z</cp:lastPrinted>
  <dcterms:created xsi:type="dcterms:W3CDTF">2018-01-14T18:29:00Z</dcterms:created>
  <dcterms:modified xsi:type="dcterms:W3CDTF">2018-01-14T20:01:00Z</dcterms:modified>
</cp:coreProperties>
</file>