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cs/>
          <w:lang w:val="he-IL"/>
        </w:rPr>
        <w:id w:val="-1022707909"/>
        <w:docPartObj>
          <w:docPartGallery w:val="Table of Contents"/>
          <w:docPartUnique/>
        </w:docPartObj>
      </w:sdtPr>
      <w:sdtEndPr>
        <w:rPr>
          <w:b/>
          <w:bCs/>
          <w:cs w:val="0"/>
        </w:rPr>
      </w:sdtEndPr>
      <w:sdtContent>
        <w:p w:rsidR="008C546C" w:rsidRPr="008C546C" w:rsidRDefault="008C546C" w:rsidP="008C546C">
          <w:pPr>
            <w:rPr>
              <w:rFonts w:ascii="Narkisim" w:hAnsi="Narkisim"/>
              <w:sz w:val="24"/>
              <w:szCs w:val="24"/>
              <w:cs/>
            </w:rPr>
          </w:pPr>
          <w:r>
            <w:rPr>
              <w:rFonts w:ascii="Narkisim" w:hAnsi="Narkisim" w:hint="cs"/>
              <w:sz w:val="24"/>
              <w:szCs w:val="24"/>
              <w:rtl/>
              <w:cs/>
            </w:rPr>
            <w:t>בעזה"י</w:t>
          </w:r>
        </w:p>
        <w:p w:rsidR="0010620B" w:rsidRDefault="0010620B" w:rsidP="00A527D5">
          <w:pPr>
            <w:pStyle w:val="ad"/>
            <w:spacing w:after="240"/>
            <w:jc w:val="center"/>
            <w:rPr>
              <w:rFonts w:ascii="Narkisim" w:hAnsi="Narkisim" w:cs="Narkisim" w:hint="cs"/>
              <w:b/>
              <w:bCs/>
              <w:color w:val="auto"/>
              <w:sz w:val="40"/>
              <w:szCs w:val="40"/>
              <w:cs w:val="0"/>
            </w:rPr>
          </w:pPr>
          <w:r>
            <w:rPr>
              <w:rFonts w:ascii="Narkisim" w:hAnsi="Narkisim" w:cs="Narkisim" w:hint="cs"/>
              <w:b/>
              <w:bCs/>
              <w:color w:val="auto"/>
              <w:sz w:val="40"/>
              <w:szCs w:val="40"/>
              <w:cs w:val="0"/>
            </w:rPr>
            <w:t>יסודות יומא</w:t>
          </w:r>
        </w:p>
        <w:p w:rsidR="00A527D5" w:rsidRDefault="0010620B" w:rsidP="00A527D5">
          <w:pPr>
            <w:pStyle w:val="TOC1"/>
            <w:tabs>
              <w:tab w:val="right" w:leader="dot" w:pos="8296"/>
            </w:tabs>
            <w:rPr>
              <w:rFonts w:eastAsiaTheme="minorEastAsia" w:cstheme="minorBidi"/>
              <w:noProof/>
              <w:rtl/>
            </w:rPr>
          </w:pPr>
          <w:r>
            <w:fldChar w:fldCharType="begin"/>
          </w:r>
          <w:r>
            <w:instrText xml:space="preserve"> TOC \o "1-3" \h \z \u </w:instrText>
          </w:r>
          <w:r>
            <w:fldChar w:fldCharType="separate"/>
          </w:r>
          <w:hyperlink w:anchor="_Toc76719136" w:history="1">
            <w:r w:rsidR="00A527D5" w:rsidRPr="0010503C">
              <w:rPr>
                <w:rStyle w:val="Hyperlink"/>
                <w:rFonts w:asciiTheme="majorHAnsi" w:eastAsiaTheme="majorEastAsia" w:hAnsiTheme="majorHAnsi"/>
                <w:b/>
                <w:noProof/>
                <w:rtl/>
              </w:rPr>
              <w:t>שיעור ראשון</w:t>
            </w:r>
            <w:r w:rsidR="00A527D5">
              <w:rPr>
                <w:rStyle w:val="Hyperlink"/>
                <w:rFonts w:asciiTheme="majorHAnsi" w:eastAsiaTheme="majorEastAsia" w:hAnsiTheme="majorHAnsi" w:hint="cs"/>
                <w:b/>
                <w:noProof/>
                <w:rtl/>
              </w:rPr>
              <w:t xml:space="preserve">: סדר עבודת יום הכיפורים </w:t>
            </w:r>
            <w:r w:rsidR="00A527D5">
              <w:rPr>
                <w:rStyle w:val="Hyperlink"/>
                <w:rFonts w:asciiTheme="majorHAnsi" w:eastAsiaTheme="majorEastAsia" w:hAnsiTheme="majorHAnsi"/>
                <w:b/>
                <w:noProof/>
                <w:rtl/>
              </w:rPr>
              <w:t>–</w:t>
            </w:r>
            <w:r w:rsidR="00A527D5">
              <w:rPr>
                <w:rStyle w:val="Hyperlink"/>
                <w:rFonts w:asciiTheme="majorHAnsi" w:eastAsiaTheme="majorEastAsia" w:hAnsiTheme="majorHAnsi" w:hint="cs"/>
                <w:b/>
                <w:noProof/>
                <w:rtl/>
              </w:rPr>
              <w:t xml:space="preserve"> טעמו ומהותו</w:t>
            </w:r>
            <w:r w:rsidR="00A527D5">
              <w:rPr>
                <w:noProof/>
                <w:webHidden/>
                <w:rtl/>
              </w:rPr>
              <w:tab/>
            </w:r>
            <w:r w:rsidR="00A527D5">
              <w:rPr>
                <w:rStyle w:val="Hyperlink"/>
                <w:noProof/>
                <w:rtl/>
              </w:rPr>
              <w:fldChar w:fldCharType="begin"/>
            </w:r>
            <w:r w:rsidR="00A527D5">
              <w:rPr>
                <w:noProof/>
                <w:webHidden/>
                <w:rtl/>
              </w:rPr>
              <w:instrText xml:space="preserve"> </w:instrText>
            </w:r>
            <w:r w:rsidR="00A527D5">
              <w:rPr>
                <w:noProof/>
                <w:webHidden/>
              </w:rPr>
              <w:instrText xml:space="preserve">PAGEREF </w:instrText>
            </w:r>
            <w:r w:rsidR="00A527D5">
              <w:rPr>
                <w:noProof/>
                <w:webHidden/>
                <w:rtl/>
              </w:rPr>
              <w:instrText>_</w:instrText>
            </w:r>
            <w:r w:rsidR="00A527D5">
              <w:rPr>
                <w:noProof/>
                <w:webHidden/>
              </w:rPr>
              <w:instrText>Toc76719136 \h</w:instrText>
            </w:r>
            <w:r w:rsidR="00A527D5">
              <w:rPr>
                <w:noProof/>
                <w:webHidden/>
                <w:rtl/>
              </w:rPr>
              <w:instrText xml:space="preserve"> </w:instrText>
            </w:r>
            <w:r w:rsidR="00A527D5">
              <w:rPr>
                <w:rStyle w:val="Hyperlink"/>
                <w:noProof/>
                <w:rtl/>
              </w:rPr>
            </w:r>
            <w:r w:rsidR="00A527D5">
              <w:rPr>
                <w:rStyle w:val="Hyperlink"/>
                <w:noProof/>
                <w:rtl/>
              </w:rPr>
              <w:fldChar w:fldCharType="separate"/>
            </w:r>
            <w:r w:rsidR="00804A48">
              <w:rPr>
                <w:noProof/>
                <w:webHidden/>
                <w:rtl/>
              </w:rPr>
              <w:t>2</w:t>
            </w:r>
            <w:r w:rsidR="00A527D5">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39" w:history="1">
            <w:r w:rsidRPr="0010503C">
              <w:rPr>
                <w:rStyle w:val="Hyperlink"/>
                <w:rFonts w:asciiTheme="majorHAnsi" w:eastAsiaTheme="majorEastAsia" w:hAnsiTheme="majorHAnsi"/>
                <w:b/>
                <w:noProof/>
                <w:rtl/>
              </w:rPr>
              <w:t>שיעור שני</w:t>
            </w:r>
            <w:r>
              <w:rPr>
                <w:rStyle w:val="Hyperlink"/>
                <w:rFonts w:asciiTheme="majorHAnsi" w:eastAsiaTheme="majorEastAsia" w:hAnsiTheme="majorHAnsi" w:hint="cs"/>
                <w:b/>
                <w:noProof/>
                <w:rtl/>
              </w:rPr>
              <w:t>: הפרשת כהן גדול שבעת ימים קודם יום הכיפורים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Toc76719139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7</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42" w:history="1">
            <w:r w:rsidRPr="0010503C">
              <w:rPr>
                <w:rStyle w:val="Hyperlink"/>
                <w:rFonts w:asciiTheme="majorHAnsi" w:eastAsiaTheme="majorEastAsia" w:hAnsiTheme="majorHAnsi"/>
                <w:b/>
                <w:noProof/>
                <w:rtl/>
              </w:rPr>
              <w:t>שיעור שלישי</w:t>
            </w:r>
            <w:r>
              <w:rPr>
                <w:rStyle w:val="Hyperlink"/>
                <w:rFonts w:asciiTheme="majorHAnsi" w:eastAsiaTheme="majorEastAsia" w:hAnsiTheme="majorHAnsi" w:hint="cs"/>
                <w:b/>
                <w:noProof/>
                <w:rtl/>
              </w:rPr>
              <w:t>: מינוי וחינוך כהן גדול</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Toc76719142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12</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45" w:history="1">
            <w:r w:rsidRPr="0010503C">
              <w:rPr>
                <w:rStyle w:val="Hyperlink"/>
                <w:rFonts w:asciiTheme="majorHAnsi" w:eastAsiaTheme="majorEastAsia" w:hAnsiTheme="majorHAnsi"/>
                <w:b/>
                <w:noProof/>
                <w:rtl/>
              </w:rPr>
              <w:t>שיעור רביעי</w:t>
            </w:r>
            <w:r>
              <w:rPr>
                <w:rStyle w:val="Hyperlink"/>
                <w:rFonts w:asciiTheme="majorHAnsi" w:eastAsiaTheme="majorEastAsia" w:hAnsiTheme="majorHAnsi" w:hint="cs"/>
                <w:b/>
                <w:noProof/>
                <w:rtl/>
              </w:rPr>
              <w:t>: "ומתקינין כהן אחר תחתיו"</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Toc76719145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17</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48" w:history="1">
            <w:r w:rsidRPr="0010503C">
              <w:rPr>
                <w:rStyle w:val="Hyperlink"/>
                <w:rFonts w:asciiTheme="majorHAnsi" w:eastAsiaTheme="majorEastAsia" w:hAnsiTheme="majorHAnsi"/>
                <w:b/>
                <w:noProof/>
                <w:rtl/>
              </w:rPr>
              <w:t>שיעור חמישי</w:t>
            </w:r>
            <w:r>
              <w:rPr>
                <w:rStyle w:val="Hyperlink"/>
                <w:rFonts w:asciiTheme="majorHAnsi" w:eastAsiaTheme="majorEastAsia" w:hAnsiTheme="majorHAnsi" w:hint="cs"/>
                <w:b/>
                <w:noProof/>
                <w:rtl/>
              </w:rPr>
              <w:t>: העבודות הנעשות על ידי כהן גדול</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Toc76719148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22</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51" w:history="1">
            <w:r w:rsidRPr="0010503C">
              <w:rPr>
                <w:rStyle w:val="Hyperlink"/>
                <w:rFonts w:asciiTheme="majorHAnsi" w:eastAsiaTheme="majorEastAsia" w:hAnsiTheme="majorHAnsi"/>
                <w:b/>
                <w:noProof/>
                <w:rtl/>
              </w:rPr>
              <w:t>שיעור שישי</w:t>
            </w:r>
            <w:r>
              <w:rPr>
                <w:rStyle w:val="Hyperlink"/>
                <w:rFonts w:asciiTheme="majorHAnsi" w:eastAsiaTheme="majorEastAsia" w:hAnsiTheme="majorHAnsi" w:hint="cs"/>
                <w:b/>
                <w:noProof/>
                <w:rtl/>
              </w:rPr>
              <w:t>: בגדי זהב ובגדי לבן</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Toc76719151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27</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54" w:history="1">
            <w:r w:rsidRPr="0010503C">
              <w:rPr>
                <w:rStyle w:val="Hyperlink"/>
                <w:rFonts w:asciiTheme="majorHAnsi" w:eastAsiaTheme="majorEastAsia" w:hAnsiTheme="majorHAnsi"/>
                <w:b/>
                <w:noProof/>
                <w:rtl/>
              </w:rPr>
              <w:t>שיעור שביעי</w:t>
            </w:r>
            <w:r>
              <w:rPr>
                <w:rStyle w:val="Hyperlink"/>
                <w:rFonts w:asciiTheme="majorHAnsi" w:eastAsiaTheme="majorEastAsia" w:hAnsiTheme="majorHAnsi" w:hint="cs"/>
                <w:b/>
                <w:noProof/>
                <w:rtl/>
              </w:rPr>
              <w:t>: חמש טבילות</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Toc76719154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32</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57" w:history="1">
            <w:r w:rsidRPr="0010503C">
              <w:rPr>
                <w:rStyle w:val="Hyperlink"/>
                <w:rFonts w:asciiTheme="majorHAnsi" w:eastAsiaTheme="majorEastAsia" w:hAnsiTheme="majorHAnsi"/>
                <w:b/>
                <w:noProof/>
                <w:rtl/>
              </w:rPr>
              <w:t>שיעור שמיני</w:t>
            </w:r>
            <w:r>
              <w:rPr>
                <w:rStyle w:val="Hyperlink"/>
                <w:rFonts w:asciiTheme="majorHAnsi" w:eastAsiaTheme="majorEastAsia" w:hAnsiTheme="majorHAnsi" w:hint="cs"/>
                <w:b/>
                <w:noProof/>
                <w:rtl/>
              </w:rPr>
              <w:t>: עשרה קידושים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Toc76719157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36</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60" w:history="1">
            <w:r w:rsidRPr="0010503C">
              <w:rPr>
                <w:rStyle w:val="Hyperlink"/>
                <w:rFonts w:asciiTheme="majorHAnsi" w:eastAsiaTheme="majorEastAsia" w:hAnsiTheme="majorHAnsi"/>
                <w:b/>
                <w:noProof/>
                <w:rtl/>
              </w:rPr>
              <w:t>שיעור תשיעי</w:t>
            </w:r>
            <w:r>
              <w:rPr>
                <w:rStyle w:val="Hyperlink"/>
                <w:rFonts w:asciiTheme="majorHAnsi" w:eastAsiaTheme="majorEastAsia" w:hAnsiTheme="majorHAnsi" w:hint="cs"/>
                <w:b/>
                <w:noProof/>
                <w:rtl/>
              </w:rPr>
              <w:t>: פרו של כהן גדול</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Toc76719160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42</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64" w:history="1">
            <w:r w:rsidRPr="0010503C">
              <w:rPr>
                <w:rStyle w:val="Hyperlink"/>
                <w:rFonts w:asciiTheme="majorHAnsi" w:eastAsiaTheme="majorEastAsia" w:hAnsiTheme="majorHAnsi"/>
                <w:b/>
                <w:noProof/>
                <w:rtl/>
              </w:rPr>
              <w:t>שיעור עשירי</w:t>
            </w:r>
            <w:r>
              <w:rPr>
                <w:rStyle w:val="Hyperlink"/>
                <w:rFonts w:asciiTheme="majorHAnsi" w:eastAsiaTheme="majorEastAsia" w:hAnsiTheme="majorHAnsi" w:hint="cs"/>
                <w:b/>
                <w:noProof/>
                <w:rtl/>
              </w:rPr>
              <w:t>: גורל השעירים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Toc76719164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47</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68" w:history="1">
            <w:r w:rsidRPr="0010503C">
              <w:rPr>
                <w:rStyle w:val="Hyperlink"/>
                <w:rFonts w:asciiTheme="majorHAnsi" w:eastAsiaTheme="majorEastAsia" w:hAnsiTheme="majorHAnsi"/>
                <w:b/>
                <w:noProof/>
                <w:rtl/>
              </w:rPr>
              <w:t>שיעור אחד עשר</w:t>
            </w:r>
            <w:r>
              <w:rPr>
                <w:rFonts w:hint="cs"/>
                <w:noProof/>
                <w:webHidden/>
                <w:rtl/>
              </w:rPr>
              <w:t>: הגרלה מעכבת</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Toc76719168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52</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72" w:history="1">
            <w:r w:rsidRPr="0010503C">
              <w:rPr>
                <w:rStyle w:val="Hyperlink"/>
                <w:rFonts w:asciiTheme="majorHAnsi" w:eastAsiaTheme="majorEastAsia" w:hAnsiTheme="majorHAnsi"/>
                <w:b/>
                <w:noProof/>
                <w:rtl/>
              </w:rPr>
              <w:t>שיעור שנים עשר</w:t>
            </w:r>
            <w:r>
              <w:rPr>
                <w:rStyle w:val="Hyperlink"/>
                <w:rFonts w:asciiTheme="majorHAnsi" w:eastAsiaTheme="majorEastAsia" w:hAnsiTheme="majorHAnsi" w:hint="cs"/>
                <w:b/>
                <w:noProof/>
                <w:rtl/>
              </w:rPr>
              <w:t>: הכניסה לקודש הקדשים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Toc76719172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58</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75" w:history="1">
            <w:r w:rsidRPr="0010503C">
              <w:rPr>
                <w:rStyle w:val="Hyperlink"/>
                <w:rFonts w:asciiTheme="majorHAnsi" w:eastAsiaTheme="majorEastAsia" w:hAnsiTheme="majorHAnsi"/>
                <w:b/>
                <w:noProof/>
                <w:rtl/>
              </w:rPr>
              <w:t>שיעור שלושה עשר</w:t>
            </w:r>
            <w:r>
              <w:rPr>
                <w:rStyle w:val="Hyperlink"/>
                <w:rFonts w:asciiTheme="majorHAnsi" w:eastAsiaTheme="majorEastAsia" w:hAnsiTheme="majorHAnsi" w:hint="cs"/>
                <w:b/>
                <w:noProof/>
                <w:rtl/>
              </w:rPr>
              <w:t>: הקטרת הקטורת</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Toc76719175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64</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78" w:history="1">
            <w:r w:rsidRPr="0010503C">
              <w:rPr>
                <w:rStyle w:val="Hyperlink"/>
                <w:rFonts w:asciiTheme="majorHAnsi" w:eastAsiaTheme="majorEastAsia" w:hAnsiTheme="majorHAnsi"/>
                <w:b/>
                <w:noProof/>
                <w:rtl/>
              </w:rPr>
              <w:t>שיעור ארבעה עשר</w:t>
            </w:r>
            <w:r>
              <w:rPr>
                <w:rFonts w:hint="cs"/>
                <w:noProof/>
                <w:webHidden/>
                <w:rtl/>
              </w:rPr>
              <w:t>: פרישה מן ההיכל בשעת הקטרה</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Toc76719178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71</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81" w:history="1">
            <w:r w:rsidRPr="0010503C">
              <w:rPr>
                <w:rStyle w:val="Hyperlink"/>
                <w:rFonts w:asciiTheme="majorHAnsi" w:eastAsiaTheme="majorEastAsia" w:hAnsiTheme="majorHAnsi"/>
                <w:b/>
                <w:noProof/>
                <w:rtl/>
              </w:rPr>
              <w:t>שיעור חמישה עשר</w:t>
            </w:r>
            <w:r>
              <w:rPr>
                <w:rFonts w:hint="cs"/>
                <w:noProof/>
                <w:webHidden/>
                <w:rtl/>
              </w:rPr>
              <w:t>: הזאות דם הפר ודם השעיר</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Toc76719181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75</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85" w:history="1">
            <w:r w:rsidRPr="0010503C">
              <w:rPr>
                <w:rStyle w:val="Hyperlink"/>
                <w:rFonts w:asciiTheme="majorHAnsi" w:eastAsiaTheme="majorEastAsia" w:hAnsiTheme="majorHAnsi"/>
                <w:b/>
                <w:noProof/>
                <w:rtl/>
              </w:rPr>
              <w:t>שיעור שישה עשר</w:t>
            </w:r>
            <w:r>
              <w:rPr>
                <w:rStyle w:val="Hyperlink"/>
                <w:rFonts w:asciiTheme="majorHAnsi" w:eastAsiaTheme="majorEastAsia" w:hAnsiTheme="majorHAnsi" w:hint="cs"/>
                <w:b/>
                <w:noProof/>
                <w:rtl/>
              </w:rPr>
              <w:t>: השעיר המשתלח כקרבן</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Toc76719185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81</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90" w:history="1">
            <w:r w:rsidRPr="0010503C">
              <w:rPr>
                <w:rStyle w:val="Hyperlink"/>
                <w:rFonts w:asciiTheme="majorHAnsi" w:eastAsiaTheme="majorEastAsia" w:hAnsiTheme="majorHAnsi"/>
                <w:b/>
                <w:noProof/>
                <w:rtl/>
              </w:rPr>
              <w:t>שיעור שבעה עשר</w:t>
            </w:r>
            <w:r>
              <w:rPr>
                <w:rFonts w:hint="cs"/>
                <w:noProof/>
                <w:webHidden/>
                <w:rtl/>
              </w:rPr>
              <w:t>: שילוח השעיר</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Toc76719190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88</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94" w:history="1">
            <w:r w:rsidRPr="0010503C">
              <w:rPr>
                <w:rStyle w:val="Hyperlink"/>
                <w:rFonts w:asciiTheme="majorHAnsi" w:eastAsiaTheme="majorEastAsia" w:hAnsiTheme="majorHAnsi"/>
                <w:b/>
                <w:noProof/>
                <w:rtl/>
              </w:rPr>
              <w:t>שיעור שמונה עשר</w:t>
            </w:r>
            <w:r>
              <w:rPr>
                <w:rFonts w:hint="cs"/>
                <w:noProof/>
                <w:webHidden/>
                <w:rtl/>
              </w:rPr>
              <w:t>: וידוי</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Toc76719194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94</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198" w:history="1">
            <w:r w:rsidRPr="0010503C">
              <w:rPr>
                <w:rStyle w:val="Hyperlink"/>
                <w:rFonts w:asciiTheme="majorHAnsi" w:eastAsiaTheme="majorEastAsia" w:hAnsiTheme="majorHAnsi"/>
                <w:b/>
                <w:noProof/>
                <w:rtl/>
              </w:rPr>
              <w:t>שיעור תשעה עשר</w:t>
            </w:r>
            <w:r>
              <w:rPr>
                <w:rStyle w:val="Hyperlink"/>
                <w:rFonts w:asciiTheme="majorHAnsi" w:eastAsiaTheme="majorEastAsia" w:hAnsiTheme="majorHAnsi" w:hint="cs"/>
                <w:b/>
                <w:noProof/>
                <w:rtl/>
              </w:rPr>
              <w:t>: לשון של זהורית</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Toc76719198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100</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202" w:history="1">
            <w:r w:rsidRPr="0010503C">
              <w:rPr>
                <w:rStyle w:val="Hyperlink"/>
                <w:rFonts w:asciiTheme="majorHAnsi" w:eastAsiaTheme="majorEastAsia" w:hAnsiTheme="majorHAnsi"/>
                <w:b/>
                <w:noProof/>
                <w:rtl/>
              </w:rPr>
              <w:t>שיעור עשרים</w:t>
            </w:r>
            <w:r>
              <w:rPr>
                <w:rStyle w:val="Hyperlink"/>
                <w:rFonts w:asciiTheme="majorHAnsi" w:eastAsiaTheme="majorEastAsia" w:hAnsiTheme="majorHAnsi" w:hint="cs"/>
                <w:b/>
                <w:noProof/>
                <w:rtl/>
              </w:rPr>
              <w:t>: קריאת הכהן הגדול בתורה</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Toc76719202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106</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205" w:history="1">
            <w:r w:rsidRPr="0010503C">
              <w:rPr>
                <w:rStyle w:val="Hyperlink"/>
                <w:rFonts w:asciiTheme="majorHAnsi" w:eastAsiaTheme="majorEastAsia" w:hAnsiTheme="majorHAnsi"/>
                <w:b/>
                <w:noProof/>
                <w:rtl/>
              </w:rPr>
              <w:t>שיעור עשרים ואחד</w:t>
            </w:r>
            <w:r>
              <w:rPr>
                <w:rFonts w:hint="cs"/>
                <w:noProof/>
                <w:webHidden/>
                <w:rtl/>
              </w:rPr>
              <w:t>: הוצאת הכף והמחתה והשלמת עבודות היום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Toc76719205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111</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208" w:history="1">
            <w:r w:rsidRPr="0010503C">
              <w:rPr>
                <w:rStyle w:val="Hyperlink"/>
                <w:rFonts w:asciiTheme="majorHAnsi" w:eastAsiaTheme="majorEastAsia" w:hAnsiTheme="majorHAnsi"/>
                <w:b/>
                <w:noProof/>
                <w:rtl/>
              </w:rPr>
              <w:t>שיעור עשרים ושנים</w:t>
            </w:r>
            <w:r>
              <w:rPr>
                <w:rStyle w:val="Hyperlink"/>
                <w:rFonts w:asciiTheme="majorHAnsi" w:eastAsiaTheme="majorEastAsia" w:hAnsiTheme="majorHAnsi" w:hint="cs"/>
                <w:b/>
                <w:noProof/>
                <w:rtl/>
              </w:rPr>
              <w:t xml:space="preserve">: סדר עבודת יום הכיפורים </w:t>
            </w:r>
            <w:r>
              <w:rPr>
                <w:rStyle w:val="Hyperlink"/>
                <w:rFonts w:asciiTheme="majorHAnsi" w:eastAsiaTheme="majorEastAsia" w:hAnsiTheme="majorHAnsi"/>
                <w:b/>
                <w:noProof/>
                <w:rtl/>
              </w:rPr>
              <w:t>–</w:t>
            </w:r>
            <w:r>
              <w:rPr>
                <w:rStyle w:val="Hyperlink"/>
                <w:rFonts w:asciiTheme="majorHAnsi" w:eastAsiaTheme="majorEastAsia" w:hAnsiTheme="majorHAnsi" w:hint="cs"/>
                <w:b/>
                <w:noProof/>
                <w:rtl/>
              </w:rPr>
              <w:t xml:space="preserve"> שיעור סיכום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Toc76719208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118</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211" w:history="1">
            <w:r w:rsidRPr="0010503C">
              <w:rPr>
                <w:rStyle w:val="Hyperlink"/>
                <w:rFonts w:asciiTheme="majorHAnsi" w:eastAsiaTheme="majorEastAsia" w:hAnsiTheme="majorHAnsi"/>
                <w:b/>
                <w:noProof/>
                <w:rtl/>
              </w:rPr>
              <w:t>שיעור עשרים ושלושה</w:t>
            </w:r>
            <w:r>
              <w:rPr>
                <w:rStyle w:val="Hyperlink"/>
                <w:rFonts w:asciiTheme="majorHAnsi" w:eastAsiaTheme="majorEastAsia" w:hAnsiTheme="majorHAnsi" w:hint="cs"/>
                <w:b/>
                <w:noProof/>
                <w:rtl/>
              </w:rPr>
              <w:t>: מצות העינוי ביום הכיפורים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Toc76719211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122</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214" w:history="1">
            <w:r w:rsidRPr="0010503C">
              <w:rPr>
                <w:rStyle w:val="Hyperlink"/>
                <w:rFonts w:asciiTheme="majorHAnsi" w:eastAsiaTheme="majorEastAsia" w:hAnsiTheme="majorHAnsi"/>
                <w:b/>
                <w:noProof/>
                <w:rtl/>
              </w:rPr>
              <w:t>שיעור עשרים וארבעה</w:t>
            </w:r>
            <w:r>
              <w:rPr>
                <w:rFonts w:hint="cs"/>
                <w:noProof/>
                <w:webHidden/>
                <w:rtl/>
              </w:rPr>
              <w:t>: חמשת העינויים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Toc76719214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129</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217" w:history="1">
            <w:r w:rsidRPr="0010503C">
              <w:rPr>
                <w:rStyle w:val="Hyperlink"/>
                <w:rFonts w:asciiTheme="majorHAnsi" w:eastAsiaTheme="majorEastAsia" w:hAnsiTheme="majorHAnsi"/>
                <w:b/>
                <w:noProof/>
                <w:rtl/>
              </w:rPr>
              <w:t>שיעור עשרים וחמישה</w:t>
            </w:r>
            <w:r>
              <w:rPr>
                <w:rFonts w:hint="cs"/>
                <w:noProof/>
                <w:webHidden/>
                <w:rtl/>
              </w:rPr>
              <w:t>: איסור רחיצה, סיכה ונעילת הסנדל</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Toc76719217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135</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hyperlink w:anchor="_Toc76719220" w:history="1">
            <w:r w:rsidRPr="0010503C">
              <w:rPr>
                <w:rStyle w:val="Hyperlink"/>
                <w:rFonts w:asciiTheme="majorHAnsi" w:eastAsiaTheme="majorEastAsia" w:hAnsiTheme="majorHAnsi"/>
                <w:b/>
                <w:noProof/>
                <w:rtl/>
              </w:rPr>
              <w:t>שיעור עשרים ושישה</w:t>
            </w:r>
            <w:r>
              <w:rPr>
                <w:rStyle w:val="Hyperlink"/>
                <w:rFonts w:asciiTheme="majorHAnsi" w:eastAsiaTheme="majorEastAsia" w:hAnsiTheme="majorHAnsi" w:hint="cs"/>
                <w:b/>
                <w:noProof/>
                <w:rtl/>
              </w:rPr>
              <w:t>: מצות הוידוי ביום הכיפורים</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Toc76719220 \h</w:instrText>
            </w:r>
            <w:r>
              <w:rPr>
                <w:noProof/>
                <w:webHidden/>
                <w:rtl/>
              </w:rPr>
              <w:instrText xml:space="preserve"> </w:instrText>
            </w:r>
            <w:r>
              <w:rPr>
                <w:rStyle w:val="Hyperlink"/>
                <w:noProof/>
                <w:rtl/>
              </w:rPr>
            </w:r>
            <w:r>
              <w:rPr>
                <w:rStyle w:val="Hyperlink"/>
                <w:noProof/>
                <w:rtl/>
              </w:rPr>
              <w:fldChar w:fldCharType="separate"/>
            </w:r>
            <w:r w:rsidR="00804A48">
              <w:rPr>
                <w:noProof/>
                <w:webHidden/>
                <w:rtl/>
              </w:rPr>
              <w:t>142</w:t>
            </w:r>
            <w:r>
              <w:rPr>
                <w:rStyle w:val="Hyperlink"/>
                <w:noProof/>
                <w:rtl/>
              </w:rPr>
              <w:fldChar w:fldCharType="end"/>
            </w:r>
          </w:hyperlink>
        </w:p>
        <w:p w:rsidR="00A527D5" w:rsidRDefault="00A527D5">
          <w:pPr>
            <w:pStyle w:val="TOC1"/>
            <w:tabs>
              <w:tab w:val="right" w:leader="dot" w:pos="8296"/>
            </w:tabs>
            <w:rPr>
              <w:rFonts w:eastAsiaTheme="minorEastAsia" w:cstheme="minorBidi"/>
              <w:noProof/>
              <w:rtl/>
            </w:rPr>
          </w:pPr>
        </w:p>
        <w:p w:rsidR="005F0007" w:rsidRDefault="0010620B" w:rsidP="005F0007">
          <w:pPr>
            <w:rPr>
              <w:b/>
              <w:bCs/>
              <w:rtl/>
              <w:lang w:val="he-IL"/>
            </w:rPr>
          </w:pPr>
          <w:r>
            <w:rPr>
              <w:b/>
              <w:bCs/>
              <w:lang w:val="he-IL"/>
            </w:rPr>
            <w:fldChar w:fldCharType="end"/>
          </w:r>
        </w:p>
      </w:sdtContent>
    </w:sdt>
    <w:bookmarkStart w:id="0" w:name="_Toc76719135" w:displacedByCustomXml="prev"/>
    <w:bookmarkStart w:id="1" w:name="_Toc76718795" w:displacedByCustomXml="prev"/>
    <w:bookmarkStart w:id="2" w:name="_Toc76718390" w:displacedByCustomXml="prev"/>
    <w:p w:rsidR="005F0007" w:rsidRPr="005F0007" w:rsidRDefault="005F0007" w:rsidP="005F0007">
      <w:pPr>
        <w:jc w:val="center"/>
        <w:rPr>
          <w:rtl/>
        </w:rPr>
      </w:pPr>
      <w:r w:rsidRPr="005F0007">
        <w:rPr>
          <w:rFonts w:hint="cs"/>
          <w:color w:val="525252" w:themeColor="accent3" w:themeShade="80"/>
          <w:sz w:val="28"/>
          <w:szCs w:val="28"/>
          <w:rtl/>
        </w:rPr>
        <w:t>השיעור</w:t>
      </w:r>
      <w:r w:rsidRPr="005F0007">
        <w:rPr>
          <w:rFonts w:hint="cs"/>
          <w:color w:val="525252" w:themeColor="accent3" w:themeShade="80"/>
          <w:sz w:val="28"/>
          <w:szCs w:val="28"/>
          <w:rtl/>
        </w:rPr>
        <w:t>ים</w:t>
      </w:r>
      <w:r w:rsidRPr="005F0007">
        <w:rPr>
          <w:rFonts w:hint="cs"/>
          <w:color w:val="525252" w:themeColor="accent3" w:themeShade="80"/>
          <w:sz w:val="28"/>
          <w:szCs w:val="28"/>
          <w:rtl/>
        </w:rPr>
        <w:t xml:space="preserve"> מוקדש</w:t>
      </w:r>
      <w:r>
        <w:rPr>
          <w:rFonts w:hint="cs"/>
          <w:color w:val="525252" w:themeColor="accent3" w:themeShade="80"/>
          <w:sz w:val="28"/>
          <w:szCs w:val="28"/>
          <w:rtl/>
        </w:rPr>
        <w:t>ים</w:t>
      </w:r>
      <w:r w:rsidRPr="005F0007">
        <w:rPr>
          <w:color w:val="525252" w:themeColor="accent3" w:themeShade="80"/>
          <w:sz w:val="28"/>
          <w:szCs w:val="28"/>
          <w:rtl/>
        </w:rPr>
        <w:t xml:space="preserve"> לעילוי נשמת רחל בת יצחק </w:t>
      </w:r>
      <w:r w:rsidRPr="005F0007">
        <w:rPr>
          <w:rFonts w:hint="cs"/>
          <w:color w:val="525252" w:themeColor="accent3" w:themeShade="80"/>
          <w:sz w:val="28"/>
          <w:szCs w:val="28"/>
          <w:rtl/>
        </w:rPr>
        <w:t xml:space="preserve">וולטרס </w:t>
      </w:r>
      <w:r w:rsidRPr="005F0007">
        <w:rPr>
          <w:color w:val="525252" w:themeColor="accent3" w:themeShade="80"/>
          <w:sz w:val="28"/>
          <w:szCs w:val="28"/>
          <w:rtl/>
        </w:rPr>
        <w:t>ז"ל</w:t>
      </w:r>
    </w:p>
    <w:p w:rsidR="00A527D5" w:rsidRPr="005F0007" w:rsidRDefault="005F0007" w:rsidP="005F0007">
      <w:pPr>
        <w:spacing w:after="0" w:line="240" w:lineRule="auto"/>
        <w:jc w:val="center"/>
        <w:rPr>
          <w:rFonts w:asciiTheme="majorHAnsi" w:eastAsiaTheme="majorEastAsia" w:hAnsiTheme="majorHAnsi"/>
          <w:bCs/>
          <w:sz w:val="42"/>
          <w:szCs w:val="42"/>
          <w:rtl/>
        </w:rPr>
      </w:pPr>
      <w:r w:rsidRPr="005F0007">
        <w:rPr>
          <w:color w:val="525252" w:themeColor="accent3" w:themeShade="80"/>
          <w:sz w:val="28"/>
          <w:szCs w:val="28"/>
          <w:rtl/>
        </w:rPr>
        <w:t xml:space="preserve">ולעילוי נשמת אברהם בן צבי </w:t>
      </w:r>
      <w:r w:rsidRPr="005F0007">
        <w:rPr>
          <w:rFonts w:hint="cs"/>
          <w:color w:val="525252" w:themeColor="accent3" w:themeShade="80"/>
          <w:sz w:val="28"/>
          <w:szCs w:val="28"/>
          <w:rtl/>
        </w:rPr>
        <w:t xml:space="preserve">פייר </w:t>
      </w:r>
      <w:r w:rsidRPr="005F0007">
        <w:rPr>
          <w:color w:val="525252" w:themeColor="accent3" w:themeShade="80"/>
          <w:sz w:val="28"/>
          <w:szCs w:val="28"/>
          <w:rtl/>
        </w:rPr>
        <w:t>ז"ל</w:t>
      </w:r>
    </w:p>
    <w:p w:rsidR="005F0007" w:rsidRDefault="005F0007">
      <w:pPr>
        <w:spacing w:after="0" w:line="240" w:lineRule="auto"/>
        <w:rPr>
          <w:rFonts w:asciiTheme="majorHAnsi" w:eastAsiaTheme="majorEastAsia" w:hAnsiTheme="majorHAnsi"/>
          <w:bCs/>
          <w:sz w:val="40"/>
          <w:szCs w:val="40"/>
          <w:rtl/>
        </w:rPr>
      </w:pPr>
      <w:r>
        <w:rPr>
          <w:rFonts w:asciiTheme="majorHAnsi" w:eastAsiaTheme="majorEastAsia" w:hAnsiTheme="majorHAnsi"/>
          <w:bCs/>
          <w:sz w:val="40"/>
          <w:szCs w:val="40"/>
          <w:rtl/>
        </w:rPr>
        <w:br w:type="page"/>
      </w:r>
    </w:p>
    <w:p w:rsidR="00E064B4" w:rsidRPr="005326F6" w:rsidRDefault="00E064B4" w:rsidP="00E064B4">
      <w:pPr>
        <w:keepNext/>
        <w:keepLines/>
        <w:spacing w:before="240" w:after="0" w:line="276" w:lineRule="exact"/>
        <w:jc w:val="center"/>
        <w:outlineLvl w:val="0"/>
        <w:rPr>
          <w:rFonts w:asciiTheme="majorHAnsi" w:eastAsiaTheme="majorEastAsia" w:hAnsiTheme="majorHAnsi"/>
          <w:bCs/>
          <w:sz w:val="36"/>
          <w:szCs w:val="36"/>
          <w:rtl/>
        </w:rPr>
      </w:pPr>
      <w:r w:rsidRPr="005326F6">
        <w:rPr>
          <w:rFonts w:asciiTheme="majorHAnsi" w:eastAsiaTheme="majorEastAsia" w:hAnsiTheme="majorHAnsi" w:hint="cs"/>
          <w:bCs/>
          <w:sz w:val="40"/>
          <w:szCs w:val="40"/>
          <w:rtl/>
        </w:rPr>
        <w:lastRenderedPageBreak/>
        <w:t>יסודות יומא</w:t>
      </w:r>
      <w:bookmarkEnd w:id="2"/>
      <w:bookmarkEnd w:id="1"/>
      <w:bookmarkEnd w:id="0"/>
    </w:p>
    <w:p w:rsidR="00E064B4" w:rsidRPr="005326F6" w:rsidRDefault="00E064B4" w:rsidP="00E064B4">
      <w:pPr>
        <w:keepNext/>
        <w:keepLines/>
        <w:spacing w:before="240" w:after="0" w:line="276" w:lineRule="exact"/>
        <w:jc w:val="center"/>
        <w:outlineLvl w:val="0"/>
        <w:rPr>
          <w:rFonts w:asciiTheme="majorHAnsi" w:eastAsiaTheme="majorEastAsia" w:hAnsiTheme="majorHAnsi"/>
          <w:b/>
          <w:sz w:val="32"/>
          <w:szCs w:val="32"/>
          <w:rtl/>
        </w:rPr>
      </w:pPr>
      <w:bookmarkStart w:id="3" w:name="_Toc76719136"/>
      <w:bookmarkStart w:id="4" w:name="_GoBack"/>
      <w:bookmarkEnd w:id="4"/>
      <w:r w:rsidRPr="005326F6">
        <w:rPr>
          <w:rFonts w:asciiTheme="majorHAnsi" w:eastAsiaTheme="majorEastAsia" w:hAnsiTheme="majorHAnsi" w:hint="cs"/>
          <w:b/>
          <w:sz w:val="32"/>
          <w:szCs w:val="32"/>
          <w:rtl/>
        </w:rPr>
        <w:t>שיעור ראשון</w:t>
      </w:r>
      <w:bookmarkEnd w:id="3"/>
    </w:p>
    <w:p w:rsidR="00E064B4" w:rsidRPr="005326F6" w:rsidRDefault="00E064B4" w:rsidP="00E064B4">
      <w:pPr>
        <w:keepNext/>
        <w:keepLines/>
        <w:spacing w:before="240" w:after="0" w:line="276" w:lineRule="exact"/>
        <w:jc w:val="center"/>
        <w:outlineLvl w:val="0"/>
        <w:rPr>
          <w:rFonts w:asciiTheme="majorHAnsi" w:eastAsiaTheme="majorEastAsia" w:hAnsiTheme="majorHAnsi"/>
          <w:bCs/>
          <w:sz w:val="32"/>
          <w:szCs w:val="32"/>
          <w:rtl/>
        </w:rPr>
      </w:pPr>
      <w:bookmarkStart w:id="5" w:name="_Toc76718392"/>
      <w:bookmarkStart w:id="6" w:name="_Toc76718797"/>
      <w:bookmarkStart w:id="7" w:name="_Toc76719137"/>
      <w:r>
        <w:rPr>
          <w:rFonts w:asciiTheme="majorHAnsi" w:eastAsiaTheme="majorEastAsia" w:hAnsiTheme="majorHAnsi" w:hint="cs"/>
          <w:bCs/>
          <w:sz w:val="36"/>
          <w:szCs w:val="36"/>
          <w:rtl/>
        </w:rPr>
        <w:t xml:space="preserve">סדר עבודת </w:t>
      </w:r>
      <w:r w:rsidRPr="005326F6">
        <w:rPr>
          <w:rFonts w:asciiTheme="majorHAnsi" w:eastAsiaTheme="majorEastAsia" w:hAnsiTheme="majorHAnsi" w:hint="cs"/>
          <w:bCs/>
          <w:sz w:val="36"/>
          <w:szCs w:val="36"/>
          <w:rtl/>
        </w:rPr>
        <w:t>יום הכיפורים</w:t>
      </w:r>
      <w:r>
        <w:rPr>
          <w:rFonts w:asciiTheme="majorHAnsi" w:eastAsiaTheme="majorEastAsia" w:hAnsiTheme="majorHAnsi" w:hint="cs"/>
          <w:bCs/>
          <w:sz w:val="32"/>
          <w:szCs w:val="32"/>
          <w:rtl/>
        </w:rPr>
        <w:t xml:space="preserve"> </w:t>
      </w:r>
      <w:r>
        <w:rPr>
          <w:rFonts w:asciiTheme="majorHAnsi" w:eastAsiaTheme="majorEastAsia" w:hAnsiTheme="majorHAnsi"/>
          <w:bCs/>
          <w:sz w:val="32"/>
          <w:szCs w:val="32"/>
          <w:rtl/>
        </w:rPr>
        <w:t>–</w:t>
      </w:r>
      <w:r>
        <w:rPr>
          <w:rFonts w:asciiTheme="majorHAnsi" w:eastAsiaTheme="majorEastAsia" w:hAnsiTheme="majorHAnsi" w:hint="cs"/>
          <w:bCs/>
          <w:sz w:val="32"/>
          <w:szCs w:val="32"/>
          <w:rtl/>
        </w:rPr>
        <w:t xml:space="preserve"> טעמו ומהותו</w:t>
      </w:r>
      <w:bookmarkEnd w:id="5"/>
      <w:bookmarkEnd w:id="6"/>
      <w:bookmarkEnd w:id="7"/>
    </w:p>
    <w:p w:rsidR="00E064B4" w:rsidRPr="005326F6" w:rsidRDefault="00E064B4" w:rsidP="00E064B4">
      <w:pPr>
        <w:spacing w:line="276" w:lineRule="exact"/>
        <w:rPr>
          <w:highlight w:val="green"/>
          <w:rtl/>
        </w:rPr>
      </w:pPr>
      <w:r w:rsidRPr="005326F6">
        <w:rPr>
          <w:noProof/>
          <w:highlight w:val="green"/>
          <w:rtl/>
        </w:rPr>
        <mc:AlternateContent>
          <mc:Choice Requires="wps">
            <w:drawing>
              <wp:anchor distT="0" distB="0" distL="114300" distR="114300" simplePos="0" relativeHeight="251659264" behindDoc="1" locked="0" layoutInCell="1" allowOverlap="1" wp14:anchorId="00D73C05" wp14:editId="5C262FB5">
                <wp:simplePos x="0" y="0"/>
                <wp:positionH relativeFrom="column">
                  <wp:posOffset>-228600</wp:posOffset>
                </wp:positionH>
                <wp:positionV relativeFrom="paragraph">
                  <wp:posOffset>251460</wp:posOffset>
                </wp:positionV>
                <wp:extent cx="5765800" cy="6819900"/>
                <wp:effectExtent l="0" t="0" r="25400" b="19050"/>
                <wp:wrapNone/>
                <wp:docPr id="1" name="מלבן 1"/>
                <wp:cNvGraphicFramePr/>
                <a:graphic xmlns:a="http://schemas.openxmlformats.org/drawingml/2006/main">
                  <a:graphicData uri="http://schemas.microsoft.com/office/word/2010/wordprocessingShape">
                    <wps:wsp>
                      <wps:cNvSpPr/>
                      <wps:spPr>
                        <a:xfrm>
                          <a:off x="0" y="0"/>
                          <a:ext cx="5765800" cy="681990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CF28C" id="מלבן 1" o:spid="_x0000_s1026" style="position:absolute;left:0;text-align:left;margin-left:-18pt;margin-top:19.8pt;width:454pt;height:5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oVhAIAAAEFAAAOAAAAZHJzL2Uyb0RvYy54bWysVEtu2zAQ3RfoHQjuG9mGncRC5MBw4KJA&#10;kARIiqxpirIE8FeStuzeovuiPZav00dKcT7NqqgX9AxnOJ83b3RxuVOSbIXzjdEFHZ4MKBGam7LR&#10;64J+fVh+OqfEB6ZLJo0WBd0LTy9nHz9ctDYXI1MbWQpHEET7vLUFrUOweZZ5XgvF/ImxQsNYGadY&#10;gOrWWelYi+hKZqPB4DRrjSutM1x4j9urzkhnKX5VCR5uq8qLQGRBUVtIp0vnKp7Z7ILla8ds3fC+&#10;DPYPVSjWaCQ9hrpigZGNa/4KpRrujDdVOOFGZaaqGi5SD+hmOHjTzX3NrEi9ABxvjzD5/xeW32zv&#10;HGlKzI4SzRRGdPh1+Hn4cfhNhhGd1vocTvf2zvWahxhb3VVOxX80QXYJ0f0RUbELhONycnY6OR8A&#10;eA7b6flwOoWCONnzc+t8+CyMIlEoqMPIEpJse+1D5/rkErN5I5ty2UiZlL1fSEe2DNMFKUrTUiKZ&#10;D7gs6DL9+myvnklNWjQ8HUxiZQy0qyQLEJUFEF6vKWFyDT7z4FItr157t14ds47HZ6PF+L0ksegr&#10;5uuuuhQhurFcNQGUl40qKKDBr38tdbSKRNq+9Qh+B3eUVqbcY1jOdCz2li8bJLlGw3fMgbboBqsY&#10;bnFU0qBF00uU1MZ9f+8++oNNsFLSYg3Q/rcNcwI4ftHg2XQ4Hse9Scp4cjaC4l5aVi8teqMWBrMA&#10;l1BdEqN/kE+3lTPqERs7j1lhYpojdwd0ryxCt57YeS7m8+SGXbEsXOt7y2PwiFOE92H3yJztiRPA&#10;uRvztDIsf8Ofzje+1Ga+CaZqErmecQUpo4I9S/TsvwlxkV/qyev5yzX7AwAA//8DAFBLAwQUAAYA&#10;CAAAACEATbakneAAAAALAQAADwAAAGRycy9kb3ducmV2LnhtbEyPwU7DMAyG70i8Q2QkblvaVQqj&#10;NJ0YEgIOTGxMO2dNSCsSpzTZWt4ec4Kj7U+/v79aTd6xsxliF1BCPs+AGWyC7tBK2L8/zpbAYlKo&#10;lQtoJHybCKv68qJSpQ4jbs15lyyjEIylktCm1Jecx6Y1XsV56A3S7SMMXiUaB8v1oEYK944vskxw&#10;rzqkD63qzUNrms/dyUt4Wduvw7PNt8K7t3GNT9nmNWRSXl9N93fAkpnSHwy/+qQONTkdwwl1ZE7C&#10;rBDUJUkobgUwApY3C1ociczzQgCvK/6/Q/0DAAD//wMAUEsBAi0AFAAGAAgAAAAhALaDOJL+AAAA&#10;4QEAABMAAAAAAAAAAAAAAAAAAAAAAFtDb250ZW50X1R5cGVzXS54bWxQSwECLQAUAAYACAAAACEA&#10;OP0h/9YAAACUAQAACwAAAAAAAAAAAAAAAAAvAQAAX3JlbHMvLnJlbHNQSwECLQAUAAYACAAAACEA&#10;J2o6FYQCAAABBQAADgAAAAAAAAAAAAAAAAAuAgAAZHJzL2Uyb0RvYy54bWxQSwECLQAUAAYACAAA&#10;ACEATbakneAAAAALAQAADwAAAAAAAAAAAAAAAADeBAAAZHJzL2Rvd25yZXYueG1sUEsFBgAAAAAE&#10;AAQA8wAAAOsFAAAAAA==&#10;" fillcolor="window" strokecolor="#4472c4" strokeweight="1.5pt"/>
            </w:pict>
          </mc:Fallback>
        </mc:AlternateContent>
      </w:r>
    </w:p>
    <w:p w:rsidR="00E064B4" w:rsidRPr="00703011" w:rsidRDefault="00E064B4" w:rsidP="00E064B4">
      <w:pPr>
        <w:spacing w:line="276" w:lineRule="exact"/>
        <w:jc w:val="center"/>
        <w:rPr>
          <w:b/>
          <w:bCs/>
          <w:sz w:val="24"/>
          <w:szCs w:val="24"/>
          <w:rtl/>
        </w:rPr>
      </w:pPr>
      <w:r w:rsidRPr="00703011">
        <w:rPr>
          <w:rFonts w:hint="cs"/>
          <w:b/>
          <w:bCs/>
          <w:sz w:val="24"/>
          <w:szCs w:val="24"/>
          <w:rtl/>
        </w:rPr>
        <w:t>מקורות</w:t>
      </w:r>
    </w:p>
    <w:p w:rsidR="00E064B4" w:rsidRDefault="00E064B4" w:rsidP="00E064B4">
      <w:pPr>
        <w:spacing w:line="276" w:lineRule="exact"/>
        <w:rPr>
          <w:sz w:val="24"/>
          <w:szCs w:val="24"/>
          <w:rtl/>
        </w:rPr>
      </w:pPr>
      <w:r w:rsidRPr="00703011">
        <w:rPr>
          <w:rFonts w:hint="cs"/>
          <w:sz w:val="24"/>
          <w:szCs w:val="24"/>
          <w:rtl/>
        </w:rPr>
        <w:t>א.</w:t>
      </w:r>
      <w:r>
        <w:rPr>
          <w:rFonts w:hint="cs"/>
          <w:sz w:val="24"/>
          <w:szCs w:val="24"/>
          <w:rtl/>
        </w:rPr>
        <w:t xml:space="preserve"> </w:t>
      </w:r>
      <w:r w:rsidRPr="00703011">
        <w:rPr>
          <w:rFonts w:hint="cs"/>
          <w:sz w:val="24"/>
          <w:szCs w:val="24"/>
          <w:rtl/>
        </w:rPr>
        <w:t>ויקרא פרק טז; [במדבר ל, ז-יא]</w:t>
      </w:r>
    </w:p>
    <w:p w:rsidR="00E064B4" w:rsidRDefault="00E064B4" w:rsidP="00E064B4">
      <w:pPr>
        <w:spacing w:line="276" w:lineRule="exact"/>
        <w:rPr>
          <w:sz w:val="24"/>
          <w:szCs w:val="24"/>
          <w:rtl/>
        </w:rPr>
      </w:pPr>
      <w:r>
        <w:rPr>
          <w:rFonts w:hint="cs"/>
          <w:sz w:val="24"/>
          <w:szCs w:val="24"/>
          <w:rtl/>
        </w:rPr>
        <w:t>ב</w:t>
      </w:r>
      <w:r w:rsidRPr="00703011">
        <w:rPr>
          <w:rFonts w:hint="cs"/>
          <w:sz w:val="24"/>
          <w:szCs w:val="24"/>
          <w:rtl/>
        </w:rPr>
        <w:t xml:space="preserve">. </w:t>
      </w:r>
      <w:r>
        <w:rPr>
          <w:rFonts w:hint="cs"/>
          <w:sz w:val="24"/>
          <w:szCs w:val="24"/>
          <w:rtl/>
        </w:rPr>
        <w:t>רש"י ויקרא טז, ב-ג; רמב"ן שם, ב ד"ה וטעם בכל עת; רשב"ם שם, ב; [ראב"ע שם, ב; חזקוני שם, יג]</w:t>
      </w:r>
    </w:p>
    <w:p w:rsidR="00E064B4" w:rsidRPr="00703011" w:rsidRDefault="00E064B4" w:rsidP="00E064B4">
      <w:pPr>
        <w:spacing w:line="276" w:lineRule="exact"/>
        <w:rPr>
          <w:sz w:val="24"/>
          <w:szCs w:val="24"/>
          <w:rtl/>
        </w:rPr>
      </w:pPr>
      <w:r>
        <w:rPr>
          <w:rFonts w:hint="cs"/>
          <w:sz w:val="24"/>
          <w:szCs w:val="24"/>
          <w:rtl/>
        </w:rPr>
        <w:t>ג. משנה כלים פ"א מ"ט</w:t>
      </w:r>
    </w:p>
    <w:p w:rsidR="00E064B4" w:rsidRDefault="00E064B4" w:rsidP="00E064B4">
      <w:pPr>
        <w:spacing w:line="276" w:lineRule="exact"/>
        <w:rPr>
          <w:sz w:val="24"/>
          <w:szCs w:val="24"/>
          <w:rtl/>
        </w:rPr>
      </w:pPr>
      <w:r>
        <w:rPr>
          <w:rFonts w:hint="cs"/>
          <w:sz w:val="24"/>
          <w:szCs w:val="24"/>
          <w:rtl/>
        </w:rPr>
        <w:t>ד. ויקרא רבה פרשת אחרי מות כא, ז; מדרש הגדול ויקרא א, ב</w:t>
      </w:r>
    </w:p>
    <w:p w:rsidR="00E064B4" w:rsidRPr="00703011" w:rsidRDefault="00E064B4" w:rsidP="00E064B4">
      <w:pPr>
        <w:spacing w:line="276" w:lineRule="exact"/>
        <w:rPr>
          <w:sz w:val="24"/>
          <w:szCs w:val="24"/>
          <w:rtl/>
        </w:rPr>
      </w:pPr>
      <w:r>
        <w:rPr>
          <w:rFonts w:hint="cs"/>
          <w:sz w:val="24"/>
          <w:szCs w:val="24"/>
          <w:rtl/>
        </w:rPr>
        <w:t>ה. חכמת אדם סוף הלכות אבלות</w:t>
      </w:r>
    </w:p>
    <w:p w:rsidR="00E064B4" w:rsidRPr="005326F6" w:rsidRDefault="00E064B4" w:rsidP="00E064B4">
      <w:pPr>
        <w:spacing w:line="276" w:lineRule="exact"/>
        <w:rPr>
          <w:sz w:val="24"/>
          <w:szCs w:val="24"/>
          <w:highlight w:val="green"/>
          <w:rtl/>
        </w:rPr>
      </w:pPr>
    </w:p>
    <w:p w:rsidR="00E064B4" w:rsidRDefault="00E064B4" w:rsidP="00E064B4">
      <w:pPr>
        <w:spacing w:line="276" w:lineRule="exact"/>
        <w:rPr>
          <w:rFonts w:ascii="FrankRuehl" w:hAnsi="FrankRuehl" w:cs="FrankRuehl"/>
          <w:b/>
          <w:bCs/>
          <w:sz w:val="24"/>
          <w:szCs w:val="24"/>
          <w:rtl/>
        </w:rPr>
      </w:pPr>
      <w:r w:rsidRPr="008B5716">
        <w:rPr>
          <w:rFonts w:ascii="FrankRuehl" w:hAnsi="FrankRuehl" w:cs="FrankRuehl" w:hint="cs"/>
          <w:b/>
          <w:bCs/>
          <w:sz w:val="24"/>
          <w:szCs w:val="24"/>
          <w:rtl/>
        </w:rPr>
        <w:t>ר</w:t>
      </w:r>
      <w:r>
        <w:rPr>
          <w:rFonts w:ascii="FrankRuehl" w:hAnsi="FrankRuehl" w:cs="FrankRuehl" w:hint="cs"/>
          <w:b/>
          <w:bCs/>
          <w:sz w:val="24"/>
          <w:szCs w:val="24"/>
          <w:rtl/>
        </w:rPr>
        <w:t>מב"ן ויקרא פרק טז פס' ב</w:t>
      </w:r>
    </w:p>
    <w:p w:rsidR="00E064B4" w:rsidRDefault="00E064B4" w:rsidP="00E064B4">
      <w:pPr>
        <w:spacing w:line="276" w:lineRule="auto"/>
        <w:rPr>
          <w:rFonts w:ascii="FrankRuehl" w:hAnsi="FrankRuehl" w:cs="FrankRuehl"/>
          <w:sz w:val="24"/>
          <w:szCs w:val="24"/>
          <w:rtl/>
        </w:rPr>
      </w:pPr>
      <w:r>
        <w:rPr>
          <w:rFonts w:ascii="FrankRuehl" w:hAnsi="FrankRuehl" w:cs="FrankRuehl" w:hint="cs"/>
          <w:sz w:val="24"/>
          <w:szCs w:val="24"/>
          <w:rtl/>
        </w:rPr>
        <w:t xml:space="preserve">וטעם 'בכל עת', בעבור שכבר הזכיר יום </w:t>
      </w:r>
      <w:r>
        <w:rPr>
          <w:rFonts w:ascii="FrankRuehl" w:hAnsi="FrankRuehl" w:cs="FrankRuehl"/>
          <w:sz w:val="24"/>
          <w:szCs w:val="24"/>
          <w:rtl/>
        </w:rPr>
        <w:t xml:space="preserve">הכפורים, שאמר </w:t>
      </w:r>
      <w:r>
        <w:rPr>
          <w:rFonts w:ascii="FrankRuehl" w:hAnsi="FrankRuehl" w:cs="FrankRuehl" w:hint="cs"/>
          <w:sz w:val="24"/>
          <w:szCs w:val="24"/>
          <w:rtl/>
        </w:rPr>
        <w:t>'</w:t>
      </w:r>
      <w:r w:rsidRPr="008B5716">
        <w:rPr>
          <w:rFonts w:ascii="FrankRuehl" w:hAnsi="FrankRuehl" w:cs="FrankRuehl"/>
          <w:sz w:val="24"/>
          <w:szCs w:val="24"/>
          <w:rtl/>
        </w:rPr>
        <w:t>וכפר אהרן על קרנותיו אחת בשנה</w:t>
      </w:r>
      <w:r>
        <w:rPr>
          <w:rFonts w:ascii="FrankRuehl" w:hAnsi="FrankRuehl" w:cs="FrankRuehl" w:hint="cs"/>
          <w:sz w:val="24"/>
          <w:szCs w:val="24"/>
          <w:rtl/>
        </w:rPr>
        <w:t>'</w:t>
      </w:r>
      <w:r w:rsidRPr="008B5716">
        <w:rPr>
          <w:rFonts w:ascii="FrankRuehl" w:hAnsi="FrankRuehl" w:cs="FrankRuehl"/>
          <w:sz w:val="24"/>
          <w:szCs w:val="24"/>
          <w:rtl/>
        </w:rPr>
        <w:t xml:space="preserve">, אמר בכאן לא יבא בשום עת אל הקדש רק </w:t>
      </w:r>
      <w:r>
        <w:rPr>
          <w:rFonts w:ascii="FrankRuehl" w:hAnsi="FrankRuehl" w:cs="FrankRuehl" w:hint="cs"/>
          <w:sz w:val="24"/>
          <w:szCs w:val="24"/>
          <w:rtl/>
        </w:rPr>
        <w:t>'</w:t>
      </w:r>
      <w:r w:rsidRPr="008B5716">
        <w:rPr>
          <w:rFonts w:ascii="FrankRuehl" w:hAnsi="FrankRuehl" w:cs="FrankRuehl"/>
          <w:sz w:val="24"/>
          <w:szCs w:val="24"/>
          <w:rtl/>
        </w:rPr>
        <w:t>בזאת</w:t>
      </w:r>
      <w:r>
        <w:rPr>
          <w:rFonts w:ascii="FrankRuehl" w:hAnsi="FrankRuehl" w:cs="FrankRuehl" w:hint="cs"/>
          <w:sz w:val="24"/>
          <w:szCs w:val="24"/>
          <w:rtl/>
        </w:rPr>
        <w:t>'</w:t>
      </w:r>
      <w:r w:rsidRPr="008B5716">
        <w:rPr>
          <w:rFonts w:ascii="FrankRuehl" w:hAnsi="FrankRuehl" w:cs="FrankRuehl"/>
          <w:sz w:val="24"/>
          <w:szCs w:val="24"/>
          <w:rtl/>
        </w:rPr>
        <w:t xml:space="preserve">, כלומר ביום </w:t>
      </w:r>
      <w:r>
        <w:rPr>
          <w:rFonts w:ascii="FrankRuehl" w:hAnsi="FrankRuehl" w:cs="FrankRuehl"/>
          <w:sz w:val="24"/>
          <w:szCs w:val="24"/>
          <w:rtl/>
        </w:rPr>
        <w:t>אשר יקריב הקרבנות האלה לכפורים</w:t>
      </w:r>
      <w:r>
        <w:rPr>
          <w:rFonts w:ascii="FrankRuehl" w:hAnsi="FrankRuehl" w:cs="FrankRuehl" w:hint="cs"/>
          <w:sz w:val="24"/>
          <w:szCs w:val="24"/>
          <w:rtl/>
        </w:rPr>
        <w:t xml:space="preserve">. </w:t>
      </w:r>
      <w:r w:rsidRPr="008B5716">
        <w:rPr>
          <w:rFonts w:ascii="FrankRuehl" w:hAnsi="FrankRuehl" w:cs="FrankRuehl"/>
          <w:sz w:val="24"/>
          <w:szCs w:val="24"/>
          <w:rtl/>
        </w:rPr>
        <w:t>ואחרי כן יפרש בפ</w:t>
      </w:r>
      <w:r>
        <w:rPr>
          <w:rFonts w:ascii="FrankRuehl" w:hAnsi="FrankRuehl" w:cs="FrankRuehl"/>
          <w:sz w:val="24"/>
          <w:szCs w:val="24"/>
          <w:rtl/>
        </w:rPr>
        <w:t xml:space="preserve">רשה במה יכנס כמו שאמר </w:t>
      </w:r>
      <w:r>
        <w:rPr>
          <w:rFonts w:ascii="FrankRuehl" w:hAnsi="FrankRuehl" w:cs="FrankRuehl" w:hint="cs"/>
          <w:sz w:val="24"/>
          <w:szCs w:val="24"/>
          <w:rtl/>
        </w:rPr>
        <w:t>'</w:t>
      </w:r>
      <w:r w:rsidRPr="008B5716">
        <w:rPr>
          <w:rFonts w:ascii="FrankRuehl" w:hAnsi="FrankRuehl" w:cs="FrankRuehl"/>
          <w:sz w:val="24"/>
          <w:szCs w:val="24"/>
          <w:rtl/>
        </w:rPr>
        <w:t>והביא מבית לפרוכת</w:t>
      </w:r>
      <w:r>
        <w:rPr>
          <w:rFonts w:ascii="FrankRuehl" w:hAnsi="FrankRuehl" w:cs="FrankRuehl" w:hint="cs"/>
          <w:sz w:val="24"/>
          <w:szCs w:val="24"/>
          <w:rtl/>
        </w:rPr>
        <w:t>'.</w:t>
      </w:r>
      <w:r w:rsidRPr="008B5716">
        <w:rPr>
          <w:rFonts w:ascii="FrankRuehl" w:hAnsi="FrankRuehl" w:cs="FrankRuehl"/>
          <w:sz w:val="24"/>
          <w:szCs w:val="24"/>
          <w:rtl/>
        </w:rPr>
        <w:t xml:space="preserve"> ויפרש היום ש</w:t>
      </w:r>
      <w:r>
        <w:rPr>
          <w:rFonts w:ascii="FrankRuehl" w:hAnsi="FrankRuehl" w:cs="FrankRuehl"/>
          <w:sz w:val="24"/>
          <w:szCs w:val="24"/>
          <w:rtl/>
        </w:rPr>
        <w:t>יהיה בעשור לחדש השביעי</w:t>
      </w:r>
      <w:r w:rsidRPr="008B5716">
        <w:rPr>
          <w:rFonts w:ascii="FrankRuehl" w:hAnsi="FrankRuehl" w:cs="FrankRuehl"/>
          <w:sz w:val="24"/>
          <w:szCs w:val="24"/>
          <w:rtl/>
        </w:rPr>
        <w:t>, ויחזור ויאמר כי יהיה אחת בשנה</w:t>
      </w:r>
      <w:r>
        <w:rPr>
          <w:rFonts w:ascii="FrankRuehl" w:hAnsi="FrankRuehl" w:cs="FrankRuehl" w:hint="cs"/>
          <w:sz w:val="24"/>
          <w:szCs w:val="24"/>
          <w:rtl/>
        </w:rPr>
        <w:t>.</w:t>
      </w:r>
    </w:p>
    <w:p w:rsidR="00E064B4" w:rsidRDefault="00E064B4" w:rsidP="00E064B4">
      <w:pPr>
        <w:spacing w:line="276" w:lineRule="auto"/>
        <w:rPr>
          <w:rFonts w:ascii="FrankRuehl" w:hAnsi="FrankRuehl" w:cs="FrankRuehl"/>
          <w:sz w:val="24"/>
          <w:szCs w:val="24"/>
          <w:rtl/>
        </w:rPr>
      </w:pPr>
    </w:p>
    <w:p w:rsidR="00E064B4" w:rsidRDefault="00E064B4" w:rsidP="00E064B4">
      <w:pPr>
        <w:spacing w:line="276" w:lineRule="auto"/>
        <w:rPr>
          <w:rFonts w:ascii="FrankRuehl" w:hAnsi="FrankRuehl" w:cs="FrankRuehl"/>
          <w:b/>
          <w:bCs/>
          <w:sz w:val="24"/>
          <w:szCs w:val="24"/>
          <w:rtl/>
        </w:rPr>
      </w:pPr>
      <w:r>
        <w:rPr>
          <w:rFonts w:ascii="FrankRuehl" w:hAnsi="FrankRuehl" w:cs="FrankRuehl" w:hint="cs"/>
          <w:b/>
          <w:bCs/>
          <w:sz w:val="24"/>
          <w:szCs w:val="24"/>
          <w:rtl/>
        </w:rPr>
        <w:t>רשב"ם ויקרא פרק טז פס' ב</w:t>
      </w:r>
    </w:p>
    <w:p w:rsidR="00E064B4" w:rsidRDefault="00E064B4" w:rsidP="00E064B4">
      <w:pPr>
        <w:spacing w:line="276" w:lineRule="auto"/>
        <w:rPr>
          <w:rFonts w:ascii="FrankRuehl" w:hAnsi="FrankRuehl" w:cs="FrankRuehl"/>
          <w:sz w:val="24"/>
          <w:szCs w:val="24"/>
          <w:rtl/>
        </w:rPr>
      </w:pPr>
      <w:r w:rsidRPr="008B5716">
        <w:rPr>
          <w:rFonts w:ascii="FrankRuehl" w:hAnsi="FrankRuehl" w:cs="FrankRuehl"/>
          <w:sz w:val="24"/>
          <w:szCs w:val="24"/>
          <w:rtl/>
        </w:rPr>
        <w:t>כי בענן אראה על הכפורת - לפי פשוט</w:t>
      </w:r>
      <w:r>
        <w:rPr>
          <w:rFonts w:ascii="FrankRuehl" w:hAnsi="FrankRuehl" w:cs="FrankRuehl" w:hint="cs"/>
          <w:sz w:val="24"/>
          <w:szCs w:val="24"/>
          <w:rtl/>
        </w:rPr>
        <w:t>ו:</w:t>
      </w:r>
      <w:r w:rsidRPr="008B5716">
        <w:rPr>
          <w:rFonts w:ascii="FrankRuehl" w:hAnsi="FrankRuehl" w:cs="FrankRuehl"/>
          <w:sz w:val="24"/>
          <w:szCs w:val="24"/>
          <w:rtl/>
        </w:rPr>
        <w:t xml:space="preserve"> שהרי מתוך עמוד הענן</w:t>
      </w:r>
      <w:r>
        <w:rPr>
          <w:rFonts w:ascii="FrankRuehl" w:hAnsi="FrankRuehl" w:cs="FrankRuehl"/>
          <w:sz w:val="24"/>
          <w:szCs w:val="24"/>
          <w:rtl/>
        </w:rPr>
        <w:t xml:space="preserve"> אני נראה כל שעה על הכפרת, כדכת</w:t>
      </w:r>
      <w:r>
        <w:rPr>
          <w:rFonts w:ascii="FrankRuehl" w:hAnsi="FrankRuehl" w:cs="FrankRuehl" w:hint="cs"/>
          <w:sz w:val="24"/>
          <w:szCs w:val="24"/>
          <w:rtl/>
        </w:rPr>
        <w:t>יב</w:t>
      </w:r>
      <w:r w:rsidRPr="008B5716">
        <w:rPr>
          <w:rFonts w:ascii="FrankRuehl" w:hAnsi="FrankRuehl" w:cs="FrankRuehl"/>
          <w:sz w:val="24"/>
          <w:szCs w:val="24"/>
          <w:rtl/>
        </w:rPr>
        <w:t xml:space="preserve"> </w:t>
      </w:r>
      <w:r>
        <w:rPr>
          <w:rFonts w:ascii="FrankRuehl" w:hAnsi="FrankRuehl" w:cs="FrankRuehl" w:hint="cs"/>
          <w:sz w:val="24"/>
          <w:szCs w:val="24"/>
          <w:rtl/>
        </w:rPr>
        <w:t>'</w:t>
      </w:r>
      <w:r w:rsidRPr="008B5716">
        <w:rPr>
          <w:rFonts w:ascii="FrankRuehl" w:hAnsi="FrankRuehl" w:cs="FrankRuehl"/>
          <w:sz w:val="24"/>
          <w:szCs w:val="24"/>
          <w:rtl/>
        </w:rPr>
        <w:t>ודיברתי אתך מעל הכפרת מבין שני הכרובים</w:t>
      </w:r>
      <w:r>
        <w:rPr>
          <w:rFonts w:ascii="FrankRuehl" w:hAnsi="FrankRuehl" w:cs="FrankRuehl" w:hint="cs"/>
          <w:sz w:val="24"/>
          <w:szCs w:val="24"/>
          <w:rtl/>
        </w:rPr>
        <w:t>'</w:t>
      </w:r>
      <w:r w:rsidRPr="008B5716">
        <w:rPr>
          <w:rFonts w:ascii="FrankRuehl" w:hAnsi="FrankRuehl" w:cs="FrankRuehl"/>
          <w:sz w:val="24"/>
          <w:szCs w:val="24"/>
          <w:rtl/>
        </w:rPr>
        <w:t>, ואם יראה הכהן ימות. לפיכ</w:t>
      </w:r>
      <w:r>
        <w:rPr>
          <w:rFonts w:ascii="FrankRuehl" w:hAnsi="FrankRuehl" w:cs="FrankRuehl"/>
          <w:sz w:val="24"/>
          <w:szCs w:val="24"/>
          <w:rtl/>
        </w:rPr>
        <w:t>ך כשיכנס ביום הכיפורים ציוהו הק</w:t>
      </w:r>
      <w:r>
        <w:rPr>
          <w:rFonts w:ascii="FrankRuehl" w:hAnsi="FrankRuehl" w:cs="FrankRuehl" w:hint="cs"/>
          <w:sz w:val="24"/>
          <w:szCs w:val="24"/>
          <w:rtl/>
        </w:rPr>
        <w:t>ב"ה</w:t>
      </w:r>
      <w:r w:rsidRPr="008B5716">
        <w:rPr>
          <w:rFonts w:ascii="FrankRuehl" w:hAnsi="FrankRuehl" w:cs="FrankRuehl"/>
          <w:sz w:val="24"/>
          <w:szCs w:val="24"/>
          <w:rtl/>
        </w:rPr>
        <w:t xml:space="preserve"> להקטיר קטורת בפנים תחילה להחשיך את הבית בענן הקטורת ואחר כך יביא דם הפר ודם השעיר</w:t>
      </w:r>
      <w:r>
        <w:rPr>
          <w:rFonts w:ascii="FrankRuehl" w:hAnsi="FrankRuehl" w:cs="FrankRuehl" w:hint="cs"/>
          <w:sz w:val="24"/>
          <w:szCs w:val="24"/>
          <w:rtl/>
        </w:rPr>
        <w:t>.</w:t>
      </w:r>
    </w:p>
    <w:p w:rsidR="00E064B4" w:rsidRDefault="00E064B4" w:rsidP="00E064B4">
      <w:pPr>
        <w:spacing w:line="276" w:lineRule="auto"/>
        <w:rPr>
          <w:rFonts w:ascii="FrankRuehl" w:hAnsi="FrankRuehl" w:cs="FrankRuehl"/>
          <w:sz w:val="24"/>
          <w:szCs w:val="24"/>
          <w:rtl/>
        </w:rPr>
      </w:pPr>
    </w:p>
    <w:p w:rsidR="00E064B4" w:rsidRDefault="00E064B4" w:rsidP="00E064B4">
      <w:pPr>
        <w:spacing w:line="276" w:lineRule="auto"/>
        <w:rPr>
          <w:rFonts w:ascii="FrankRuehl" w:hAnsi="FrankRuehl" w:cs="FrankRuehl"/>
          <w:b/>
          <w:bCs/>
          <w:sz w:val="24"/>
          <w:szCs w:val="24"/>
          <w:rtl/>
        </w:rPr>
      </w:pPr>
      <w:r>
        <w:rPr>
          <w:rFonts w:ascii="FrankRuehl" w:hAnsi="FrankRuehl" w:cs="FrankRuehl" w:hint="cs"/>
          <w:b/>
          <w:bCs/>
          <w:sz w:val="24"/>
          <w:szCs w:val="24"/>
          <w:rtl/>
        </w:rPr>
        <w:t>ראב"ע ויקרא פרק טז פס' ב</w:t>
      </w:r>
    </w:p>
    <w:p w:rsidR="00E064B4" w:rsidRDefault="00E064B4" w:rsidP="00E064B4">
      <w:pPr>
        <w:spacing w:line="276" w:lineRule="auto"/>
        <w:rPr>
          <w:rFonts w:ascii="FrankRuehl" w:hAnsi="FrankRuehl" w:cs="FrankRuehl"/>
          <w:sz w:val="24"/>
          <w:szCs w:val="24"/>
          <w:rtl/>
        </w:rPr>
      </w:pPr>
      <w:r w:rsidRPr="008B5716">
        <w:rPr>
          <w:rFonts w:ascii="FrankRuehl" w:hAnsi="FrankRuehl" w:cs="FrankRuehl"/>
          <w:sz w:val="24"/>
          <w:szCs w:val="24"/>
          <w:rtl/>
        </w:rPr>
        <w:t xml:space="preserve">כי בענן </w:t>
      </w:r>
      <w:r>
        <w:rPr>
          <w:rFonts w:ascii="FrankRuehl" w:hAnsi="FrankRuehl" w:cs="FrankRuehl" w:hint="cs"/>
          <w:sz w:val="24"/>
          <w:szCs w:val="24"/>
          <w:rtl/>
        </w:rPr>
        <w:t xml:space="preserve">- </w:t>
      </w:r>
      <w:r w:rsidRPr="008B5716">
        <w:rPr>
          <w:rFonts w:ascii="FrankRuehl" w:hAnsi="FrankRuehl" w:cs="FrankRuehl"/>
          <w:sz w:val="24"/>
          <w:szCs w:val="24"/>
          <w:rtl/>
        </w:rPr>
        <w:t>הטעם שלא יכנס כי אם בקטרת שיעשה ענן, ולא יראה הכבוד פן ימות. והנה טעמו לא</w:t>
      </w:r>
      <w:r>
        <w:rPr>
          <w:rFonts w:ascii="FrankRuehl" w:hAnsi="FrankRuehl" w:cs="FrankRuehl"/>
          <w:sz w:val="24"/>
          <w:szCs w:val="24"/>
          <w:rtl/>
        </w:rPr>
        <w:t xml:space="preserve"> אהיה נראה אליו כי אם בענן. וי</w:t>
      </w:r>
      <w:r>
        <w:rPr>
          <w:rFonts w:ascii="FrankRuehl" w:hAnsi="FrankRuehl" w:cs="FrankRuehl" w:hint="cs"/>
          <w:sz w:val="24"/>
          <w:szCs w:val="24"/>
          <w:rtl/>
        </w:rPr>
        <w:t>ש אומרים,</w:t>
      </w:r>
      <w:r>
        <w:rPr>
          <w:rFonts w:ascii="FrankRuehl" w:hAnsi="FrankRuehl" w:cs="FrankRuehl"/>
          <w:sz w:val="24"/>
          <w:szCs w:val="24"/>
          <w:rtl/>
        </w:rPr>
        <w:t xml:space="preserve"> כי פי</w:t>
      </w:r>
      <w:r>
        <w:rPr>
          <w:rFonts w:ascii="FrankRuehl" w:hAnsi="FrankRuehl" w:cs="FrankRuehl" w:hint="cs"/>
          <w:sz w:val="24"/>
          <w:szCs w:val="24"/>
          <w:rtl/>
        </w:rPr>
        <w:t>רוש</w:t>
      </w:r>
      <w:r w:rsidRPr="008B5716">
        <w:rPr>
          <w:rFonts w:ascii="FrankRuehl" w:hAnsi="FrankRuehl" w:cs="FrankRuehl"/>
          <w:sz w:val="24"/>
          <w:szCs w:val="24"/>
          <w:rtl/>
        </w:rPr>
        <w:t xml:space="preserve"> </w:t>
      </w:r>
      <w:r>
        <w:rPr>
          <w:rFonts w:ascii="FrankRuehl" w:hAnsi="FrankRuehl" w:cs="FrankRuehl" w:hint="cs"/>
          <w:sz w:val="24"/>
          <w:szCs w:val="24"/>
          <w:rtl/>
        </w:rPr>
        <w:t>'</w:t>
      </w:r>
      <w:r w:rsidRPr="008B5716">
        <w:rPr>
          <w:rFonts w:ascii="FrankRuehl" w:hAnsi="FrankRuehl" w:cs="FrankRuehl"/>
          <w:sz w:val="24"/>
          <w:szCs w:val="24"/>
          <w:rtl/>
        </w:rPr>
        <w:t>כי בענן</w:t>
      </w:r>
      <w:r>
        <w:rPr>
          <w:rFonts w:ascii="FrankRuehl" w:hAnsi="FrankRuehl" w:cs="FrankRuehl" w:hint="cs"/>
          <w:sz w:val="24"/>
          <w:szCs w:val="24"/>
          <w:rtl/>
        </w:rPr>
        <w:t>'</w:t>
      </w:r>
      <w:r w:rsidRPr="008B5716">
        <w:rPr>
          <w:rFonts w:ascii="FrankRuehl" w:hAnsi="FrankRuehl" w:cs="FrankRuehl"/>
          <w:sz w:val="24"/>
          <w:szCs w:val="24"/>
          <w:rtl/>
        </w:rPr>
        <w:t xml:space="preserve"> - בעבור כי אני דר בענן על הכפרת, כטעם </w:t>
      </w:r>
      <w:r>
        <w:rPr>
          <w:rFonts w:ascii="FrankRuehl" w:hAnsi="FrankRuehl" w:cs="FrankRuehl" w:hint="cs"/>
          <w:sz w:val="24"/>
          <w:szCs w:val="24"/>
          <w:rtl/>
        </w:rPr>
        <w:t>'</w:t>
      </w:r>
      <w:r w:rsidRPr="008B5716">
        <w:rPr>
          <w:rFonts w:ascii="FrankRuehl" w:hAnsi="FrankRuehl" w:cs="FrankRuehl"/>
          <w:sz w:val="24"/>
          <w:szCs w:val="24"/>
          <w:rtl/>
        </w:rPr>
        <w:t>ה' אמר לשכון בערפל</w:t>
      </w:r>
      <w:r>
        <w:rPr>
          <w:rFonts w:ascii="FrankRuehl" w:hAnsi="FrankRuehl" w:cs="FrankRuehl" w:hint="cs"/>
          <w:sz w:val="24"/>
          <w:szCs w:val="24"/>
          <w:rtl/>
        </w:rPr>
        <w:t>'.</w:t>
      </w:r>
    </w:p>
    <w:p w:rsidR="00E064B4" w:rsidRDefault="00E064B4" w:rsidP="00E064B4">
      <w:pPr>
        <w:spacing w:line="276" w:lineRule="auto"/>
        <w:rPr>
          <w:rFonts w:ascii="FrankRuehl" w:hAnsi="FrankRuehl" w:cs="FrankRuehl"/>
          <w:sz w:val="24"/>
          <w:szCs w:val="24"/>
          <w:rtl/>
        </w:rPr>
      </w:pPr>
    </w:p>
    <w:p w:rsidR="00E064B4" w:rsidRDefault="00E064B4" w:rsidP="00E064B4">
      <w:pPr>
        <w:spacing w:line="276" w:lineRule="auto"/>
        <w:rPr>
          <w:rFonts w:ascii="FrankRuehl" w:hAnsi="FrankRuehl" w:cs="FrankRuehl"/>
          <w:b/>
          <w:bCs/>
          <w:sz w:val="24"/>
          <w:szCs w:val="24"/>
          <w:rtl/>
        </w:rPr>
      </w:pPr>
      <w:r>
        <w:rPr>
          <w:rFonts w:ascii="FrankRuehl" w:hAnsi="FrankRuehl" w:cs="FrankRuehl" w:hint="cs"/>
          <w:b/>
          <w:bCs/>
          <w:sz w:val="24"/>
          <w:szCs w:val="24"/>
          <w:rtl/>
        </w:rPr>
        <w:t>חזקוני ויקרא פרק טז פס' יג</w:t>
      </w:r>
    </w:p>
    <w:p w:rsidR="00E064B4" w:rsidRDefault="00E064B4" w:rsidP="00E064B4">
      <w:pPr>
        <w:spacing w:line="276" w:lineRule="auto"/>
        <w:rPr>
          <w:rFonts w:ascii="FrankRuehl" w:hAnsi="FrankRuehl" w:cs="FrankRuehl"/>
          <w:sz w:val="24"/>
          <w:szCs w:val="24"/>
          <w:rtl/>
        </w:rPr>
      </w:pPr>
      <w:r w:rsidRPr="00321629">
        <w:rPr>
          <w:rFonts w:ascii="FrankRuehl" w:hAnsi="FrankRuehl" w:cs="FrankRuehl"/>
          <w:sz w:val="24"/>
          <w:szCs w:val="24"/>
          <w:rtl/>
        </w:rPr>
        <w:t xml:space="preserve">נתן את הקטרת שהרי נאמר למעלה </w:t>
      </w:r>
      <w:r>
        <w:rPr>
          <w:rFonts w:ascii="FrankRuehl" w:hAnsi="FrankRuehl" w:cs="FrankRuehl" w:hint="cs"/>
          <w:sz w:val="24"/>
          <w:szCs w:val="24"/>
          <w:rtl/>
        </w:rPr>
        <w:t>'</w:t>
      </w:r>
      <w:r w:rsidRPr="00321629">
        <w:rPr>
          <w:rFonts w:ascii="FrankRuehl" w:hAnsi="FrankRuehl" w:cs="FrankRuehl"/>
          <w:sz w:val="24"/>
          <w:szCs w:val="24"/>
          <w:rtl/>
        </w:rPr>
        <w:t>כי בענן אראה על הכפורת</w:t>
      </w:r>
      <w:r>
        <w:rPr>
          <w:rFonts w:ascii="FrankRuehl" w:hAnsi="FrankRuehl" w:cs="FrankRuehl" w:hint="cs"/>
          <w:sz w:val="24"/>
          <w:szCs w:val="24"/>
          <w:rtl/>
        </w:rPr>
        <w:t>',</w:t>
      </w:r>
      <w:r w:rsidRPr="00321629">
        <w:rPr>
          <w:rFonts w:ascii="FrankRuehl" w:hAnsi="FrankRuehl" w:cs="FrankRuehl"/>
          <w:sz w:val="24"/>
          <w:szCs w:val="24"/>
          <w:rtl/>
        </w:rPr>
        <w:t xml:space="preserve"> וכדי שלא להסתכל בשכינה</w:t>
      </w:r>
      <w:r>
        <w:rPr>
          <w:rFonts w:ascii="FrankRuehl" w:hAnsi="FrankRuehl" w:cs="FrankRuehl" w:hint="cs"/>
          <w:sz w:val="24"/>
          <w:szCs w:val="24"/>
          <w:rtl/>
        </w:rPr>
        <w:t>,</w:t>
      </w:r>
      <w:r w:rsidRPr="00321629">
        <w:rPr>
          <w:rFonts w:ascii="FrankRuehl" w:hAnsi="FrankRuehl" w:cs="FrankRuehl"/>
          <w:sz w:val="24"/>
          <w:szCs w:val="24"/>
          <w:rtl/>
        </w:rPr>
        <w:t xml:space="preserve"> כדכתיב </w:t>
      </w:r>
      <w:r>
        <w:rPr>
          <w:rFonts w:ascii="FrankRuehl" w:hAnsi="FrankRuehl" w:cs="FrankRuehl" w:hint="cs"/>
          <w:sz w:val="24"/>
          <w:szCs w:val="24"/>
          <w:rtl/>
        </w:rPr>
        <w:t>'</w:t>
      </w:r>
      <w:r w:rsidRPr="00321629">
        <w:rPr>
          <w:rFonts w:ascii="FrankRuehl" w:hAnsi="FrankRuehl" w:cs="FrankRuehl"/>
          <w:sz w:val="24"/>
          <w:szCs w:val="24"/>
          <w:rtl/>
        </w:rPr>
        <w:t>כי לא יראני האדם וחי</w:t>
      </w:r>
      <w:r>
        <w:rPr>
          <w:rFonts w:ascii="FrankRuehl" w:hAnsi="FrankRuehl" w:cs="FrankRuehl" w:hint="cs"/>
          <w:sz w:val="24"/>
          <w:szCs w:val="24"/>
          <w:rtl/>
        </w:rPr>
        <w:t>'</w:t>
      </w:r>
      <w:r w:rsidRPr="00321629">
        <w:rPr>
          <w:rFonts w:ascii="FrankRuehl" w:hAnsi="FrankRuehl" w:cs="FrankRuehl"/>
          <w:sz w:val="24"/>
          <w:szCs w:val="24"/>
          <w:rtl/>
        </w:rPr>
        <w:t>, צריך להחשיך את הבית תחלה בנתינת הקטרת</w:t>
      </w:r>
      <w:r>
        <w:rPr>
          <w:rFonts w:ascii="FrankRuehl" w:hAnsi="FrankRuehl" w:cs="FrankRuehl" w:hint="cs"/>
          <w:sz w:val="24"/>
          <w:szCs w:val="24"/>
          <w:rtl/>
        </w:rPr>
        <w:t>.</w:t>
      </w:r>
      <w:r w:rsidRPr="00321629">
        <w:rPr>
          <w:rFonts w:ascii="FrankRuehl" w:hAnsi="FrankRuehl" w:cs="FrankRuehl"/>
          <w:sz w:val="24"/>
          <w:szCs w:val="24"/>
          <w:rtl/>
        </w:rPr>
        <w:t xml:space="preserve"> זהו שנאמר </w:t>
      </w:r>
      <w:r>
        <w:rPr>
          <w:rFonts w:ascii="FrankRuehl" w:hAnsi="FrankRuehl" w:cs="FrankRuehl" w:hint="cs"/>
          <w:sz w:val="24"/>
          <w:szCs w:val="24"/>
          <w:rtl/>
        </w:rPr>
        <w:t>'</w:t>
      </w:r>
      <w:r w:rsidRPr="00321629">
        <w:rPr>
          <w:rFonts w:ascii="FrankRuehl" w:hAnsi="FrankRuehl" w:cs="FrankRuehl"/>
          <w:sz w:val="24"/>
          <w:szCs w:val="24"/>
          <w:rtl/>
        </w:rPr>
        <w:t>וכסה ענן הקטרת את הכפרת</w:t>
      </w:r>
      <w:r>
        <w:rPr>
          <w:rFonts w:ascii="FrankRuehl" w:hAnsi="FrankRuehl" w:cs="FrankRuehl" w:hint="cs"/>
          <w:sz w:val="24"/>
          <w:szCs w:val="24"/>
          <w:rtl/>
        </w:rPr>
        <w:t>',</w:t>
      </w:r>
      <w:r w:rsidRPr="00321629">
        <w:rPr>
          <w:rFonts w:ascii="FrankRuehl" w:hAnsi="FrankRuehl" w:cs="FrankRuehl"/>
          <w:sz w:val="24"/>
          <w:szCs w:val="24"/>
          <w:rtl/>
        </w:rPr>
        <w:t xml:space="preserve"> ואחר כך יביא את הדמים שם.</w:t>
      </w:r>
    </w:p>
    <w:p w:rsidR="00E064B4" w:rsidRDefault="00E064B4" w:rsidP="00E064B4">
      <w:pPr>
        <w:spacing w:line="276" w:lineRule="auto"/>
        <w:rPr>
          <w:rFonts w:ascii="FrankRuehl" w:hAnsi="FrankRuehl" w:cs="FrankRuehl"/>
          <w:sz w:val="24"/>
          <w:szCs w:val="24"/>
          <w:rtl/>
        </w:rPr>
      </w:pPr>
    </w:p>
    <w:p w:rsidR="00E064B4" w:rsidRDefault="00E064B4" w:rsidP="00E064B4">
      <w:pPr>
        <w:spacing w:line="276" w:lineRule="auto"/>
        <w:rPr>
          <w:rFonts w:ascii="FrankRuehl" w:hAnsi="FrankRuehl" w:cs="FrankRuehl"/>
          <w:b/>
          <w:bCs/>
          <w:sz w:val="24"/>
          <w:szCs w:val="24"/>
          <w:rtl/>
        </w:rPr>
      </w:pPr>
    </w:p>
    <w:p w:rsidR="00E064B4" w:rsidRDefault="00E064B4" w:rsidP="00E064B4">
      <w:pPr>
        <w:spacing w:line="276" w:lineRule="auto"/>
        <w:rPr>
          <w:rFonts w:ascii="FrankRuehl" w:hAnsi="FrankRuehl" w:cs="FrankRuehl"/>
          <w:b/>
          <w:bCs/>
          <w:sz w:val="24"/>
          <w:szCs w:val="24"/>
          <w:rtl/>
        </w:rPr>
      </w:pPr>
    </w:p>
    <w:p w:rsidR="00E064B4" w:rsidRDefault="00E064B4" w:rsidP="00E064B4">
      <w:pPr>
        <w:spacing w:line="276" w:lineRule="auto"/>
        <w:rPr>
          <w:rFonts w:ascii="FrankRuehl" w:hAnsi="FrankRuehl" w:cs="FrankRuehl"/>
          <w:b/>
          <w:bCs/>
          <w:sz w:val="24"/>
          <w:szCs w:val="24"/>
          <w:rtl/>
        </w:rPr>
      </w:pPr>
    </w:p>
    <w:p w:rsidR="00E064B4" w:rsidRPr="000A4555" w:rsidRDefault="00E064B4" w:rsidP="00E064B4">
      <w:pPr>
        <w:spacing w:line="276" w:lineRule="auto"/>
        <w:rPr>
          <w:rFonts w:ascii="FrankRuehl" w:hAnsi="FrankRuehl" w:cs="FrankRuehl"/>
          <w:b/>
          <w:bCs/>
          <w:sz w:val="24"/>
          <w:szCs w:val="24"/>
          <w:rtl/>
        </w:rPr>
      </w:pPr>
      <w:r w:rsidRPr="00E9749C">
        <w:rPr>
          <w:noProof/>
          <w:highlight w:val="green"/>
          <w:rtl/>
        </w:rPr>
        <w:lastRenderedPageBreak/>
        <mc:AlternateContent>
          <mc:Choice Requires="wps">
            <w:drawing>
              <wp:anchor distT="0" distB="0" distL="114300" distR="114300" simplePos="0" relativeHeight="251660288" behindDoc="1" locked="0" layoutInCell="1" allowOverlap="1" wp14:anchorId="40010CD2" wp14:editId="03559FF8">
                <wp:simplePos x="0" y="0"/>
                <wp:positionH relativeFrom="margin">
                  <wp:posOffset>-259080</wp:posOffset>
                </wp:positionH>
                <wp:positionV relativeFrom="paragraph">
                  <wp:posOffset>-190500</wp:posOffset>
                </wp:positionV>
                <wp:extent cx="5765800" cy="5120640"/>
                <wp:effectExtent l="0" t="0" r="25400" b="22860"/>
                <wp:wrapNone/>
                <wp:docPr id="4" name="מלבן 4"/>
                <wp:cNvGraphicFramePr/>
                <a:graphic xmlns:a="http://schemas.openxmlformats.org/drawingml/2006/main">
                  <a:graphicData uri="http://schemas.microsoft.com/office/word/2010/wordprocessingShape">
                    <wps:wsp>
                      <wps:cNvSpPr/>
                      <wps:spPr>
                        <a:xfrm>
                          <a:off x="0" y="0"/>
                          <a:ext cx="5765800" cy="51206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2F6AC" id="מלבן 4" o:spid="_x0000_s1026" style="position:absolute;left:0;text-align:left;margin-left:-20.4pt;margin-top:-15pt;width:454pt;height:403.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vXyiQIAAAEFAAAOAAAAZHJzL2Uyb0RvYy54bWysVMtu2zAQvBfoPxC8N5INOWmMyIHhwEWB&#10;IAmQFDnTFGUJ4Kskbdn9i96L9rP8Ox1SivNoT0V9oLnc5e7OcFYXlzslyVY43xpd0tFJTonQ3FSt&#10;Xpf0y8Pyw0dKfGC6YtJoUdK98PRy9v7dRWenYmwaIyvhCJJoP+1sSZsQ7DTLPG+EYv7EWKHhrI1T&#10;LMB066xyrEN2JbNxnp9mnXGVdYYL73F61TvpLOWva8HDbV17EYgsKXoLaXVpXcU1m12w6dox27R8&#10;aIP9QxeKtRpFj6muWGBk49o/UqmWO+NNHU64UZmp65aLhAFoRvkbNPcNsyJhATneHmny/y8tv9ne&#10;OdJWJS0o0UzhiQ4/Dz8O3w+/SBHZ6ayfIuje3rnB8thGqLvaqfgPEGSXGN0fGRW7QDgOJ2enk485&#10;iOfwTUbj/LRInGfP163z4ZMwisRNSR2eLDHJttc+oCRCn0JiNW9kWy1bKZOx9wvpyJbhdSGKynSU&#10;SOYDDku6TL+IASleXZOadBDreT6JnTHIrpYsYKssiPB6TQmTa+iZB5d6eXXbu/XqWLUozsaLRNTb&#10;IrHpK+abvruUoVebagMkL1tVUlCD39Ci1BGSSKIdoEfye7rjbmWqPR7LmV7F3vJliyLXAHzHHGQL&#10;NBjFcIullgYQzbCjpDHu29/OYzzUBC8lHcYA8L9umBPg8bOGzs5HBV6MhGQUk7MxDPfSs3rp0Ru1&#10;MHiLEYbe8rSN8UE+ndbOqEdM7DxWhYtpjto90YOxCP14Yua5mM9TGGbFsnCt7y2PySNPkd6H3SNz&#10;dhBOgOZuzNPIsOkb/fSx8aY2800wdZvE9cwrZBINzFkSzPBNiIP80k5Rz1+u2W8AAAD//wMAUEsD&#10;BBQABgAIAAAAIQB4pRG04AAAAAsBAAAPAAAAZHJzL2Rvd25yZXYueG1sTI/BTsMwEETvSPyDtUjc&#10;WrulSqoQp6JICDiAaEGc3XhJIux1iN0m/D3LCW6zmtHsm3IzeSdOOMQukIbFXIFAqoPtqNHw9no3&#10;W4OIyZA1LhBq+MYIm+r8rDSFDSPt8LRPjeASioXR0KbUF1LGukVv4jz0SOx9hMGbxOfQSDuYkcu9&#10;k0ulMulNR/yhNT3etlh/7o9ew+O2+Xp/aBa7zLuXcUv36vkpKK0vL6abaxAJp/QXhl98RoeKmQ7h&#10;SDYKp2G2UoyeWFwpHsWJdZYvQRw05Hm2AlmV8v+G6gcAAP//AwBQSwECLQAUAAYACAAAACEAtoM4&#10;kv4AAADhAQAAEwAAAAAAAAAAAAAAAAAAAAAAW0NvbnRlbnRfVHlwZXNdLnhtbFBLAQItABQABgAI&#10;AAAAIQA4/SH/1gAAAJQBAAALAAAAAAAAAAAAAAAAAC8BAABfcmVscy8ucmVsc1BLAQItABQABgAI&#10;AAAAIQC9FvXyiQIAAAEFAAAOAAAAAAAAAAAAAAAAAC4CAABkcnMvZTJvRG9jLnhtbFBLAQItABQA&#10;BgAIAAAAIQB4pRG04AAAAAsBAAAPAAAAAAAAAAAAAAAAAOMEAABkcnMvZG93bnJldi54bWxQSwUG&#10;AAAAAAQABADzAAAA8AUAAAAA&#10;" fillcolor="window" strokecolor="#4472c4" strokeweight="1.5pt">
                <w10:wrap anchorx="margin"/>
              </v:rect>
            </w:pict>
          </mc:Fallback>
        </mc:AlternateContent>
      </w:r>
      <w:r>
        <w:rPr>
          <w:rFonts w:ascii="FrankRuehl" w:hAnsi="FrankRuehl" w:cs="FrankRuehl" w:hint="cs"/>
          <w:b/>
          <w:bCs/>
          <w:sz w:val="24"/>
          <w:szCs w:val="24"/>
          <w:rtl/>
        </w:rPr>
        <w:t>ויקרא רבה כא, ז</w:t>
      </w:r>
    </w:p>
    <w:p w:rsidR="00E064B4" w:rsidRDefault="00E064B4" w:rsidP="00E064B4">
      <w:pPr>
        <w:spacing w:line="276" w:lineRule="auto"/>
        <w:rPr>
          <w:rFonts w:ascii="FrankRuehl" w:hAnsi="FrankRuehl" w:cs="FrankRuehl"/>
          <w:sz w:val="24"/>
          <w:szCs w:val="24"/>
          <w:rtl/>
        </w:rPr>
      </w:pPr>
      <w:r w:rsidRPr="000A4555">
        <w:rPr>
          <w:rFonts w:ascii="FrankRuehl" w:hAnsi="FrankRuehl" w:cs="FrankRuehl"/>
          <w:sz w:val="24"/>
          <w:szCs w:val="24"/>
          <w:rtl/>
        </w:rPr>
        <w:t xml:space="preserve">אמר רבי יהודה ברבי סימון: צער גדול היה לו למשה בדבר הזה, אמר אוי לי שמא נדחף אהרן ממחיצתו... אמר לו הקדוש ברוך הוא למשה: לא כשם שאת סבור, לא עת לשעה ולא עת ליום ולא עת לשנה ולא עת לשתים עשרה שנה ולא עת לשבעים שנה ולא עת לעולם, אלא בכל שעה שהוא רוצה ליכנס יכנס, ובלבד שיהא נכנס כסדר הזה. </w:t>
      </w:r>
    </w:p>
    <w:p w:rsidR="00E064B4" w:rsidRDefault="00E064B4" w:rsidP="00E064B4">
      <w:pPr>
        <w:spacing w:line="276" w:lineRule="auto"/>
        <w:rPr>
          <w:rFonts w:ascii="FrankRuehl" w:hAnsi="FrankRuehl" w:cs="FrankRuehl"/>
          <w:sz w:val="24"/>
          <w:szCs w:val="24"/>
          <w:rtl/>
        </w:rPr>
      </w:pPr>
    </w:p>
    <w:p w:rsidR="00E064B4" w:rsidRPr="000A4555" w:rsidRDefault="00E064B4" w:rsidP="00E064B4">
      <w:pPr>
        <w:spacing w:line="276" w:lineRule="auto"/>
        <w:rPr>
          <w:rFonts w:ascii="FrankRuehl" w:hAnsi="FrankRuehl" w:cs="FrankRuehl"/>
          <w:b/>
          <w:bCs/>
          <w:sz w:val="24"/>
          <w:szCs w:val="24"/>
          <w:rtl/>
        </w:rPr>
      </w:pPr>
      <w:r>
        <w:rPr>
          <w:rFonts w:ascii="FrankRuehl" w:hAnsi="FrankRuehl" w:cs="FrankRuehl" w:hint="cs"/>
          <w:b/>
          <w:bCs/>
          <w:sz w:val="24"/>
          <w:szCs w:val="24"/>
          <w:rtl/>
        </w:rPr>
        <w:t>מדרש הגדול ויקרא א, ב</w:t>
      </w:r>
    </w:p>
    <w:p w:rsidR="00E064B4" w:rsidRDefault="00E064B4" w:rsidP="00E064B4">
      <w:pPr>
        <w:spacing w:line="276" w:lineRule="auto"/>
        <w:rPr>
          <w:rFonts w:ascii="FrankRuehl" w:hAnsi="FrankRuehl" w:cs="FrankRuehl"/>
          <w:sz w:val="24"/>
          <w:szCs w:val="24"/>
          <w:rtl/>
        </w:rPr>
      </w:pPr>
      <w:r w:rsidRPr="000A4555">
        <w:rPr>
          <w:rFonts w:ascii="FrankRuehl" w:hAnsi="FrankRuehl" w:cs="FrankRuehl"/>
          <w:sz w:val="24"/>
          <w:szCs w:val="24"/>
          <w:rtl/>
        </w:rPr>
        <w:t>דבר אל אהרן אחיך וכו' – יכול אימתי שירצה יביא כסדר הזה ויבוא? דבר הלמוד מסופו: 'אחת בשנה' – אחת בשנה הוא נכנס, אינו נכנס כל זמן שירצה.</w:t>
      </w:r>
    </w:p>
    <w:p w:rsidR="00E064B4" w:rsidRDefault="00E064B4" w:rsidP="00E064B4">
      <w:pPr>
        <w:spacing w:line="276" w:lineRule="auto"/>
        <w:rPr>
          <w:rFonts w:ascii="FrankRuehl" w:hAnsi="FrankRuehl" w:cs="FrankRuehl"/>
          <w:b/>
          <w:bCs/>
          <w:sz w:val="24"/>
          <w:szCs w:val="24"/>
          <w:rtl/>
        </w:rPr>
      </w:pPr>
      <w:r w:rsidRPr="000A4555">
        <w:rPr>
          <w:rFonts w:ascii="FrankRuehl" w:hAnsi="FrankRuehl" w:cs="FrankRuehl"/>
          <w:sz w:val="24"/>
          <w:szCs w:val="24"/>
          <w:rtl/>
        </w:rPr>
        <w:t xml:space="preserve">     </w:t>
      </w:r>
    </w:p>
    <w:p w:rsidR="00E064B4" w:rsidRDefault="00E064B4" w:rsidP="00E064B4">
      <w:pPr>
        <w:spacing w:line="276" w:lineRule="auto"/>
        <w:rPr>
          <w:rFonts w:ascii="FrankRuehl" w:hAnsi="FrankRuehl" w:cs="FrankRuehl"/>
          <w:sz w:val="24"/>
          <w:szCs w:val="24"/>
          <w:rtl/>
        </w:rPr>
      </w:pPr>
      <w:r>
        <w:rPr>
          <w:rFonts w:ascii="FrankRuehl" w:hAnsi="FrankRuehl" w:cs="FrankRuehl" w:hint="cs"/>
          <w:b/>
          <w:bCs/>
          <w:sz w:val="24"/>
          <w:szCs w:val="24"/>
          <w:rtl/>
        </w:rPr>
        <w:t>חכמת אדם סוף הלכות אבלות</w:t>
      </w:r>
    </w:p>
    <w:p w:rsidR="00E064B4" w:rsidRDefault="00E064B4" w:rsidP="00E064B4">
      <w:pPr>
        <w:spacing w:before="200" w:line="276" w:lineRule="auto"/>
        <w:rPr>
          <w:rFonts w:ascii="FrankRuehl" w:hAnsi="FrankRuehl" w:cs="FrankRuehl"/>
          <w:b/>
          <w:bCs/>
          <w:sz w:val="24"/>
          <w:szCs w:val="24"/>
          <w:highlight w:val="green"/>
          <w:rtl/>
        </w:rPr>
      </w:pPr>
      <w:r w:rsidRPr="00321629">
        <w:rPr>
          <w:rFonts w:ascii="FrankRuehl" w:hAnsi="FrankRuehl" w:cs="FrankRuehl"/>
          <w:sz w:val="24"/>
          <w:szCs w:val="24"/>
          <w:rtl/>
        </w:rPr>
        <w:t>ונראה לי על פי מה ששמעתי בשם מחותני הגאון החסיד מוה"ר אליהו, שדקדק מה שאמרו בגמרא הביאו רש"י על פס' 'ובא אהרן', ופירש רש"י: 'כל הפרשה נאמרה על הסדר חוץ מפסוק הזה', ע"ש ברש"י. וקשה, וכי לא יוכל התורה לסדר הפסוקים כמו שסידרם רש"י, ורמב"ן דחק בזה. ותירץ הוא ז"ל על פי מדרש רבה בפרשה זו פרשה כ"א: 'אמר רבי יודן בר סימן: צער גדול כו' ואל יבא בכל עת – יש עת לשבעה שנים ויש עת לשבעים שנים כו', א"ל הקב"ה: לא עת לשנה ולא לז' שנים כו', אלא בכל שעה שהוא רוצה לכנוס יכנוס, רק שיכנס כסדר הזה', עד כאן. נשמע מזה שדוקא שאר כהנים גדולים אסורים לכנוס לקדשי קדשים אלא ביום הכפורים, אבל אהרן היה מותר לכנוס בכל שעה ושעה רק שיכנוס בסדר העבודה שנאמר בפרשה זו. ולפי זה התורה דקדקה בסדר, שהרי הטעם שאמרו בגמרא דקרא ד'ובא אהרן' הוא שלא כסדר, דגמירי דה' טבילות וי' קדושין לכהן גדול ביום הכפורים ואי כסדר הכתוב לא משכחת אלא ג', וזה דוקא ביום הכפורים היה הלכה למשה מסיני דצריך ה' טבילות, אבל כשירצה אהרן לעבוד בשאר ימות השנה לא גמירי הלכתא, ואם כן באמת אינו אלא ג' ועובד כסדר האמור בפרשה. ואם כן הפסוק 'ובא אהרן' נכתב כסדר, משום אהרן בשעת ימות השנה. עד כאן דברי הגאון, ותורת אמת היתה בפיהו ושפתיים יישק.</w:t>
      </w:r>
    </w:p>
    <w:p w:rsidR="00E064B4" w:rsidRPr="005326F6" w:rsidRDefault="00E064B4" w:rsidP="00E064B4">
      <w:pPr>
        <w:spacing w:before="200" w:line="276" w:lineRule="exact"/>
        <w:rPr>
          <w:rFonts w:ascii="FrankRuehl" w:hAnsi="FrankRuehl" w:cs="FrankRuehl"/>
          <w:sz w:val="24"/>
          <w:szCs w:val="24"/>
          <w:highlight w:val="green"/>
          <w:rtl/>
        </w:rPr>
      </w:pPr>
      <w:r w:rsidRPr="005326F6">
        <w:rPr>
          <w:rFonts w:ascii="FrankRuehl" w:hAnsi="FrankRuehl" w:cs="FrankRuehl"/>
          <w:sz w:val="24"/>
          <w:szCs w:val="24"/>
          <w:highlight w:val="green"/>
          <w:rtl/>
        </w:rPr>
        <w:t xml:space="preserve"> </w:t>
      </w:r>
    </w:p>
    <w:p w:rsidR="00E064B4" w:rsidRDefault="00E064B4" w:rsidP="00E064B4">
      <w:pPr>
        <w:spacing w:before="200" w:line="276" w:lineRule="exact"/>
        <w:ind w:firstLine="227"/>
        <w:rPr>
          <w:sz w:val="24"/>
          <w:szCs w:val="24"/>
          <w:rtl/>
        </w:rPr>
      </w:pPr>
    </w:p>
    <w:p w:rsidR="00E064B4" w:rsidRDefault="00E064B4" w:rsidP="00E064B4">
      <w:pPr>
        <w:spacing w:before="200" w:line="276" w:lineRule="exact"/>
        <w:ind w:firstLine="227"/>
        <w:rPr>
          <w:sz w:val="24"/>
          <w:szCs w:val="24"/>
          <w:rtl/>
        </w:rPr>
      </w:pPr>
      <w:r>
        <w:rPr>
          <w:rFonts w:hint="cs"/>
          <w:sz w:val="24"/>
          <w:szCs w:val="24"/>
          <w:rtl/>
        </w:rPr>
        <w:t>בשעה טובה אנו מתחילים בסדרת שיעורינו על מסכת יומא. בעזרת ה' במהלך השיעורים נלבן באופן מקיף ושיטתי את סדר עבודת הכהן הגדול ביום הכיפורים. בשיעור זה, הפותח את סדרת השיעורים, נעסוק בפרשיית סדר העבודה שבתחילת פרשת אחרי מות, ודרכה נפתח את השאלות היסודיות הקיימות בעניין זה.</w:t>
      </w:r>
    </w:p>
    <w:p w:rsidR="00E064B4" w:rsidRDefault="00E064B4" w:rsidP="00E064B4">
      <w:pPr>
        <w:spacing w:before="200" w:line="276" w:lineRule="exact"/>
        <w:ind w:firstLine="227"/>
        <w:rPr>
          <w:sz w:val="24"/>
          <w:szCs w:val="24"/>
          <w:rtl/>
        </w:rPr>
      </w:pPr>
      <w:r>
        <w:rPr>
          <w:rFonts w:hint="cs"/>
          <w:sz w:val="24"/>
          <w:szCs w:val="24"/>
          <w:rtl/>
        </w:rPr>
        <w:t>התורה פותחת את פרשת אחרי מות באיסור הכניסה אל הקודש "בכל עת":</w:t>
      </w:r>
    </w:p>
    <w:p w:rsidR="00E064B4" w:rsidRPr="00F938F4" w:rsidRDefault="00E064B4" w:rsidP="00E064B4">
      <w:pPr>
        <w:spacing w:before="200" w:line="276" w:lineRule="exact"/>
        <w:ind w:left="720"/>
        <w:rPr>
          <w:sz w:val="20"/>
          <w:szCs w:val="20"/>
          <w:rtl/>
        </w:rPr>
      </w:pPr>
      <w:r w:rsidRPr="00E9749C">
        <w:rPr>
          <w:sz w:val="24"/>
          <w:szCs w:val="24"/>
          <w:rtl/>
        </w:rPr>
        <w:t>וידבר ה' אל משה אחרי מות שני</w:t>
      </w:r>
      <w:r>
        <w:rPr>
          <w:sz w:val="24"/>
          <w:szCs w:val="24"/>
          <w:rtl/>
        </w:rPr>
        <w:t xml:space="preserve"> בני אהרן</w:t>
      </w:r>
      <w:r>
        <w:rPr>
          <w:rFonts w:hint="cs"/>
          <w:sz w:val="24"/>
          <w:szCs w:val="24"/>
          <w:rtl/>
        </w:rPr>
        <w:t>,</w:t>
      </w:r>
      <w:r>
        <w:rPr>
          <w:sz w:val="24"/>
          <w:szCs w:val="24"/>
          <w:rtl/>
        </w:rPr>
        <w:t xml:space="preserve"> בקרבתם לפני ה' וימתו</w:t>
      </w:r>
      <w:r>
        <w:rPr>
          <w:rFonts w:hint="cs"/>
          <w:sz w:val="24"/>
          <w:szCs w:val="24"/>
          <w:rtl/>
        </w:rPr>
        <w:t>.</w:t>
      </w:r>
      <w:r w:rsidRPr="00E9749C">
        <w:rPr>
          <w:sz w:val="24"/>
          <w:szCs w:val="24"/>
          <w:rtl/>
        </w:rPr>
        <w:t xml:space="preserve"> ויאמר ה' אל משה דבר אל אהרן אחיך </w:t>
      </w:r>
      <w:r w:rsidRPr="000475BA">
        <w:rPr>
          <w:b/>
          <w:bCs/>
          <w:sz w:val="24"/>
          <w:szCs w:val="24"/>
          <w:rtl/>
        </w:rPr>
        <w:t>ואל יבא בכל עת אל הקדש</w:t>
      </w:r>
      <w:r w:rsidRPr="00E9749C">
        <w:rPr>
          <w:sz w:val="24"/>
          <w:szCs w:val="24"/>
          <w:rtl/>
        </w:rPr>
        <w:t xml:space="preserve"> מבית לפרכת</w:t>
      </w:r>
      <w:r>
        <w:rPr>
          <w:rFonts w:hint="cs"/>
          <w:sz w:val="24"/>
          <w:szCs w:val="24"/>
          <w:rtl/>
        </w:rPr>
        <w:t>,</w:t>
      </w:r>
      <w:r w:rsidRPr="00E9749C">
        <w:rPr>
          <w:sz w:val="24"/>
          <w:szCs w:val="24"/>
          <w:rtl/>
        </w:rPr>
        <w:t xml:space="preserve"> אל פני הכפרת אשר על הארן </w:t>
      </w:r>
      <w:r>
        <w:rPr>
          <w:sz w:val="24"/>
          <w:szCs w:val="24"/>
          <w:rtl/>
        </w:rPr>
        <w:t xml:space="preserve">ולא ימות כי בענן </w:t>
      </w:r>
      <w:r w:rsidRPr="000475BA">
        <w:rPr>
          <w:sz w:val="24"/>
          <w:szCs w:val="24"/>
          <w:rtl/>
        </w:rPr>
        <w:t>אראה על הכפרת</w:t>
      </w:r>
      <w:r w:rsidRPr="000475BA">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[ויקרא טז, א-ב]</w:t>
      </w:r>
    </w:p>
    <w:p w:rsidR="00E064B4" w:rsidRDefault="00E064B4" w:rsidP="00E064B4">
      <w:pPr>
        <w:spacing w:before="200" w:line="276" w:lineRule="exact"/>
        <w:ind w:firstLine="227"/>
        <w:rPr>
          <w:sz w:val="24"/>
          <w:szCs w:val="24"/>
          <w:rtl/>
        </w:rPr>
      </w:pPr>
      <w:r>
        <w:rPr>
          <w:rFonts w:hint="cs"/>
          <w:sz w:val="24"/>
          <w:szCs w:val="24"/>
          <w:rtl/>
        </w:rPr>
        <w:t xml:space="preserve">כתובים אלו מלמדים על איסור ביאה "בכל עת אל הקודש מבית לפרוכת", ומהם עולה כי הואיל ושם שורה השכינה </w:t>
      </w:r>
      <w:r>
        <w:rPr>
          <w:sz w:val="24"/>
          <w:szCs w:val="24"/>
          <w:rtl/>
        </w:rPr>
        <w:t>–</w:t>
      </w:r>
      <w:r>
        <w:rPr>
          <w:rFonts w:hint="cs"/>
          <w:sz w:val="24"/>
          <w:szCs w:val="24"/>
          <w:rtl/>
        </w:rPr>
        <w:t xml:space="preserve"> כניסה לקודש הקדשים ללא היתר גורמת למיתה</w:t>
      </w:r>
      <w:r>
        <w:rPr>
          <w:rStyle w:val="a7"/>
          <w:sz w:val="24"/>
          <w:szCs w:val="24"/>
          <w:rtl/>
        </w:rPr>
        <w:footnoteReference w:id="1"/>
      </w:r>
      <w:r>
        <w:rPr>
          <w:rFonts w:hint="cs"/>
          <w:sz w:val="24"/>
          <w:szCs w:val="24"/>
          <w:rtl/>
        </w:rPr>
        <w:t>.</w:t>
      </w:r>
    </w:p>
    <w:p w:rsidR="00E064B4" w:rsidRDefault="00E064B4" w:rsidP="00E064B4">
      <w:pPr>
        <w:spacing w:before="200" w:line="276" w:lineRule="exact"/>
        <w:ind w:firstLine="227"/>
        <w:rPr>
          <w:sz w:val="24"/>
          <w:szCs w:val="24"/>
          <w:rtl/>
        </w:rPr>
      </w:pPr>
      <w:r>
        <w:rPr>
          <w:rFonts w:hint="cs"/>
          <w:sz w:val="24"/>
          <w:szCs w:val="24"/>
          <w:rtl/>
        </w:rPr>
        <w:t>הכתובים ממשיכים ומפרטים את אופן כניסת הכהן הגדול לקודש הקדשים:</w:t>
      </w:r>
    </w:p>
    <w:p w:rsidR="00E064B4" w:rsidRPr="005326F6" w:rsidRDefault="00E064B4" w:rsidP="00E064B4">
      <w:pPr>
        <w:spacing w:before="200" w:line="276" w:lineRule="exact"/>
        <w:ind w:left="720"/>
        <w:rPr>
          <w:sz w:val="24"/>
          <w:szCs w:val="24"/>
          <w:rtl/>
        </w:rPr>
      </w:pPr>
      <w:r w:rsidRPr="004155F7">
        <w:rPr>
          <w:b/>
          <w:bCs/>
          <w:sz w:val="24"/>
          <w:szCs w:val="24"/>
          <w:rtl/>
        </w:rPr>
        <w:t>בזאת יבא אהרן אל הקדש</w:t>
      </w:r>
      <w:r>
        <w:rPr>
          <w:rFonts w:hint="cs"/>
          <w:sz w:val="24"/>
          <w:szCs w:val="24"/>
          <w:rtl/>
        </w:rPr>
        <w:t>,</w:t>
      </w:r>
      <w:r>
        <w:rPr>
          <w:sz w:val="24"/>
          <w:szCs w:val="24"/>
          <w:rtl/>
        </w:rPr>
        <w:t xml:space="preserve"> בפר בן בקר לחטאת ואיל לעלה</w:t>
      </w:r>
      <w:r>
        <w:rPr>
          <w:rFonts w:hint="cs"/>
          <w:sz w:val="24"/>
          <w:szCs w:val="24"/>
          <w:rtl/>
        </w:rPr>
        <w:t xml:space="preserve">. </w:t>
      </w:r>
      <w:r w:rsidRPr="00E9749C">
        <w:rPr>
          <w:sz w:val="24"/>
          <w:szCs w:val="24"/>
          <w:rtl/>
        </w:rPr>
        <w:t>כתנת בד קדש ילבש ומכנסי בד יהיו על בשרו ובאבנט בד יחגר ובמצנפת בד יצנף</w:t>
      </w:r>
      <w:r>
        <w:rPr>
          <w:rFonts w:hint="cs"/>
          <w:sz w:val="24"/>
          <w:szCs w:val="24"/>
          <w:rtl/>
        </w:rPr>
        <w:t>,</w:t>
      </w:r>
      <w:r w:rsidRPr="00E9749C">
        <w:rPr>
          <w:sz w:val="24"/>
          <w:szCs w:val="24"/>
          <w:rtl/>
        </w:rPr>
        <w:t xml:space="preserve"> בגדי ק</w:t>
      </w:r>
      <w:r>
        <w:rPr>
          <w:sz w:val="24"/>
          <w:szCs w:val="24"/>
          <w:rtl/>
        </w:rPr>
        <w:t xml:space="preserve">דש הם ורחץ במים את בשרו </w:t>
      </w:r>
      <w:r>
        <w:rPr>
          <w:sz w:val="24"/>
          <w:szCs w:val="24"/>
          <w:rtl/>
        </w:rPr>
        <w:lastRenderedPageBreak/>
        <w:t>ולבשם</w:t>
      </w:r>
      <w:r>
        <w:rPr>
          <w:rFonts w:hint="cs"/>
          <w:sz w:val="24"/>
          <w:szCs w:val="24"/>
          <w:rtl/>
        </w:rPr>
        <w:t>...</w:t>
      </w:r>
      <w:r w:rsidRPr="00E9749C">
        <w:rPr>
          <w:sz w:val="24"/>
          <w:szCs w:val="24"/>
          <w:rtl/>
        </w:rPr>
        <w:t xml:space="preserve"> ולקח מלא המחתה גחלי אש מעל המזבח מלפני ה' ומלא חפניו קטרת סמים דקה</w:t>
      </w:r>
      <w:r>
        <w:rPr>
          <w:rFonts w:hint="cs"/>
          <w:sz w:val="24"/>
          <w:szCs w:val="24"/>
          <w:rtl/>
        </w:rPr>
        <w:t>,</w:t>
      </w:r>
      <w:r>
        <w:rPr>
          <w:sz w:val="24"/>
          <w:szCs w:val="24"/>
          <w:rtl/>
        </w:rPr>
        <w:t xml:space="preserve"> והביא מבית לפרכת</w:t>
      </w:r>
      <w:r>
        <w:rPr>
          <w:rFonts w:hint="cs"/>
          <w:sz w:val="24"/>
          <w:szCs w:val="24"/>
          <w:rtl/>
        </w:rPr>
        <w:t>.</w:t>
      </w:r>
      <w:r w:rsidRPr="00E9749C">
        <w:rPr>
          <w:sz w:val="24"/>
          <w:szCs w:val="24"/>
          <w:rtl/>
        </w:rPr>
        <w:t xml:space="preserve"> ונתן את הקטרת על האש לפני ה'</w:t>
      </w:r>
      <w:r>
        <w:rPr>
          <w:rFonts w:hint="cs"/>
          <w:sz w:val="24"/>
          <w:szCs w:val="24"/>
          <w:rtl/>
        </w:rPr>
        <w:t>,</w:t>
      </w:r>
      <w:r w:rsidRPr="00E9749C">
        <w:rPr>
          <w:sz w:val="24"/>
          <w:szCs w:val="24"/>
          <w:rtl/>
        </w:rPr>
        <w:t xml:space="preserve"> וכסה ענן הקטרת</w:t>
      </w:r>
      <w:r>
        <w:rPr>
          <w:sz w:val="24"/>
          <w:szCs w:val="24"/>
          <w:rtl/>
        </w:rPr>
        <w:t xml:space="preserve"> את הכפרת אשר על העדות </w:t>
      </w:r>
      <w:r w:rsidRPr="004155F7">
        <w:rPr>
          <w:b/>
          <w:bCs/>
          <w:sz w:val="24"/>
          <w:szCs w:val="24"/>
          <w:rtl/>
        </w:rPr>
        <w:t>ולא ימות</w:t>
      </w:r>
      <w:r>
        <w:rPr>
          <w:rFonts w:hint="cs"/>
          <w:sz w:val="24"/>
          <w:szCs w:val="24"/>
          <w:rtl/>
        </w:rPr>
        <w:t>.</w:t>
      </w:r>
      <w:r w:rsidRPr="00E9749C">
        <w:rPr>
          <w:sz w:val="24"/>
          <w:szCs w:val="24"/>
          <w:rtl/>
        </w:rPr>
        <w:t xml:space="preserve"> </w:t>
      </w:r>
      <w:r>
        <w:rPr>
          <w:sz w:val="24"/>
          <w:szCs w:val="24"/>
          <w:rtl/>
        </w:rPr>
        <w:tab/>
      </w:r>
      <w:r>
        <w:rPr>
          <w:sz w:val="24"/>
          <w:szCs w:val="24"/>
          <w:rtl/>
        </w:rPr>
        <w:tab/>
      </w:r>
      <w:r>
        <w:rPr>
          <w:sz w:val="24"/>
          <w:szCs w:val="24"/>
          <w:rtl/>
        </w:rPr>
        <w:tab/>
      </w:r>
      <w:r>
        <w:rPr>
          <w:sz w:val="24"/>
          <w:szCs w:val="24"/>
          <w:rtl/>
        </w:rPr>
        <w:tab/>
      </w:r>
      <w:r>
        <w:rPr>
          <w:sz w:val="20"/>
          <w:szCs w:val="20"/>
          <w:rtl/>
        </w:rPr>
        <w:tab/>
      </w:r>
      <w:r>
        <w:rPr>
          <w:sz w:val="20"/>
          <w:szCs w:val="20"/>
          <w:rtl/>
        </w:rPr>
        <w:tab/>
      </w:r>
      <w:r>
        <w:rPr>
          <w:rFonts w:hint="cs"/>
          <w:sz w:val="20"/>
          <w:szCs w:val="20"/>
          <w:rtl/>
        </w:rPr>
        <w:t xml:space="preserve">             </w:t>
      </w:r>
      <w:r>
        <w:rPr>
          <w:sz w:val="20"/>
          <w:szCs w:val="20"/>
          <w:rtl/>
        </w:rPr>
        <w:tab/>
      </w:r>
      <w:r>
        <w:rPr>
          <w:rFonts w:hint="cs"/>
          <w:sz w:val="20"/>
          <w:szCs w:val="20"/>
          <w:rtl/>
        </w:rPr>
        <w:t xml:space="preserve">       [שם, ג-יג]</w:t>
      </w:r>
    </w:p>
    <w:p w:rsidR="00E064B4" w:rsidRDefault="00E064B4" w:rsidP="00E064B4">
      <w:pPr>
        <w:spacing w:before="200" w:line="276" w:lineRule="exact"/>
        <w:ind w:firstLine="227"/>
        <w:rPr>
          <w:sz w:val="24"/>
          <w:szCs w:val="24"/>
          <w:rtl/>
        </w:rPr>
      </w:pPr>
      <w:r>
        <w:rPr>
          <w:rFonts w:hint="cs"/>
          <w:sz w:val="24"/>
          <w:szCs w:val="24"/>
          <w:rtl/>
        </w:rPr>
        <w:t xml:space="preserve">לכאורה, העבודות המפורטות בכתובים אלו באות על מנת לאפשר את כניסת הכהן הגדול לקודש הקדשים. על פי זה, הכתוב "וכסה ענן הקטרת את הכפרת אשר על העדות ולא ימות" מורה כי הקטרת הקטורת בקודש הקדשים היא המונעת את מיתת הכהן הגדול. </w:t>
      </w:r>
    </w:p>
    <w:p w:rsidR="00E064B4" w:rsidRDefault="00E064B4" w:rsidP="00E064B4">
      <w:pPr>
        <w:spacing w:before="200" w:line="276" w:lineRule="exact"/>
        <w:ind w:firstLine="227"/>
        <w:rPr>
          <w:sz w:val="24"/>
          <w:szCs w:val="24"/>
          <w:rtl/>
        </w:rPr>
      </w:pPr>
      <w:r>
        <w:rPr>
          <w:rFonts w:hint="cs"/>
          <w:sz w:val="24"/>
          <w:szCs w:val="24"/>
          <w:rtl/>
        </w:rPr>
        <w:t>כהבנה זו כותבים רבים ממפרשי התורה:</w:t>
      </w:r>
    </w:p>
    <w:p w:rsidR="00E064B4" w:rsidRPr="00930816" w:rsidRDefault="00E064B4" w:rsidP="00E064B4">
      <w:pPr>
        <w:spacing w:before="200" w:line="276" w:lineRule="exact"/>
        <w:ind w:left="720"/>
        <w:rPr>
          <w:sz w:val="24"/>
          <w:szCs w:val="24"/>
          <w:rtl/>
        </w:rPr>
      </w:pPr>
      <w:r>
        <w:rPr>
          <w:sz w:val="24"/>
          <w:szCs w:val="24"/>
          <w:rtl/>
        </w:rPr>
        <w:t>כי בענן אראה על הכפורת –</w:t>
      </w:r>
      <w:r>
        <w:rPr>
          <w:rFonts w:hint="cs"/>
          <w:sz w:val="24"/>
          <w:szCs w:val="24"/>
          <w:rtl/>
        </w:rPr>
        <w:t xml:space="preserve"> </w:t>
      </w:r>
      <w:r w:rsidRPr="000208FF">
        <w:rPr>
          <w:sz w:val="24"/>
          <w:szCs w:val="24"/>
          <w:rtl/>
        </w:rPr>
        <w:t>לפי פשוטו</w:t>
      </w:r>
      <w:r>
        <w:rPr>
          <w:rFonts w:hint="cs"/>
          <w:sz w:val="24"/>
          <w:szCs w:val="24"/>
          <w:rtl/>
        </w:rPr>
        <w:t>,</w:t>
      </w:r>
      <w:r w:rsidRPr="000208FF">
        <w:rPr>
          <w:sz w:val="24"/>
          <w:szCs w:val="24"/>
          <w:rtl/>
        </w:rPr>
        <w:t xml:space="preserve"> שהרי מתוך עמוד הענן</w:t>
      </w:r>
      <w:r>
        <w:rPr>
          <w:sz w:val="24"/>
          <w:szCs w:val="24"/>
          <w:rtl/>
        </w:rPr>
        <w:t xml:space="preserve"> אני נראה כל שעה על הכפרת, כדכת</w:t>
      </w:r>
      <w:r>
        <w:rPr>
          <w:rFonts w:hint="cs"/>
          <w:sz w:val="24"/>
          <w:szCs w:val="24"/>
          <w:rtl/>
        </w:rPr>
        <w:t>יב</w:t>
      </w:r>
      <w:r w:rsidRPr="000208FF">
        <w:rPr>
          <w:sz w:val="24"/>
          <w:szCs w:val="24"/>
          <w:rtl/>
        </w:rPr>
        <w:t xml:space="preserve"> </w:t>
      </w:r>
      <w:r>
        <w:rPr>
          <w:rFonts w:hint="cs"/>
          <w:sz w:val="24"/>
          <w:szCs w:val="24"/>
          <w:rtl/>
        </w:rPr>
        <w:t>'</w:t>
      </w:r>
      <w:r w:rsidRPr="000208FF">
        <w:rPr>
          <w:sz w:val="24"/>
          <w:szCs w:val="24"/>
          <w:rtl/>
        </w:rPr>
        <w:t>ודיברתי</w:t>
      </w:r>
      <w:r>
        <w:rPr>
          <w:sz w:val="24"/>
          <w:szCs w:val="24"/>
          <w:rtl/>
        </w:rPr>
        <w:t xml:space="preserve"> אתך מעל הכפרת מבין שני הכרובים</w:t>
      </w:r>
      <w:r>
        <w:rPr>
          <w:rFonts w:hint="cs"/>
          <w:sz w:val="24"/>
          <w:szCs w:val="24"/>
          <w:rtl/>
        </w:rPr>
        <w:t>',</w:t>
      </w:r>
      <w:r w:rsidRPr="000208FF">
        <w:rPr>
          <w:sz w:val="24"/>
          <w:szCs w:val="24"/>
          <w:rtl/>
        </w:rPr>
        <w:t xml:space="preserve"> ואם יראה הכהן ימות. לפיכך כשיכנס ביום ה</w:t>
      </w:r>
      <w:r>
        <w:rPr>
          <w:sz w:val="24"/>
          <w:szCs w:val="24"/>
          <w:rtl/>
        </w:rPr>
        <w:t>כיפורים ציוהו הק</w:t>
      </w:r>
      <w:r>
        <w:rPr>
          <w:rFonts w:hint="cs"/>
          <w:sz w:val="24"/>
          <w:szCs w:val="24"/>
          <w:rtl/>
        </w:rPr>
        <w:t>ב"ה</w:t>
      </w:r>
      <w:r w:rsidRPr="000208FF">
        <w:rPr>
          <w:sz w:val="24"/>
          <w:szCs w:val="24"/>
          <w:rtl/>
        </w:rPr>
        <w:t xml:space="preserve"> להקטיר קטורת בפנים תחילה להחשיך את הבית בענן הקטורת</w:t>
      </w:r>
      <w:r>
        <w:rPr>
          <w:rFonts w:hint="cs"/>
          <w:sz w:val="24"/>
          <w:szCs w:val="24"/>
          <w:rtl/>
        </w:rPr>
        <w:t>,</w:t>
      </w:r>
      <w:r w:rsidRPr="000208FF">
        <w:rPr>
          <w:sz w:val="24"/>
          <w:szCs w:val="24"/>
          <w:rtl/>
        </w:rPr>
        <w:t xml:space="preserve"> ואחר כך יביא דם הפר ודם השעיר</w:t>
      </w:r>
      <w:r>
        <w:rPr>
          <w:rFonts w:hint="cs"/>
          <w:sz w:val="24"/>
          <w:szCs w:val="24"/>
          <w:rtl/>
        </w:rPr>
        <w:t>.</w:t>
      </w:r>
      <w:r>
        <w:rPr>
          <w:sz w:val="24"/>
          <w:szCs w:val="24"/>
          <w:rtl/>
        </w:rPr>
        <w:tab/>
      </w:r>
      <w:r>
        <w:rPr>
          <w:sz w:val="24"/>
          <w:szCs w:val="24"/>
          <w:rtl/>
        </w:rPr>
        <w:tab/>
      </w:r>
      <w:r>
        <w:rPr>
          <w:sz w:val="24"/>
          <w:szCs w:val="24"/>
          <w:rtl/>
        </w:rPr>
        <w:tab/>
      </w:r>
      <w:r>
        <w:rPr>
          <w:rFonts w:hint="cs"/>
          <w:sz w:val="20"/>
          <w:szCs w:val="20"/>
          <w:rtl/>
        </w:rPr>
        <w:t>[רשב"ם שם, ב]</w:t>
      </w:r>
    </w:p>
    <w:p w:rsidR="00E064B4" w:rsidRDefault="00E064B4" w:rsidP="00E064B4">
      <w:pPr>
        <w:spacing w:before="200" w:line="276" w:lineRule="exact"/>
        <w:ind w:firstLine="720"/>
        <w:rPr>
          <w:sz w:val="20"/>
          <w:szCs w:val="20"/>
          <w:rtl/>
        </w:rPr>
      </w:pPr>
      <w:r w:rsidRPr="00930816">
        <w:rPr>
          <w:sz w:val="24"/>
          <w:szCs w:val="24"/>
          <w:rtl/>
        </w:rPr>
        <w:t xml:space="preserve">כי בענן </w:t>
      </w:r>
      <w:r>
        <w:rPr>
          <w:sz w:val="24"/>
          <w:szCs w:val="24"/>
          <w:rtl/>
        </w:rPr>
        <w:t>–</w:t>
      </w:r>
      <w:r>
        <w:rPr>
          <w:rFonts w:hint="cs"/>
          <w:sz w:val="24"/>
          <w:szCs w:val="24"/>
          <w:rtl/>
        </w:rPr>
        <w:t xml:space="preserve"> </w:t>
      </w:r>
      <w:r w:rsidRPr="00930816">
        <w:rPr>
          <w:sz w:val="24"/>
          <w:szCs w:val="24"/>
          <w:rtl/>
        </w:rPr>
        <w:t>הטעם שלא יכנס כי אם בקטרת שיעשה ענן, ולא יראה הכבוד פן ימות.</w:t>
      </w:r>
      <w:r>
        <w:rPr>
          <w:rFonts w:hint="cs"/>
          <w:sz w:val="24"/>
          <w:szCs w:val="24"/>
          <w:rtl/>
        </w:rPr>
        <w:t xml:space="preserve"> </w:t>
      </w:r>
    </w:p>
    <w:p w:rsidR="00E064B4" w:rsidRDefault="00E064B4" w:rsidP="00E064B4">
      <w:pPr>
        <w:spacing w:before="200" w:line="276" w:lineRule="exact"/>
        <w:ind w:firstLine="720"/>
        <w:jc w:val="right"/>
        <w:rPr>
          <w:sz w:val="24"/>
          <w:szCs w:val="24"/>
          <w:rtl/>
        </w:rPr>
      </w:pPr>
      <w:r>
        <w:rPr>
          <w:rFonts w:hint="cs"/>
          <w:sz w:val="20"/>
          <w:szCs w:val="20"/>
          <w:rtl/>
        </w:rPr>
        <w:t>[ראב"ע, שם]</w:t>
      </w:r>
    </w:p>
    <w:p w:rsidR="00E064B4" w:rsidRPr="00930816" w:rsidRDefault="00E064B4" w:rsidP="00E064B4">
      <w:pPr>
        <w:ind w:left="720"/>
        <w:rPr>
          <w:sz w:val="20"/>
          <w:szCs w:val="20"/>
          <w:rtl/>
        </w:rPr>
      </w:pPr>
      <w:r w:rsidRPr="00930816">
        <w:rPr>
          <w:sz w:val="24"/>
          <w:szCs w:val="24"/>
          <w:rtl/>
        </w:rPr>
        <w:t xml:space="preserve">ונתן את הקטרת </w:t>
      </w:r>
      <w:r>
        <w:rPr>
          <w:sz w:val="24"/>
          <w:szCs w:val="24"/>
          <w:rtl/>
        </w:rPr>
        <w:t>–</w:t>
      </w:r>
      <w:r>
        <w:rPr>
          <w:rFonts w:hint="cs"/>
          <w:sz w:val="24"/>
          <w:szCs w:val="24"/>
          <w:rtl/>
        </w:rPr>
        <w:t xml:space="preserve"> </w:t>
      </w:r>
      <w:r w:rsidRPr="00930816">
        <w:rPr>
          <w:sz w:val="24"/>
          <w:szCs w:val="24"/>
          <w:rtl/>
        </w:rPr>
        <w:t xml:space="preserve">שהרי נאמר למעלה </w:t>
      </w:r>
      <w:r>
        <w:rPr>
          <w:rFonts w:hint="cs"/>
          <w:sz w:val="24"/>
          <w:szCs w:val="24"/>
          <w:rtl/>
        </w:rPr>
        <w:t>'</w:t>
      </w:r>
      <w:r w:rsidRPr="00930816">
        <w:rPr>
          <w:sz w:val="24"/>
          <w:szCs w:val="24"/>
          <w:rtl/>
        </w:rPr>
        <w:t>כי בענן אראה על הכפורת</w:t>
      </w:r>
      <w:r>
        <w:rPr>
          <w:rFonts w:hint="cs"/>
          <w:sz w:val="24"/>
          <w:szCs w:val="24"/>
          <w:rtl/>
        </w:rPr>
        <w:t>',</w:t>
      </w:r>
      <w:r w:rsidRPr="00930816">
        <w:rPr>
          <w:sz w:val="24"/>
          <w:szCs w:val="24"/>
          <w:rtl/>
        </w:rPr>
        <w:t xml:space="preserve"> וכדי שלא להסתכל בשכינה כדכתיב </w:t>
      </w:r>
      <w:r>
        <w:rPr>
          <w:rFonts w:hint="cs"/>
          <w:sz w:val="24"/>
          <w:szCs w:val="24"/>
          <w:rtl/>
        </w:rPr>
        <w:t>'</w:t>
      </w:r>
      <w:r w:rsidRPr="00930816">
        <w:rPr>
          <w:sz w:val="24"/>
          <w:szCs w:val="24"/>
          <w:rtl/>
        </w:rPr>
        <w:t>כי לא יראני האדם וחי</w:t>
      </w:r>
      <w:r>
        <w:rPr>
          <w:rFonts w:hint="cs"/>
          <w:sz w:val="24"/>
          <w:szCs w:val="24"/>
          <w:rtl/>
        </w:rPr>
        <w:t>'</w:t>
      </w:r>
      <w:r w:rsidRPr="00930816">
        <w:rPr>
          <w:sz w:val="24"/>
          <w:szCs w:val="24"/>
          <w:rtl/>
        </w:rPr>
        <w:t xml:space="preserve">, צריך להחשיך את הבית תחלה בנתינת הקטרת זהו שנאמר </w:t>
      </w:r>
      <w:r>
        <w:rPr>
          <w:rFonts w:hint="cs"/>
          <w:sz w:val="24"/>
          <w:szCs w:val="24"/>
          <w:rtl/>
        </w:rPr>
        <w:t>'</w:t>
      </w:r>
      <w:r w:rsidRPr="00930816">
        <w:rPr>
          <w:sz w:val="24"/>
          <w:szCs w:val="24"/>
          <w:rtl/>
        </w:rPr>
        <w:t>וכסה ענן הקטרת את הכפרת</w:t>
      </w:r>
      <w:r>
        <w:rPr>
          <w:rFonts w:hint="cs"/>
          <w:sz w:val="24"/>
          <w:szCs w:val="24"/>
          <w:rtl/>
        </w:rPr>
        <w:t>',</w:t>
      </w:r>
      <w:r w:rsidRPr="00930816">
        <w:rPr>
          <w:sz w:val="24"/>
          <w:szCs w:val="24"/>
          <w:rtl/>
        </w:rPr>
        <w:t xml:space="preserve"> ואחר כך יביא את הדמים שם.</w:t>
      </w:r>
      <w:r>
        <w:rPr>
          <w:sz w:val="24"/>
          <w:szCs w:val="24"/>
          <w:rtl/>
        </w:rPr>
        <w:tab/>
      </w:r>
      <w:r>
        <w:rPr>
          <w:rFonts w:hint="cs"/>
          <w:sz w:val="20"/>
          <w:szCs w:val="20"/>
          <w:rtl/>
        </w:rPr>
        <w:t>[חזקוני שם, יג]</w:t>
      </w:r>
    </w:p>
    <w:p w:rsidR="00E064B4" w:rsidRDefault="00E064B4" w:rsidP="00E064B4">
      <w:pPr>
        <w:spacing w:before="200" w:line="276" w:lineRule="exact"/>
        <w:ind w:firstLine="227"/>
        <w:rPr>
          <w:sz w:val="24"/>
          <w:szCs w:val="24"/>
          <w:rtl/>
        </w:rPr>
      </w:pPr>
      <w:r>
        <w:rPr>
          <w:rFonts w:hint="cs"/>
          <w:sz w:val="24"/>
          <w:szCs w:val="24"/>
          <w:rtl/>
        </w:rPr>
        <w:t>עם זאת, מלבד כתובים אלו, עיקרה של הפרשייה אינו עוסק באופן הכניסה אל קודש הקדשים, אלא בסדר עבודות כפרת המקדש והעם הנעשות ביום הכיפורים:</w:t>
      </w:r>
    </w:p>
    <w:p w:rsidR="00E064B4" w:rsidRPr="008F1781" w:rsidRDefault="00E064B4" w:rsidP="00E064B4">
      <w:pPr>
        <w:spacing w:before="200" w:line="276" w:lineRule="exact"/>
        <w:ind w:left="720"/>
        <w:rPr>
          <w:sz w:val="20"/>
          <w:szCs w:val="20"/>
          <w:rtl/>
        </w:rPr>
      </w:pPr>
      <w:r>
        <w:rPr>
          <w:rFonts w:hint="cs"/>
          <w:sz w:val="24"/>
          <w:szCs w:val="24"/>
          <w:rtl/>
        </w:rPr>
        <w:t>ו</w:t>
      </w:r>
      <w:r w:rsidRPr="008F1781">
        <w:rPr>
          <w:sz w:val="24"/>
          <w:szCs w:val="24"/>
          <w:rtl/>
        </w:rPr>
        <w:t xml:space="preserve">הקריב אהרן את פר החטאת אשר לו </w:t>
      </w:r>
      <w:r w:rsidRPr="004155F7">
        <w:rPr>
          <w:b/>
          <w:bCs/>
          <w:sz w:val="24"/>
          <w:szCs w:val="24"/>
          <w:rtl/>
        </w:rPr>
        <w:t>וכפר בעדו ובעד ביתו</w:t>
      </w:r>
      <w:r>
        <w:rPr>
          <w:rFonts w:hint="cs"/>
          <w:sz w:val="24"/>
          <w:szCs w:val="24"/>
          <w:rtl/>
        </w:rPr>
        <w:t xml:space="preserve">... </w:t>
      </w:r>
      <w:r w:rsidRPr="004155F7">
        <w:rPr>
          <w:b/>
          <w:bCs/>
          <w:sz w:val="24"/>
          <w:szCs w:val="24"/>
          <w:rtl/>
        </w:rPr>
        <w:t>וכפר על הקדש מטמאת בני ישראל</w:t>
      </w:r>
      <w:r w:rsidRPr="008F1781">
        <w:rPr>
          <w:sz w:val="24"/>
          <w:szCs w:val="24"/>
          <w:rtl/>
        </w:rPr>
        <w:t xml:space="preserve"> ומפשעיהם לכל חטאתם וכן יעשה</w:t>
      </w:r>
      <w:r>
        <w:rPr>
          <w:sz w:val="24"/>
          <w:szCs w:val="24"/>
          <w:rtl/>
        </w:rPr>
        <w:t xml:space="preserve"> לאהל מועד השכן אתם בתוך טמאתם</w:t>
      </w:r>
      <w:r>
        <w:rPr>
          <w:rFonts w:hint="cs"/>
          <w:sz w:val="24"/>
          <w:szCs w:val="24"/>
          <w:rtl/>
        </w:rPr>
        <w:t>.</w:t>
      </w:r>
      <w:r w:rsidRPr="008F1781">
        <w:rPr>
          <w:sz w:val="24"/>
          <w:szCs w:val="24"/>
          <w:rtl/>
        </w:rPr>
        <w:t xml:space="preserve"> וכל אדם לא יהיה באהל מועד </w:t>
      </w:r>
      <w:r w:rsidRPr="004155F7">
        <w:rPr>
          <w:sz w:val="24"/>
          <w:szCs w:val="24"/>
          <w:rtl/>
        </w:rPr>
        <w:t>בבאו לכפר בקדש עד צאתו</w:t>
      </w:r>
      <w:r w:rsidRPr="004155F7">
        <w:rPr>
          <w:rFonts w:hint="cs"/>
          <w:sz w:val="24"/>
          <w:szCs w:val="24"/>
          <w:rtl/>
        </w:rPr>
        <w:t>,</w:t>
      </w:r>
      <w:r w:rsidRPr="004155F7">
        <w:rPr>
          <w:b/>
          <w:bCs/>
          <w:sz w:val="24"/>
          <w:szCs w:val="24"/>
          <w:rtl/>
        </w:rPr>
        <w:t xml:space="preserve"> וכפר בעדו ובעד ביתו ובעד כל קהל ישראל</w:t>
      </w:r>
      <w:r>
        <w:rPr>
          <w:rFonts w:hint="cs"/>
          <w:sz w:val="24"/>
          <w:szCs w:val="24"/>
          <w:rtl/>
        </w:rPr>
        <w:t>.</w:t>
      </w:r>
      <w:r w:rsidRPr="008F1781">
        <w:rPr>
          <w:sz w:val="24"/>
          <w:szCs w:val="24"/>
          <w:rtl/>
        </w:rPr>
        <w:t xml:space="preserve"> ויצא אל המזבח אשר לפני ה' וכפר עליו</w:t>
      </w:r>
      <w:r>
        <w:rPr>
          <w:rFonts w:hint="cs"/>
          <w:sz w:val="24"/>
          <w:szCs w:val="24"/>
          <w:rtl/>
        </w:rPr>
        <w:t xml:space="preserve">... וכפר בעדו ובעד העם... </w:t>
      </w:r>
      <w:r w:rsidRPr="004155F7">
        <w:rPr>
          <w:b/>
          <w:bCs/>
          <w:sz w:val="24"/>
          <w:szCs w:val="24"/>
          <w:rtl/>
        </w:rPr>
        <w:t>וכפר את מקדש הקדש ואת אהל מועד ואת המזבח יכפר</w:t>
      </w:r>
      <w:r w:rsidRPr="004155F7">
        <w:rPr>
          <w:rFonts w:hint="cs"/>
          <w:b/>
          <w:bCs/>
          <w:sz w:val="24"/>
          <w:szCs w:val="24"/>
          <w:rtl/>
        </w:rPr>
        <w:t>,</w:t>
      </w:r>
      <w:r w:rsidRPr="004155F7">
        <w:rPr>
          <w:b/>
          <w:bCs/>
          <w:sz w:val="24"/>
          <w:szCs w:val="24"/>
          <w:rtl/>
        </w:rPr>
        <w:t xml:space="preserve"> ועל הכהנים ועל כל עם הקהל יכפר</w:t>
      </w:r>
      <w:r>
        <w:rPr>
          <w:rFonts w:hint="cs"/>
          <w:sz w:val="24"/>
          <w:szCs w:val="24"/>
          <w:rtl/>
        </w:rPr>
        <w:t xml:space="preserve">. </w:t>
      </w:r>
      <w:r w:rsidRPr="001D09E6">
        <w:rPr>
          <w:sz w:val="24"/>
          <w:szCs w:val="24"/>
          <w:rtl/>
        </w:rPr>
        <w:t xml:space="preserve">והיתה זאת לכם לחקת עולם לכפר </w:t>
      </w:r>
      <w:r>
        <w:rPr>
          <w:sz w:val="24"/>
          <w:szCs w:val="24"/>
          <w:rtl/>
        </w:rPr>
        <w:t>על בני ישראל מכל חטאתם אחת בשנה</w:t>
      </w:r>
      <w:r>
        <w:rPr>
          <w:rFonts w:hint="cs"/>
          <w:sz w:val="24"/>
          <w:szCs w:val="24"/>
          <w:rtl/>
        </w:rPr>
        <w:t>.</w:t>
      </w:r>
      <w:r>
        <w:rPr>
          <w:sz w:val="24"/>
          <w:szCs w:val="24"/>
          <w:rtl/>
        </w:rPr>
        <w:tab/>
      </w:r>
      <w:r>
        <w:rPr>
          <w:sz w:val="24"/>
          <w:szCs w:val="24"/>
          <w:rtl/>
        </w:rPr>
        <w:tab/>
      </w:r>
      <w:r>
        <w:rPr>
          <w:rFonts w:hint="cs"/>
          <w:sz w:val="24"/>
          <w:szCs w:val="24"/>
          <w:rtl/>
        </w:rPr>
        <w:t xml:space="preserve">     </w:t>
      </w:r>
      <w:r>
        <w:rPr>
          <w:rFonts w:hint="cs"/>
          <w:sz w:val="20"/>
          <w:szCs w:val="20"/>
          <w:rtl/>
        </w:rPr>
        <w:t>[שם, ו-לד]</w:t>
      </w:r>
    </w:p>
    <w:p w:rsidR="00E064B4" w:rsidRDefault="00E064B4" w:rsidP="00E064B4">
      <w:pPr>
        <w:spacing w:before="200" w:line="276" w:lineRule="exact"/>
        <w:ind w:firstLine="227"/>
        <w:rPr>
          <w:sz w:val="24"/>
          <w:szCs w:val="24"/>
          <w:rtl/>
        </w:rPr>
      </w:pPr>
      <w:r>
        <w:rPr>
          <w:rFonts w:hint="cs"/>
          <w:sz w:val="24"/>
          <w:szCs w:val="24"/>
          <w:rtl/>
        </w:rPr>
        <w:t xml:space="preserve">בפסוקים אלו מבואר כי מגמת עבודות אלו </w:t>
      </w:r>
      <w:r>
        <w:rPr>
          <w:sz w:val="24"/>
          <w:szCs w:val="24"/>
          <w:rtl/>
        </w:rPr>
        <w:t>–</w:t>
      </w:r>
      <w:r>
        <w:rPr>
          <w:rFonts w:hint="cs"/>
          <w:sz w:val="24"/>
          <w:szCs w:val="24"/>
          <w:rtl/>
        </w:rPr>
        <w:t xml:space="preserve"> שחלק מרכזי מהן נעשה בקודש הקדשים </w:t>
      </w:r>
      <w:r>
        <w:rPr>
          <w:sz w:val="24"/>
          <w:szCs w:val="24"/>
          <w:rtl/>
        </w:rPr>
        <w:t>–</w:t>
      </w:r>
      <w:r>
        <w:rPr>
          <w:rFonts w:hint="cs"/>
          <w:sz w:val="24"/>
          <w:szCs w:val="24"/>
          <w:rtl/>
        </w:rPr>
        <w:t xml:space="preserve"> היא כפרת הקודש, אוהל מועד, הכהנים והעם. לפי זה, עבודות אלו אינן באות כדי לאפשר את הכניסה לקודש הקדשים, אלא להיפך: הכניסה לקודש הקדשים נעשית כדי לקיים עבודות אלו ובאמצעותן לכפר על הקודש. </w:t>
      </w:r>
    </w:p>
    <w:p w:rsidR="00E064B4" w:rsidRDefault="00E064B4" w:rsidP="00E064B4">
      <w:pPr>
        <w:spacing w:before="200" w:line="276" w:lineRule="exact"/>
        <w:ind w:firstLine="227"/>
        <w:rPr>
          <w:sz w:val="24"/>
          <w:szCs w:val="24"/>
          <w:rtl/>
        </w:rPr>
      </w:pPr>
    </w:p>
    <w:p w:rsidR="00E064B4" w:rsidRDefault="00E064B4" w:rsidP="00E064B4">
      <w:pPr>
        <w:spacing w:before="200" w:line="276" w:lineRule="exact"/>
        <w:ind w:firstLine="227"/>
        <w:rPr>
          <w:sz w:val="24"/>
          <w:szCs w:val="24"/>
          <w:rtl/>
        </w:rPr>
      </w:pPr>
      <w:r>
        <w:rPr>
          <w:rFonts w:hint="cs"/>
          <w:sz w:val="24"/>
          <w:szCs w:val="24"/>
          <w:rtl/>
        </w:rPr>
        <w:t xml:space="preserve">נראה כי מגמות אלו אינן סותרות זו את זו, אלא קיימות שתיהן זו לצד זו. מחד, 'סדר העבודה' נעשה כדי לאפשר את הכניסה אל קודש הקדשים, גם שלא לשם כפרה; ומאידך, 'סדר העבודה' </w:t>
      </w:r>
      <w:r>
        <w:rPr>
          <w:sz w:val="24"/>
          <w:szCs w:val="24"/>
          <w:rtl/>
        </w:rPr>
        <w:t>–</w:t>
      </w:r>
      <w:r>
        <w:rPr>
          <w:rFonts w:hint="cs"/>
          <w:sz w:val="24"/>
          <w:szCs w:val="24"/>
          <w:rtl/>
        </w:rPr>
        <w:t xml:space="preserve"> ובכלל זה הכניסה לקודש הקדשים </w:t>
      </w:r>
      <w:r>
        <w:rPr>
          <w:sz w:val="24"/>
          <w:szCs w:val="24"/>
          <w:rtl/>
        </w:rPr>
        <w:t>–</w:t>
      </w:r>
      <w:r>
        <w:rPr>
          <w:rFonts w:hint="cs"/>
          <w:sz w:val="24"/>
          <w:szCs w:val="24"/>
          <w:rtl/>
        </w:rPr>
        <w:t xml:space="preserve"> נעשה לשם כפרת הקודש ולשם כפרת ישראל.</w:t>
      </w:r>
    </w:p>
    <w:p w:rsidR="00E064B4" w:rsidRDefault="00E064B4" w:rsidP="00E064B4">
      <w:pPr>
        <w:spacing w:before="200" w:line="276" w:lineRule="exact"/>
        <w:ind w:firstLine="227"/>
        <w:rPr>
          <w:sz w:val="24"/>
          <w:szCs w:val="24"/>
          <w:rtl/>
        </w:rPr>
      </w:pPr>
      <w:r>
        <w:rPr>
          <w:rFonts w:hint="cs"/>
          <w:sz w:val="24"/>
          <w:szCs w:val="24"/>
          <w:rtl/>
        </w:rPr>
        <w:t>הבנה זו עולה מתוך חידושו הגדול של הגר"א ביחס להיתר הכניסה לקודש הקדשים שלא ביום הכיפורים. המשנה במסכת כלים קובעת שהיתר הכניסה לקודש הקדשים מוגבל ליום הכיפורים בלבד:</w:t>
      </w:r>
    </w:p>
    <w:p w:rsidR="00E064B4" w:rsidRDefault="00E064B4" w:rsidP="00E064B4">
      <w:pPr>
        <w:spacing w:before="200" w:line="276" w:lineRule="exact"/>
        <w:ind w:firstLine="720"/>
        <w:rPr>
          <w:sz w:val="24"/>
          <w:szCs w:val="24"/>
          <w:rtl/>
        </w:rPr>
      </w:pPr>
      <w:r w:rsidRPr="00E9749C">
        <w:rPr>
          <w:sz w:val="24"/>
          <w:szCs w:val="24"/>
          <w:rtl/>
        </w:rPr>
        <w:t>ק</w:t>
      </w:r>
      <w:r>
        <w:rPr>
          <w:rFonts w:hint="cs"/>
          <w:sz w:val="24"/>
          <w:szCs w:val="24"/>
          <w:rtl/>
        </w:rPr>
        <w:t>ו</w:t>
      </w:r>
      <w:r w:rsidRPr="00E9749C">
        <w:rPr>
          <w:sz w:val="24"/>
          <w:szCs w:val="24"/>
          <w:rtl/>
        </w:rPr>
        <w:t>דש הקדשים מקודש מהם</w:t>
      </w:r>
      <w:r>
        <w:rPr>
          <w:rFonts w:hint="cs"/>
          <w:sz w:val="24"/>
          <w:szCs w:val="24"/>
          <w:rtl/>
        </w:rPr>
        <w:t>,</w:t>
      </w:r>
      <w:r w:rsidRPr="00E9749C">
        <w:rPr>
          <w:sz w:val="24"/>
          <w:szCs w:val="24"/>
          <w:rtl/>
        </w:rPr>
        <w:t xml:space="preserve"> שאין נכנס לשם אלא כהן גדול ביום הכ</w:t>
      </w:r>
      <w:r>
        <w:rPr>
          <w:rFonts w:hint="cs"/>
          <w:sz w:val="24"/>
          <w:szCs w:val="24"/>
          <w:rtl/>
        </w:rPr>
        <w:t>י</w:t>
      </w:r>
      <w:r w:rsidRPr="00E9749C">
        <w:rPr>
          <w:sz w:val="24"/>
          <w:szCs w:val="24"/>
          <w:rtl/>
        </w:rPr>
        <w:t>פורים בשעת העבודה</w:t>
      </w:r>
      <w:r>
        <w:rPr>
          <w:rFonts w:hint="cs"/>
          <w:sz w:val="24"/>
          <w:szCs w:val="24"/>
          <w:rtl/>
        </w:rPr>
        <w:t>.</w:t>
      </w:r>
    </w:p>
    <w:p w:rsidR="00E064B4" w:rsidRDefault="00E064B4" w:rsidP="00E064B4">
      <w:pPr>
        <w:spacing w:before="200" w:line="276" w:lineRule="exact"/>
        <w:ind w:firstLine="720"/>
        <w:jc w:val="right"/>
        <w:rPr>
          <w:sz w:val="24"/>
          <w:szCs w:val="24"/>
          <w:rtl/>
        </w:rPr>
      </w:pPr>
      <w:r>
        <w:rPr>
          <w:rFonts w:hint="cs"/>
          <w:sz w:val="20"/>
          <w:szCs w:val="20"/>
          <w:rtl/>
        </w:rPr>
        <w:t>[כלים פ"א מ"ט]</w:t>
      </w:r>
    </w:p>
    <w:p w:rsidR="00E064B4" w:rsidRDefault="00E064B4" w:rsidP="00E064B4">
      <w:pPr>
        <w:spacing w:before="200" w:line="276" w:lineRule="exact"/>
        <w:ind w:firstLine="227"/>
        <w:rPr>
          <w:sz w:val="24"/>
          <w:szCs w:val="24"/>
          <w:rtl/>
        </w:rPr>
      </w:pPr>
      <w:r>
        <w:rPr>
          <w:rFonts w:hint="cs"/>
          <w:sz w:val="24"/>
          <w:szCs w:val="24"/>
          <w:rtl/>
        </w:rPr>
        <w:t>אולם הגר"א מחדש שקיים בעניין זה הבדל בין אהרן הכהן לשאר הכהנים הגדולים:</w:t>
      </w:r>
    </w:p>
    <w:p w:rsidR="00E064B4" w:rsidRDefault="00E064B4" w:rsidP="00E064B4">
      <w:pPr>
        <w:spacing w:before="200" w:line="276" w:lineRule="exact"/>
        <w:ind w:left="720"/>
        <w:rPr>
          <w:sz w:val="20"/>
          <w:szCs w:val="20"/>
          <w:rtl/>
        </w:rPr>
      </w:pPr>
      <w:r w:rsidRPr="00F462BE">
        <w:rPr>
          <w:sz w:val="24"/>
          <w:szCs w:val="24"/>
          <w:rtl/>
        </w:rPr>
        <w:lastRenderedPageBreak/>
        <w:t>שדוקא שאר כהנים גדולים אסורים לכנוס לקדשי קדשים אלא ביום הכפורים, אבל אהרן היה מותר לכנוס בכל שעה ושעה רק שיכנוס בסדר העבודה שנאמר בפרשה זו.</w:t>
      </w:r>
      <w:r>
        <w:rPr>
          <w:rFonts w:hint="cs"/>
          <w:sz w:val="24"/>
          <w:szCs w:val="24"/>
          <w:rtl/>
        </w:rPr>
        <w:t xml:space="preserve"> </w:t>
      </w:r>
    </w:p>
    <w:p w:rsidR="00E064B4" w:rsidRPr="00F462BE" w:rsidRDefault="00E064B4" w:rsidP="00E064B4">
      <w:pPr>
        <w:spacing w:before="200" w:line="276" w:lineRule="exact"/>
        <w:ind w:left="720"/>
        <w:jc w:val="right"/>
        <w:rPr>
          <w:sz w:val="20"/>
          <w:szCs w:val="20"/>
          <w:rtl/>
        </w:rPr>
      </w:pPr>
      <w:r>
        <w:rPr>
          <w:rFonts w:hint="cs"/>
          <w:sz w:val="20"/>
          <w:szCs w:val="20"/>
          <w:rtl/>
        </w:rPr>
        <w:t>[חכמת אדם סוף הלכות אבלות]</w:t>
      </w:r>
    </w:p>
    <w:p w:rsidR="00E064B4" w:rsidRDefault="00E064B4" w:rsidP="00E064B4">
      <w:pPr>
        <w:spacing w:before="200" w:line="276" w:lineRule="exact"/>
        <w:ind w:firstLine="227"/>
        <w:rPr>
          <w:sz w:val="24"/>
          <w:szCs w:val="24"/>
          <w:rtl/>
        </w:rPr>
      </w:pPr>
      <w:r>
        <w:rPr>
          <w:rFonts w:hint="cs"/>
          <w:sz w:val="24"/>
          <w:szCs w:val="24"/>
          <w:rtl/>
        </w:rPr>
        <w:t>לדברי הגר"א, הגבלת מועד הכניסה אל קודש הקדשים ליום הכיפורים, אמורה רק לכהנים הגדולים שכיהנו אחרי אהרן הכהן. לאהרן הכהן הותרה הכניסה לקודש הקדשים בכל עת, אלא שקודם לכך היה עליו לעשות את העבודות האמורות בפרשייה זו</w:t>
      </w:r>
      <w:r>
        <w:rPr>
          <w:rStyle w:val="a7"/>
          <w:sz w:val="24"/>
          <w:szCs w:val="24"/>
          <w:rtl/>
        </w:rPr>
        <w:footnoteReference w:id="2"/>
      </w:r>
      <w:r>
        <w:rPr>
          <w:rFonts w:hint="cs"/>
          <w:sz w:val="24"/>
          <w:szCs w:val="24"/>
          <w:rtl/>
        </w:rPr>
        <w:t>.</w:t>
      </w:r>
    </w:p>
    <w:p w:rsidR="00E064B4" w:rsidRDefault="00E064B4" w:rsidP="00E064B4">
      <w:pPr>
        <w:spacing w:before="200" w:line="276" w:lineRule="exact"/>
        <w:ind w:firstLine="227"/>
        <w:rPr>
          <w:sz w:val="24"/>
          <w:szCs w:val="24"/>
          <w:rtl/>
        </w:rPr>
      </w:pPr>
      <w:r>
        <w:rPr>
          <w:rFonts w:hint="cs"/>
          <w:sz w:val="24"/>
          <w:szCs w:val="24"/>
          <w:rtl/>
        </w:rPr>
        <w:t>דברי הגר"א מבוססים על ההבנה דלעיל שיש לסדר העבודה שתי מגמות: גם היתר הכניסה לקודש הקדשים, וגם כפרה על העם והמקדש. בהתאם לכך, לאהרן הכהן הותרה הכניסה לקודש הקדשים באמצעות עבודות אלו גם שלא ביום הכיפורים.</w:t>
      </w:r>
    </w:p>
    <w:p w:rsidR="00E064B4" w:rsidRDefault="00E064B4" w:rsidP="00E064B4">
      <w:pPr>
        <w:spacing w:before="200" w:line="276" w:lineRule="exact"/>
        <w:ind w:firstLine="227"/>
        <w:rPr>
          <w:sz w:val="24"/>
          <w:szCs w:val="24"/>
          <w:rtl/>
        </w:rPr>
      </w:pPr>
    </w:p>
    <w:p w:rsidR="00E064B4" w:rsidRDefault="00E064B4" w:rsidP="00E064B4">
      <w:pPr>
        <w:spacing w:before="200" w:line="276" w:lineRule="exact"/>
        <w:ind w:firstLine="227"/>
        <w:rPr>
          <w:sz w:val="24"/>
          <w:szCs w:val="24"/>
          <w:rtl/>
        </w:rPr>
      </w:pPr>
      <w:r>
        <w:rPr>
          <w:rFonts w:hint="cs"/>
          <w:sz w:val="24"/>
          <w:szCs w:val="24"/>
          <w:rtl/>
        </w:rPr>
        <w:t>דברי הגר"א מבוססים על הנאמר במדרש רבה:</w:t>
      </w:r>
    </w:p>
    <w:p w:rsidR="00E064B4" w:rsidRDefault="00E064B4" w:rsidP="00E064B4">
      <w:pPr>
        <w:spacing w:before="200" w:line="276" w:lineRule="exact"/>
        <w:ind w:left="720"/>
        <w:rPr>
          <w:sz w:val="24"/>
          <w:szCs w:val="24"/>
          <w:rtl/>
        </w:rPr>
      </w:pPr>
      <w:r>
        <w:rPr>
          <w:sz w:val="24"/>
          <w:szCs w:val="24"/>
          <w:rtl/>
        </w:rPr>
        <w:t>אמ</w:t>
      </w:r>
      <w:r>
        <w:rPr>
          <w:rFonts w:hint="cs"/>
          <w:sz w:val="24"/>
          <w:szCs w:val="24"/>
          <w:rtl/>
        </w:rPr>
        <w:t>ר</w:t>
      </w:r>
      <w:r w:rsidRPr="00062D21">
        <w:rPr>
          <w:sz w:val="24"/>
          <w:szCs w:val="24"/>
          <w:rtl/>
        </w:rPr>
        <w:t xml:space="preserve"> ר</w:t>
      </w:r>
      <w:r>
        <w:rPr>
          <w:rFonts w:hint="cs"/>
          <w:sz w:val="24"/>
          <w:szCs w:val="24"/>
          <w:rtl/>
        </w:rPr>
        <w:t>בי</w:t>
      </w:r>
      <w:r>
        <w:rPr>
          <w:sz w:val="24"/>
          <w:szCs w:val="24"/>
          <w:rtl/>
        </w:rPr>
        <w:t xml:space="preserve"> יהודה בר</w:t>
      </w:r>
      <w:r>
        <w:rPr>
          <w:rFonts w:hint="cs"/>
          <w:sz w:val="24"/>
          <w:szCs w:val="24"/>
          <w:rtl/>
        </w:rPr>
        <w:t>בי</w:t>
      </w:r>
      <w:r>
        <w:rPr>
          <w:sz w:val="24"/>
          <w:szCs w:val="24"/>
          <w:rtl/>
        </w:rPr>
        <w:t xml:space="preserve"> סימ</w:t>
      </w:r>
      <w:r>
        <w:rPr>
          <w:rFonts w:hint="cs"/>
          <w:sz w:val="24"/>
          <w:szCs w:val="24"/>
          <w:rtl/>
        </w:rPr>
        <w:t>ון:</w:t>
      </w:r>
      <w:r>
        <w:rPr>
          <w:sz w:val="24"/>
          <w:szCs w:val="24"/>
          <w:rtl/>
        </w:rPr>
        <w:t xml:space="preserve"> צער גדול היה לו למשה בדבר הזה</w:t>
      </w:r>
      <w:r>
        <w:rPr>
          <w:rFonts w:hint="cs"/>
          <w:sz w:val="24"/>
          <w:szCs w:val="24"/>
          <w:rtl/>
        </w:rPr>
        <w:t>,</w:t>
      </w:r>
      <w:r>
        <w:rPr>
          <w:sz w:val="24"/>
          <w:szCs w:val="24"/>
          <w:rtl/>
        </w:rPr>
        <w:t xml:space="preserve"> אמ</w:t>
      </w:r>
      <w:r>
        <w:rPr>
          <w:rFonts w:hint="cs"/>
          <w:sz w:val="24"/>
          <w:szCs w:val="24"/>
          <w:rtl/>
        </w:rPr>
        <w:t>ר</w:t>
      </w:r>
      <w:r w:rsidRPr="00062D21">
        <w:rPr>
          <w:sz w:val="24"/>
          <w:szCs w:val="24"/>
          <w:rtl/>
        </w:rPr>
        <w:t xml:space="preserve"> אוי לי שמא נדחף אהרן ממחיצתו</w:t>
      </w:r>
      <w:r>
        <w:rPr>
          <w:rFonts w:hint="cs"/>
          <w:sz w:val="24"/>
          <w:szCs w:val="24"/>
          <w:rtl/>
        </w:rPr>
        <w:t>...</w:t>
      </w:r>
      <w:r>
        <w:rPr>
          <w:sz w:val="24"/>
          <w:szCs w:val="24"/>
          <w:rtl/>
        </w:rPr>
        <w:t xml:space="preserve"> אמ</w:t>
      </w:r>
      <w:r>
        <w:rPr>
          <w:rFonts w:hint="cs"/>
          <w:sz w:val="24"/>
          <w:szCs w:val="24"/>
          <w:rtl/>
        </w:rPr>
        <w:t>ר</w:t>
      </w:r>
      <w:r w:rsidRPr="00062D21">
        <w:rPr>
          <w:sz w:val="24"/>
          <w:szCs w:val="24"/>
          <w:rtl/>
        </w:rPr>
        <w:t xml:space="preserve"> לו הקדוש ברוך הוא למשה</w:t>
      </w:r>
      <w:r>
        <w:rPr>
          <w:rFonts w:hint="cs"/>
          <w:sz w:val="24"/>
          <w:szCs w:val="24"/>
          <w:rtl/>
        </w:rPr>
        <w:t>:</w:t>
      </w:r>
      <w:r w:rsidRPr="00062D21">
        <w:rPr>
          <w:sz w:val="24"/>
          <w:szCs w:val="24"/>
          <w:rtl/>
        </w:rPr>
        <w:t xml:space="preserve"> לא כשם שאת סבור, לא עת לשעה ולא עת ליום ולא עת לשנה ולא עת לשתים עשרה שנה ולא עת לשבעים שנה ולא עת לעולם, </w:t>
      </w:r>
      <w:r w:rsidRPr="00705A25">
        <w:rPr>
          <w:b/>
          <w:bCs/>
          <w:sz w:val="24"/>
          <w:szCs w:val="24"/>
          <w:rtl/>
        </w:rPr>
        <w:t>אלא בכל שעה שהוא רוצה ליכנס יכנס, ובלבד שיהא נכנס כסדר הזה</w:t>
      </w:r>
      <w:r w:rsidRPr="00062D21">
        <w:rPr>
          <w:sz w:val="24"/>
          <w:szCs w:val="24"/>
          <w:rtl/>
        </w:rPr>
        <w:t>.</w:t>
      </w:r>
      <w:r>
        <w:rPr>
          <w:rFonts w:hint="cs"/>
          <w:sz w:val="24"/>
          <w:szCs w:val="24"/>
          <w:rtl/>
        </w:rPr>
        <w:t xml:space="preserve">       </w:t>
      </w:r>
      <w:r>
        <w:rPr>
          <w:rFonts w:hint="cs"/>
          <w:sz w:val="20"/>
          <w:szCs w:val="20"/>
          <w:rtl/>
        </w:rPr>
        <w:t>[ויקרא רבה כא, ז]</w:t>
      </w:r>
    </w:p>
    <w:p w:rsidR="00E064B4" w:rsidRDefault="00E064B4" w:rsidP="00E064B4">
      <w:pPr>
        <w:spacing w:before="200" w:line="276" w:lineRule="exact"/>
        <w:ind w:firstLine="227"/>
        <w:rPr>
          <w:sz w:val="24"/>
          <w:szCs w:val="24"/>
          <w:rtl/>
        </w:rPr>
      </w:pPr>
      <w:r>
        <w:rPr>
          <w:rFonts w:hint="cs"/>
          <w:sz w:val="24"/>
          <w:szCs w:val="24"/>
          <w:rtl/>
        </w:rPr>
        <w:t>מדברי המדרש עולה שהכניסה אל הקודש הותרה לאהרן בכל זמן</w:t>
      </w:r>
      <w:r>
        <w:rPr>
          <w:rStyle w:val="a7"/>
          <w:sz w:val="24"/>
          <w:szCs w:val="24"/>
          <w:rtl/>
        </w:rPr>
        <w:footnoteReference w:id="3"/>
      </w:r>
      <w:r>
        <w:rPr>
          <w:rFonts w:hint="cs"/>
          <w:sz w:val="24"/>
          <w:szCs w:val="24"/>
          <w:rtl/>
        </w:rPr>
        <w:t>, אלא שהיה עליו להקדים את סדר העבודה המפורט בפרשייה</w:t>
      </w:r>
      <w:r>
        <w:rPr>
          <w:rStyle w:val="a7"/>
          <w:sz w:val="24"/>
          <w:szCs w:val="24"/>
          <w:rtl/>
        </w:rPr>
        <w:footnoteReference w:id="4"/>
      </w:r>
      <w:r>
        <w:rPr>
          <w:rFonts w:hint="cs"/>
          <w:sz w:val="24"/>
          <w:szCs w:val="24"/>
          <w:rtl/>
        </w:rPr>
        <w:t xml:space="preserve">. </w:t>
      </w:r>
    </w:p>
    <w:p w:rsidR="00E064B4" w:rsidRDefault="00E064B4" w:rsidP="00E064B4">
      <w:pPr>
        <w:spacing w:before="200" w:line="276" w:lineRule="exact"/>
        <w:ind w:firstLine="227"/>
        <w:rPr>
          <w:sz w:val="24"/>
          <w:szCs w:val="24"/>
          <w:rtl/>
        </w:rPr>
      </w:pPr>
      <w:r>
        <w:rPr>
          <w:rFonts w:hint="cs"/>
          <w:sz w:val="24"/>
          <w:szCs w:val="24"/>
          <w:rtl/>
        </w:rPr>
        <w:t>עם זאת, במדרש הגדול מופיעה שיטה שונה:</w:t>
      </w:r>
    </w:p>
    <w:p w:rsidR="00E064B4" w:rsidRDefault="00E064B4" w:rsidP="00E064B4">
      <w:pPr>
        <w:spacing w:before="200" w:line="276" w:lineRule="exact"/>
        <w:ind w:left="720"/>
        <w:rPr>
          <w:sz w:val="24"/>
          <w:szCs w:val="24"/>
          <w:rtl/>
        </w:rPr>
      </w:pPr>
      <w:r>
        <w:rPr>
          <w:rFonts w:hint="cs"/>
          <w:sz w:val="24"/>
          <w:szCs w:val="24"/>
          <w:rtl/>
        </w:rPr>
        <w:t xml:space="preserve">דבר אל אהרן אחיך וכו' </w:t>
      </w:r>
      <w:r>
        <w:rPr>
          <w:sz w:val="24"/>
          <w:szCs w:val="24"/>
          <w:rtl/>
        </w:rPr>
        <w:t>–</w:t>
      </w:r>
      <w:r>
        <w:rPr>
          <w:rFonts w:hint="cs"/>
          <w:sz w:val="24"/>
          <w:szCs w:val="24"/>
          <w:rtl/>
        </w:rPr>
        <w:t xml:space="preserve"> </w:t>
      </w:r>
      <w:r w:rsidRPr="00F978D8">
        <w:rPr>
          <w:sz w:val="24"/>
          <w:szCs w:val="24"/>
          <w:rtl/>
        </w:rPr>
        <w:t>יכול אימתי שירצה יביא כסדר הזה ויבוא? דבר הלמוד מסופו: 'אחת בשנה' – אחת בשנה הוא נכנס, אינו נכנס כל זמן שירצה.</w:t>
      </w:r>
      <w:r>
        <w:rPr>
          <w:sz w:val="24"/>
          <w:szCs w:val="24"/>
          <w:rtl/>
        </w:rPr>
        <w:tab/>
      </w:r>
      <w:r>
        <w:rPr>
          <w:rFonts w:hint="cs"/>
          <w:sz w:val="20"/>
          <w:szCs w:val="20"/>
          <w:rtl/>
        </w:rPr>
        <w:t>[מדרש הגדול ויקרא א, ב]</w:t>
      </w:r>
    </w:p>
    <w:p w:rsidR="00E064B4" w:rsidRDefault="00E064B4" w:rsidP="00E064B4">
      <w:pPr>
        <w:spacing w:before="200" w:line="276" w:lineRule="exact"/>
        <w:ind w:firstLine="266"/>
        <w:rPr>
          <w:sz w:val="24"/>
          <w:szCs w:val="24"/>
          <w:rtl/>
        </w:rPr>
      </w:pPr>
      <w:r>
        <w:rPr>
          <w:rFonts w:hint="cs"/>
          <w:sz w:val="24"/>
          <w:szCs w:val="24"/>
          <w:rtl/>
        </w:rPr>
        <w:t xml:space="preserve">לפי מדרש זה, הכניסה לקודש הקדשים הותרה, גם לאהרן הכהן, רק "אחת בשנה" </w:t>
      </w:r>
      <w:r>
        <w:rPr>
          <w:sz w:val="24"/>
          <w:szCs w:val="24"/>
          <w:rtl/>
        </w:rPr>
        <w:t>–</w:t>
      </w:r>
      <w:r>
        <w:rPr>
          <w:rFonts w:hint="cs"/>
          <w:sz w:val="24"/>
          <w:szCs w:val="24"/>
          <w:rtl/>
        </w:rPr>
        <w:t xml:space="preserve"> ביום הכיפורים לצורך עבודות הכפרה הנעשות ביום זה. </w:t>
      </w:r>
    </w:p>
    <w:p w:rsidR="00E064B4" w:rsidRDefault="00E064B4" w:rsidP="00E064B4">
      <w:pPr>
        <w:spacing w:before="200" w:line="276" w:lineRule="exact"/>
        <w:ind w:firstLine="227"/>
        <w:rPr>
          <w:sz w:val="24"/>
          <w:szCs w:val="24"/>
          <w:rtl/>
        </w:rPr>
      </w:pPr>
      <w:r>
        <w:rPr>
          <w:rFonts w:hint="cs"/>
          <w:sz w:val="24"/>
          <w:szCs w:val="24"/>
          <w:rtl/>
        </w:rPr>
        <w:t>ובשיטה זו נוקטים רש"י והרמב"ן:</w:t>
      </w:r>
    </w:p>
    <w:p w:rsidR="00E064B4" w:rsidRDefault="00E064B4" w:rsidP="00E064B4">
      <w:pPr>
        <w:spacing w:before="200" w:line="276" w:lineRule="exact"/>
        <w:ind w:left="720"/>
        <w:rPr>
          <w:sz w:val="24"/>
          <w:szCs w:val="24"/>
          <w:rtl/>
        </w:rPr>
      </w:pPr>
      <w:r>
        <w:rPr>
          <w:sz w:val="24"/>
          <w:szCs w:val="24"/>
          <w:rtl/>
        </w:rPr>
        <w:t>בזאת יבא אהרן וגו' –</w:t>
      </w:r>
      <w:r>
        <w:rPr>
          <w:rFonts w:hint="cs"/>
          <w:sz w:val="24"/>
          <w:szCs w:val="24"/>
          <w:rtl/>
        </w:rPr>
        <w:t xml:space="preserve"> </w:t>
      </w:r>
      <w:r w:rsidRPr="00EE490C">
        <w:rPr>
          <w:b/>
          <w:bCs/>
          <w:sz w:val="24"/>
          <w:szCs w:val="24"/>
          <w:rtl/>
        </w:rPr>
        <w:t>ואף זו לא בכל עת, כי אם ביום הכיפורים</w:t>
      </w:r>
      <w:r>
        <w:rPr>
          <w:sz w:val="24"/>
          <w:szCs w:val="24"/>
          <w:rtl/>
        </w:rPr>
        <w:t>, כמו שמפורש בסוף הפרשה</w:t>
      </w:r>
      <w:r>
        <w:rPr>
          <w:rFonts w:hint="cs"/>
          <w:sz w:val="24"/>
          <w:szCs w:val="24"/>
          <w:rtl/>
        </w:rPr>
        <w:t>: '</w:t>
      </w:r>
      <w:r w:rsidRPr="00BB30D7">
        <w:rPr>
          <w:sz w:val="24"/>
          <w:szCs w:val="24"/>
          <w:rtl/>
        </w:rPr>
        <w:t>בחדש השביעי בעשור לחודש</w:t>
      </w:r>
      <w:r>
        <w:rPr>
          <w:rFonts w:hint="cs"/>
          <w:sz w:val="24"/>
          <w:szCs w:val="24"/>
          <w:rtl/>
        </w:rPr>
        <w:t xml:space="preserve">'. </w:t>
      </w:r>
      <w:r>
        <w:rPr>
          <w:sz w:val="20"/>
          <w:szCs w:val="20"/>
          <w:rtl/>
        </w:rPr>
        <w:tab/>
      </w:r>
      <w:r>
        <w:rPr>
          <w:sz w:val="20"/>
          <w:szCs w:val="20"/>
          <w:rtl/>
        </w:rPr>
        <w:tab/>
      </w:r>
      <w:r>
        <w:rPr>
          <w:sz w:val="20"/>
          <w:szCs w:val="20"/>
          <w:rtl/>
        </w:rPr>
        <w:tab/>
      </w:r>
      <w:r>
        <w:rPr>
          <w:sz w:val="20"/>
          <w:szCs w:val="20"/>
          <w:rtl/>
        </w:rPr>
        <w:tab/>
      </w:r>
      <w:r>
        <w:rPr>
          <w:sz w:val="20"/>
          <w:szCs w:val="20"/>
          <w:rtl/>
        </w:rPr>
        <w:tab/>
      </w:r>
      <w:r>
        <w:rPr>
          <w:rFonts w:hint="cs"/>
          <w:sz w:val="20"/>
          <w:szCs w:val="20"/>
          <w:rtl/>
        </w:rPr>
        <w:t xml:space="preserve">    [רש"י שם, ג]</w:t>
      </w:r>
    </w:p>
    <w:p w:rsidR="00E064B4" w:rsidRDefault="00E064B4" w:rsidP="00E064B4">
      <w:pPr>
        <w:spacing w:before="200" w:line="276" w:lineRule="exact"/>
        <w:ind w:left="720"/>
        <w:rPr>
          <w:sz w:val="24"/>
          <w:szCs w:val="24"/>
          <w:rtl/>
        </w:rPr>
      </w:pPr>
      <w:r w:rsidRPr="00BB30D7">
        <w:rPr>
          <w:sz w:val="24"/>
          <w:szCs w:val="24"/>
          <w:rtl/>
        </w:rPr>
        <w:lastRenderedPageBreak/>
        <w:t xml:space="preserve">וטעם בכל עת </w:t>
      </w:r>
      <w:r>
        <w:rPr>
          <w:sz w:val="24"/>
          <w:szCs w:val="24"/>
          <w:rtl/>
        </w:rPr>
        <w:t>–</w:t>
      </w:r>
      <w:r>
        <w:rPr>
          <w:rFonts w:hint="cs"/>
          <w:sz w:val="24"/>
          <w:szCs w:val="24"/>
          <w:rtl/>
        </w:rPr>
        <w:t xml:space="preserve"> </w:t>
      </w:r>
      <w:r w:rsidRPr="00BB30D7">
        <w:rPr>
          <w:sz w:val="24"/>
          <w:szCs w:val="24"/>
          <w:rtl/>
        </w:rPr>
        <w:t>בעבור שכבר הזכיר יום הכ</w:t>
      </w:r>
      <w:r>
        <w:rPr>
          <w:rFonts w:hint="cs"/>
          <w:sz w:val="24"/>
          <w:szCs w:val="24"/>
          <w:rtl/>
        </w:rPr>
        <w:t>י</w:t>
      </w:r>
      <w:r w:rsidRPr="00BB30D7">
        <w:rPr>
          <w:sz w:val="24"/>
          <w:szCs w:val="24"/>
          <w:rtl/>
        </w:rPr>
        <w:t xml:space="preserve">פורים, שאמר </w:t>
      </w:r>
      <w:r>
        <w:rPr>
          <w:rFonts w:hint="cs"/>
          <w:sz w:val="24"/>
          <w:szCs w:val="24"/>
          <w:rtl/>
        </w:rPr>
        <w:t>'</w:t>
      </w:r>
      <w:r w:rsidRPr="00BB30D7">
        <w:rPr>
          <w:sz w:val="24"/>
          <w:szCs w:val="24"/>
          <w:rtl/>
        </w:rPr>
        <w:t>וכפר אהרן על קרנותיו אחת בשנה</w:t>
      </w:r>
      <w:r>
        <w:rPr>
          <w:rFonts w:hint="cs"/>
          <w:sz w:val="24"/>
          <w:szCs w:val="24"/>
          <w:rtl/>
        </w:rPr>
        <w:t>'</w:t>
      </w:r>
      <w:r w:rsidRPr="00BB30D7">
        <w:rPr>
          <w:sz w:val="24"/>
          <w:szCs w:val="24"/>
          <w:rtl/>
        </w:rPr>
        <w:t xml:space="preserve">, אמר בכאן </w:t>
      </w:r>
      <w:r w:rsidRPr="00EE490C">
        <w:rPr>
          <w:b/>
          <w:bCs/>
          <w:sz w:val="24"/>
          <w:szCs w:val="24"/>
          <w:rtl/>
        </w:rPr>
        <w:t xml:space="preserve">לא יבא בשום עת אל הקדש רק </w:t>
      </w:r>
      <w:r w:rsidRPr="00EE490C">
        <w:rPr>
          <w:rFonts w:hint="cs"/>
          <w:b/>
          <w:bCs/>
          <w:sz w:val="24"/>
          <w:szCs w:val="24"/>
          <w:rtl/>
        </w:rPr>
        <w:t>'</w:t>
      </w:r>
      <w:r w:rsidRPr="00EE490C">
        <w:rPr>
          <w:b/>
          <w:bCs/>
          <w:sz w:val="24"/>
          <w:szCs w:val="24"/>
          <w:rtl/>
        </w:rPr>
        <w:t>בזאת</w:t>
      </w:r>
      <w:r w:rsidRPr="00EE490C">
        <w:rPr>
          <w:rFonts w:hint="cs"/>
          <w:b/>
          <w:bCs/>
          <w:sz w:val="24"/>
          <w:szCs w:val="24"/>
          <w:rtl/>
        </w:rPr>
        <w:t>'</w:t>
      </w:r>
      <w:r w:rsidRPr="00EE490C">
        <w:rPr>
          <w:b/>
          <w:bCs/>
          <w:sz w:val="24"/>
          <w:szCs w:val="24"/>
          <w:rtl/>
        </w:rPr>
        <w:t>, כלומר ביום אשר יקריב הקרבנות האלה לכ</w:t>
      </w:r>
      <w:r>
        <w:rPr>
          <w:rFonts w:hint="cs"/>
          <w:b/>
          <w:bCs/>
          <w:sz w:val="24"/>
          <w:szCs w:val="24"/>
          <w:rtl/>
        </w:rPr>
        <w:t>י</w:t>
      </w:r>
      <w:r w:rsidRPr="00EE490C">
        <w:rPr>
          <w:b/>
          <w:bCs/>
          <w:sz w:val="24"/>
          <w:szCs w:val="24"/>
          <w:rtl/>
        </w:rPr>
        <w:t>פורים</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[רמב"ן שם, ב]</w:t>
      </w:r>
      <w:r w:rsidRPr="008E44A9">
        <w:rPr>
          <w:rStyle w:val="a7"/>
          <w:sz w:val="24"/>
          <w:szCs w:val="24"/>
          <w:rtl/>
        </w:rPr>
        <w:footnoteReference w:id="5"/>
      </w:r>
    </w:p>
    <w:p w:rsidR="00E064B4" w:rsidRDefault="00E064B4" w:rsidP="00E064B4">
      <w:pPr>
        <w:spacing w:before="200" w:line="276" w:lineRule="exact"/>
        <w:ind w:firstLine="266"/>
        <w:rPr>
          <w:sz w:val="24"/>
          <w:szCs w:val="24"/>
          <w:rtl/>
        </w:rPr>
      </w:pPr>
    </w:p>
    <w:p w:rsidR="00E064B4" w:rsidRDefault="00E064B4" w:rsidP="00E064B4">
      <w:pPr>
        <w:spacing w:before="200" w:line="276" w:lineRule="exact"/>
        <w:ind w:firstLine="266"/>
        <w:rPr>
          <w:sz w:val="24"/>
          <w:szCs w:val="24"/>
          <w:rtl/>
        </w:rPr>
      </w:pPr>
      <w:r>
        <w:rPr>
          <w:rFonts w:hint="cs"/>
          <w:sz w:val="24"/>
          <w:szCs w:val="24"/>
          <w:rtl/>
        </w:rPr>
        <w:t xml:space="preserve">לעיל טענו שיש ל'סדר העבודה' מגמה כפולה: הוא נעשה גם כדי לאפשר את הכניסה אל קודש הקדשים, וגם כדי לכפר על הקודש ועל ישראל, וראינו כי דברי הגר"א מבוססים על הבנה זו. ייתכן עם זאת, ששיטת מדרש הגדול (בה נקטו רש"י והרמב"ן) חולקת על דברים אלו מיסודם, ולדידה 'סדר העבודה' בא רק כדי לכפר על המקדש ועל ישראל. על פי הבנה זו, כניסה לקודש הקדשים לצורך עבודות הכפרה ביום הכיפורים אינה צריכה היתר; שכן דווקא כניסת האדם </w:t>
      </w:r>
      <w:r w:rsidRPr="00B54AEE">
        <w:rPr>
          <w:rFonts w:hint="cs"/>
          <w:b/>
          <w:bCs/>
          <w:sz w:val="24"/>
          <w:szCs w:val="24"/>
          <w:rtl/>
        </w:rPr>
        <w:t>ביוזמתו</w:t>
      </w:r>
      <w:r>
        <w:rPr>
          <w:rFonts w:hint="cs"/>
          <w:sz w:val="24"/>
          <w:szCs w:val="24"/>
          <w:rtl/>
        </w:rPr>
        <w:t xml:space="preserve"> לקודש הקדשים מחייבת מיתה</w:t>
      </w:r>
      <w:r>
        <w:rPr>
          <w:rStyle w:val="a7"/>
          <w:sz w:val="24"/>
          <w:szCs w:val="24"/>
          <w:rtl/>
        </w:rPr>
        <w:footnoteReference w:id="6"/>
      </w:r>
      <w:r>
        <w:rPr>
          <w:rFonts w:hint="cs"/>
          <w:sz w:val="24"/>
          <w:szCs w:val="24"/>
          <w:rtl/>
        </w:rPr>
        <w:t xml:space="preserve">, אך כניסה לקודש הקדשים במסגרת עבודת הקודש הנעשית </w:t>
      </w:r>
      <w:r w:rsidRPr="00B54AEE">
        <w:rPr>
          <w:rFonts w:hint="cs"/>
          <w:b/>
          <w:bCs/>
          <w:sz w:val="24"/>
          <w:szCs w:val="24"/>
          <w:rtl/>
        </w:rPr>
        <w:t>בציוויו של מקום</w:t>
      </w:r>
      <w:r>
        <w:rPr>
          <w:rFonts w:hint="cs"/>
          <w:sz w:val="24"/>
          <w:szCs w:val="24"/>
          <w:rtl/>
        </w:rPr>
        <w:t xml:space="preserve"> אינה ממיתה אלא מביאה חיים וברכה. </w:t>
      </w:r>
    </w:p>
    <w:p w:rsidR="00E064B4" w:rsidRDefault="00E064B4" w:rsidP="00E064B4">
      <w:pPr>
        <w:spacing w:before="200" w:line="276" w:lineRule="exact"/>
        <w:ind w:firstLine="266"/>
        <w:rPr>
          <w:sz w:val="24"/>
          <w:szCs w:val="24"/>
          <w:rtl/>
        </w:rPr>
      </w:pPr>
      <w:r>
        <w:rPr>
          <w:rFonts w:hint="cs"/>
          <w:sz w:val="24"/>
          <w:szCs w:val="24"/>
          <w:rtl/>
        </w:rPr>
        <w:t xml:space="preserve">עם זאת, שיטת מדרש הגדול וסיעתו יכולה להתבאר באופן אחר. ייתכן וגם שיטה זו מודה כי יש ל'סדר העבודה' שתי מגמות שונות: גם היתר הכניסה לקודש הקדשים וגם עבודות כפרת הקודש וישראל. על פי הצעה זו, אמנם אין אפשרות להיכנס לקודש הקדשים שלא ביום הכיפורים במסגרת עבודות הכפרה, אך אף על פי כן </w:t>
      </w:r>
      <w:r>
        <w:rPr>
          <w:sz w:val="24"/>
          <w:szCs w:val="24"/>
          <w:rtl/>
        </w:rPr>
        <w:t>–</w:t>
      </w:r>
      <w:r>
        <w:rPr>
          <w:rFonts w:hint="cs"/>
          <w:sz w:val="24"/>
          <w:szCs w:val="24"/>
          <w:rtl/>
        </w:rPr>
        <w:t xml:space="preserve"> הכניסה לקודש הקדשים דורשת עבודות מיוחדות שיאפשרו את הכניסה למקום השראת השכינה. וכך, לסדר עבודות יום הכיפורים יש אופי כפול: הן גם מתירות את הכניסה לקודש הקדשים, וגם מכפרות על המקדש ועל ישראל.</w:t>
      </w:r>
    </w:p>
    <w:p w:rsidR="00E064B4" w:rsidRDefault="00E064B4" w:rsidP="00E064B4">
      <w:pPr>
        <w:spacing w:before="200" w:line="276" w:lineRule="exact"/>
        <w:ind w:firstLine="266"/>
        <w:rPr>
          <w:sz w:val="24"/>
          <w:szCs w:val="24"/>
          <w:rtl/>
        </w:rPr>
      </w:pPr>
    </w:p>
    <w:p w:rsidR="00E064B4" w:rsidRDefault="00E064B4" w:rsidP="00E064B4">
      <w:pPr>
        <w:spacing w:before="200" w:line="276" w:lineRule="auto"/>
        <w:ind w:firstLine="266"/>
        <w:rPr>
          <w:sz w:val="24"/>
          <w:szCs w:val="24"/>
          <w:rtl/>
        </w:rPr>
      </w:pPr>
      <w:r>
        <w:rPr>
          <w:rFonts w:hint="cs"/>
          <w:sz w:val="24"/>
          <w:szCs w:val="24"/>
          <w:rtl/>
        </w:rPr>
        <w:t xml:space="preserve">בדברינו עסקנו במהותן ומגמתן של עבודות יום הכיפורים: האם הן רק חלק מהליך הכפרה, או שיש להן משמעות נוספת </w:t>
      </w:r>
      <w:r>
        <w:rPr>
          <w:sz w:val="24"/>
          <w:szCs w:val="24"/>
          <w:rtl/>
        </w:rPr>
        <w:t>–</w:t>
      </w:r>
      <w:r>
        <w:rPr>
          <w:rFonts w:hint="cs"/>
          <w:sz w:val="24"/>
          <w:szCs w:val="24"/>
          <w:rtl/>
        </w:rPr>
        <w:t xml:space="preserve"> היתר הכניסה לקודש הקדשים. לסיום השיעור נעיר שתי הערות נוספות:</w:t>
      </w:r>
    </w:p>
    <w:p w:rsidR="00E064B4" w:rsidRDefault="00E064B4" w:rsidP="00E064B4">
      <w:pPr>
        <w:pStyle w:val="a8"/>
        <w:numPr>
          <w:ilvl w:val="0"/>
          <w:numId w:val="1"/>
        </w:numPr>
        <w:spacing w:before="200" w:line="276" w:lineRule="auto"/>
        <w:rPr>
          <w:sz w:val="24"/>
          <w:szCs w:val="24"/>
        </w:rPr>
      </w:pPr>
      <w:r w:rsidRPr="00703011">
        <w:rPr>
          <w:rFonts w:hint="cs"/>
          <w:sz w:val="24"/>
          <w:szCs w:val="24"/>
          <w:rtl/>
        </w:rPr>
        <w:t xml:space="preserve">עסקנו באופן כללי בעבודות הכפרה, אך </w:t>
      </w:r>
      <w:r>
        <w:rPr>
          <w:rFonts w:hint="cs"/>
          <w:sz w:val="24"/>
          <w:szCs w:val="24"/>
          <w:rtl/>
        </w:rPr>
        <w:t>הכתוב מלמד על</w:t>
      </w:r>
      <w:r w:rsidRPr="00703011">
        <w:rPr>
          <w:rFonts w:hint="cs"/>
          <w:sz w:val="24"/>
          <w:szCs w:val="24"/>
          <w:rtl/>
        </w:rPr>
        <w:t xml:space="preserve"> שלוש כפרות שונות הנעשות ביום הכיפורים </w:t>
      </w:r>
      <w:r w:rsidRPr="00703011">
        <w:rPr>
          <w:rFonts w:hint="cs"/>
          <w:sz w:val="20"/>
          <w:szCs w:val="20"/>
          <w:rtl/>
        </w:rPr>
        <w:t>[ויקרא טז, לג]</w:t>
      </w:r>
      <w:r w:rsidRPr="00703011">
        <w:rPr>
          <w:rFonts w:hint="cs"/>
          <w:sz w:val="24"/>
          <w:szCs w:val="24"/>
          <w:rtl/>
        </w:rPr>
        <w:t>: "</w:t>
      </w:r>
      <w:r w:rsidRPr="00703011">
        <w:rPr>
          <w:sz w:val="24"/>
          <w:szCs w:val="24"/>
          <w:rtl/>
        </w:rPr>
        <w:t>וכפר את מקדש הקדש ואת אהל מועד ואת המזבח יכפר</w:t>
      </w:r>
      <w:r w:rsidRPr="00703011">
        <w:rPr>
          <w:rFonts w:hint="cs"/>
          <w:sz w:val="24"/>
          <w:szCs w:val="24"/>
          <w:rtl/>
        </w:rPr>
        <w:t>,</w:t>
      </w:r>
      <w:r w:rsidRPr="00703011">
        <w:rPr>
          <w:sz w:val="24"/>
          <w:szCs w:val="24"/>
          <w:rtl/>
        </w:rPr>
        <w:t xml:space="preserve"> ועל הכהנים ועל כל עם הקהל יכפר</w:t>
      </w:r>
      <w:r w:rsidRPr="00703011">
        <w:rPr>
          <w:rFonts w:hint="cs"/>
          <w:sz w:val="24"/>
          <w:szCs w:val="24"/>
          <w:rtl/>
        </w:rPr>
        <w:t>". התורה מגדירה שביום הכיפורים הכהן הגדול מכפר גם על המקדש, גם על הכהנים וגם על ישראל. כפרות אלו נעשות על ידי קרבנות נפרדים: השעיר הנעשה בפנים (בן זוגו של השעיר המשתלח) מכפר על טומאת המקדש, הפר מכפר על הכהנים, והשעיר המשתלח מכפר על ישראל.</w:t>
      </w:r>
      <w:r>
        <w:rPr>
          <w:rFonts w:hint="cs"/>
          <w:sz w:val="24"/>
          <w:szCs w:val="24"/>
          <w:rtl/>
        </w:rPr>
        <w:t xml:space="preserve"> </w:t>
      </w:r>
    </w:p>
    <w:p w:rsidR="00E064B4" w:rsidRPr="00703011" w:rsidRDefault="00E064B4" w:rsidP="00E064B4">
      <w:pPr>
        <w:pStyle w:val="a8"/>
        <w:numPr>
          <w:ilvl w:val="0"/>
          <w:numId w:val="1"/>
        </w:numPr>
        <w:spacing w:before="200" w:line="276" w:lineRule="auto"/>
        <w:rPr>
          <w:sz w:val="24"/>
          <w:szCs w:val="24"/>
          <w:rtl/>
        </w:rPr>
      </w:pPr>
      <w:r w:rsidRPr="00703011">
        <w:rPr>
          <w:rFonts w:hint="cs"/>
          <w:sz w:val="24"/>
          <w:szCs w:val="24"/>
          <w:rtl/>
        </w:rPr>
        <w:t xml:space="preserve">בנוסף לקרבנות המפורטים בפרשת אחרי מות, הבאים כחלק מסדר עבודות הכפרה, קרבים ביום הכיפורים קרבנות נוספים </w:t>
      </w:r>
      <w:r w:rsidRPr="00703011">
        <w:rPr>
          <w:sz w:val="24"/>
          <w:szCs w:val="24"/>
          <w:rtl/>
        </w:rPr>
        <w:t>–</w:t>
      </w:r>
      <w:r w:rsidRPr="00703011">
        <w:rPr>
          <w:rFonts w:hint="cs"/>
          <w:sz w:val="24"/>
          <w:szCs w:val="24"/>
          <w:rtl/>
        </w:rPr>
        <w:t xml:space="preserve"> התמידים והמוספים המפורטים בפרשת פינחס </w:t>
      </w:r>
      <w:r w:rsidRPr="00703011">
        <w:rPr>
          <w:rFonts w:hint="cs"/>
          <w:sz w:val="20"/>
          <w:szCs w:val="20"/>
          <w:rtl/>
        </w:rPr>
        <w:t>[במדבר כט, ז-יא]</w:t>
      </w:r>
      <w:r>
        <w:rPr>
          <w:rFonts w:hint="cs"/>
          <w:sz w:val="24"/>
          <w:szCs w:val="24"/>
          <w:rtl/>
        </w:rPr>
        <w:t xml:space="preserve">. בהתאם לכך, יש לעיין ולדון ביחס בין קרבנות שתי הפרשיות. </w:t>
      </w:r>
    </w:p>
    <w:p w:rsidR="00E064B4" w:rsidRDefault="00E064B4" w:rsidP="00E064B4">
      <w:pPr>
        <w:spacing w:line="276" w:lineRule="auto"/>
        <w:ind w:left="266"/>
        <w:rPr>
          <w:sz w:val="24"/>
          <w:szCs w:val="24"/>
          <w:rtl/>
        </w:rPr>
      </w:pPr>
      <w:r>
        <w:rPr>
          <w:rFonts w:hint="cs"/>
          <w:sz w:val="24"/>
          <w:szCs w:val="24"/>
          <w:rtl/>
        </w:rPr>
        <w:t>בעזרת ה' נעסוק בעניינים אלו בהמשך סדרת השיעורים.</w:t>
      </w:r>
    </w:p>
    <w:p w:rsidR="00E064B4" w:rsidRPr="00BA3C73" w:rsidRDefault="00E064B4" w:rsidP="00E064B4">
      <w:pPr>
        <w:spacing w:line="276" w:lineRule="auto"/>
        <w:ind w:left="266"/>
        <w:rPr>
          <w:sz w:val="24"/>
          <w:szCs w:val="24"/>
          <w:rtl/>
        </w:rPr>
      </w:pPr>
      <w:r>
        <w:rPr>
          <w:rFonts w:hint="cs"/>
          <w:sz w:val="24"/>
          <w:szCs w:val="24"/>
          <w:rtl/>
        </w:rPr>
        <w:t>בשיעור הבא בעזרת ה' נעסוק בחובת פרישת כהן גדול בשבעת הימים שלפני יום הכיפורים.</w:t>
      </w:r>
    </w:p>
    <w:p w:rsidR="00E064B4" w:rsidRDefault="00E064B4" w:rsidP="00E064B4">
      <w:pPr>
        <w:spacing w:line="276" w:lineRule="exact"/>
        <w:ind w:firstLine="227"/>
        <w:jc w:val="right"/>
        <w:rPr>
          <w:sz w:val="24"/>
          <w:szCs w:val="24"/>
          <w:u w:val="single"/>
          <w:rtl/>
        </w:rPr>
      </w:pPr>
    </w:p>
    <w:p w:rsidR="00E064B4" w:rsidRPr="00703011" w:rsidRDefault="00E064B4" w:rsidP="00E064B4">
      <w:pPr>
        <w:spacing w:line="276" w:lineRule="exact"/>
        <w:ind w:firstLine="227"/>
        <w:jc w:val="right"/>
        <w:rPr>
          <w:sz w:val="24"/>
          <w:szCs w:val="24"/>
        </w:rPr>
      </w:pPr>
      <w:r w:rsidRPr="00703011">
        <w:rPr>
          <w:rFonts w:hint="cs"/>
          <w:sz w:val="24"/>
          <w:szCs w:val="24"/>
          <w:u w:val="single"/>
          <w:rtl/>
        </w:rPr>
        <w:t>להערות ולתגובות</w:t>
      </w:r>
      <w:r w:rsidRPr="00703011">
        <w:rPr>
          <w:rFonts w:hint="cs"/>
          <w:sz w:val="24"/>
          <w:szCs w:val="24"/>
          <w:rtl/>
        </w:rPr>
        <w:t>: שלמה ליפשיץ</w:t>
      </w:r>
    </w:p>
    <w:p w:rsidR="00E064B4" w:rsidRDefault="00E064B4" w:rsidP="00E064B4">
      <w:pPr>
        <w:spacing w:line="276" w:lineRule="exact"/>
        <w:ind w:firstLine="227"/>
        <w:jc w:val="right"/>
        <w:rPr>
          <w:rtl/>
        </w:rPr>
      </w:pPr>
      <w:hyperlink r:id="rId8" w:history="1">
        <w:r w:rsidRPr="00703011">
          <w:rPr>
            <w:rStyle w:val="Hyperlink"/>
            <w:sz w:val="24"/>
            <w:szCs w:val="24"/>
          </w:rPr>
          <w:t>lshlomo26@gmail.com</w:t>
        </w:r>
      </w:hyperlink>
    </w:p>
    <w:p w:rsidR="00E064B4" w:rsidRDefault="00E064B4">
      <w:pPr>
        <w:spacing w:after="0" w:line="240" w:lineRule="auto"/>
        <w:rPr>
          <w:rtl/>
        </w:rPr>
      </w:pPr>
      <w:r>
        <w:rPr>
          <w:rtl/>
        </w:rPr>
        <w:br w:type="page"/>
      </w:r>
    </w:p>
    <w:p w:rsidR="00E064B4" w:rsidRPr="006F6608" w:rsidRDefault="00E064B4" w:rsidP="00E064B4">
      <w:pPr>
        <w:keepNext/>
        <w:keepLines/>
        <w:spacing w:before="240" w:after="0" w:line="276" w:lineRule="exact"/>
        <w:jc w:val="center"/>
        <w:outlineLvl w:val="0"/>
        <w:rPr>
          <w:rFonts w:asciiTheme="majorHAnsi" w:eastAsiaTheme="majorEastAsia" w:hAnsiTheme="majorHAnsi"/>
          <w:bCs/>
          <w:sz w:val="36"/>
          <w:szCs w:val="36"/>
          <w:rtl/>
        </w:rPr>
      </w:pPr>
      <w:bookmarkStart w:id="8" w:name="_Toc76718393"/>
      <w:bookmarkStart w:id="9" w:name="_Toc76718798"/>
      <w:bookmarkStart w:id="10" w:name="_Toc76719138"/>
      <w:r w:rsidRPr="006F6608">
        <w:rPr>
          <w:rFonts w:asciiTheme="majorHAnsi" w:eastAsiaTheme="majorEastAsia" w:hAnsiTheme="majorHAnsi" w:hint="cs"/>
          <w:bCs/>
          <w:sz w:val="40"/>
          <w:szCs w:val="40"/>
          <w:rtl/>
        </w:rPr>
        <w:lastRenderedPageBreak/>
        <w:t>יסודות יומא</w:t>
      </w:r>
      <w:bookmarkEnd w:id="8"/>
      <w:bookmarkEnd w:id="9"/>
      <w:bookmarkEnd w:id="10"/>
    </w:p>
    <w:p w:rsidR="00E064B4" w:rsidRPr="006F6608" w:rsidRDefault="00E064B4" w:rsidP="00E064B4">
      <w:pPr>
        <w:keepNext/>
        <w:keepLines/>
        <w:spacing w:before="240" w:after="0" w:line="276" w:lineRule="exact"/>
        <w:jc w:val="center"/>
        <w:outlineLvl w:val="0"/>
        <w:rPr>
          <w:rFonts w:asciiTheme="majorHAnsi" w:eastAsiaTheme="majorEastAsia" w:hAnsiTheme="majorHAnsi"/>
          <w:b/>
          <w:sz w:val="32"/>
          <w:szCs w:val="32"/>
          <w:rtl/>
        </w:rPr>
      </w:pPr>
      <w:bookmarkStart w:id="11" w:name="_Toc76719139"/>
      <w:r w:rsidRPr="006F6608">
        <w:rPr>
          <w:rFonts w:asciiTheme="majorHAnsi" w:eastAsiaTheme="majorEastAsia" w:hAnsiTheme="majorHAnsi" w:hint="cs"/>
          <w:b/>
          <w:sz w:val="32"/>
          <w:szCs w:val="32"/>
          <w:rtl/>
        </w:rPr>
        <w:t>שיעור שני</w:t>
      </w:r>
      <w:bookmarkEnd w:id="11"/>
    </w:p>
    <w:p w:rsidR="00E064B4" w:rsidRPr="006F6608" w:rsidRDefault="00E064B4" w:rsidP="00E064B4">
      <w:pPr>
        <w:keepNext/>
        <w:keepLines/>
        <w:spacing w:before="240" w:after="0" w:line="276" w:lineRule="exact"/>
        <w:jc w:val="center"/>
        <w:outlineLvl w:val="0"/>
        <w:rPr>
          <w:rFonts w:asciiTheme="majorHAnsi" w:eastAsiaTheme="majorEastAsia" w:hAnsiTheme="majorHAnsi"/>
          <w:bCs/>
          <w:sz w:val="32"/>
          <w:szCs w:val="32"/>
          <w:rtl/>
        </w:rPr>
      </w:pPr>
      <w:bookmarkStart w:id="12" w:name="_Toc76718395"/>
      <w:bookmarkStart w:id="13" w:name="_Toc76718800"/>
      <w:bookmarkStart w:id="14" w:name="_Toc76719140"/>
      <w:r>
        <w:rPr>
          <w:rFonts w:asciiTheme="majorHAnsi" w:eastAsiaTheme="majorEastAsia" w:hAnsiTheme="majorHAnsi" w:hint="cs"/>
          <w:bCs/>
          <w:sz w:val="36"/>
          <w:szCs w:val="36"/>
          <w:rtl/>
        </w:rPr>
        <w:t>הפרשת</w:t>
      </w:r>
      <w:r w:rsidRPr="006F6608">
        <w:rPr>
          <w:rFonts w:asciiTheme="majorHAnsi" w:eastAsiaTheme="majorEastAsia" w:hAnsiTheme="majorHAnsi" w:hint="cs"/>
          <w:bCs/>
          <w:sz w:val="36"/>
          <w:szCs w:val="36"/>
          <w:rtl/>
        </w:rPr>
        <w:t xml:space="preserve"> כהן גדול שבעת ימים קודם יום הכיפורים</w:t>
      </w:r>
      <w:bookmarkEnd w:id="12"/>
      <w:bookmarkEnd w:id="13"/>
      <w:bookmarkEnd w:id="14"/>
    </w:p>
    <w:p w:rsidR="00E064B4" w:rsidRPr="006F6608" w:rsidRDefault="00E064B4" w:rsidP="00E064B4">
      <w:pPr>
        <w:spacing w:line="276" w:lineRule="exact"/>
        <w:rPr>
          <w:rtl/>
        </w:rPr>
      </w:pPr>
      <w:r w:rsidRPr="006F6608">
        <w:rPr>
          <w:noProof/>
          <w:rtl/>
        </w:rPr>
        <mc:AlternateContent>
          <mc:Choice Requires="wps">
            <w:drawing>
              <wp:anchor distT="0" distB="0" distL="114300" distR="114300" simplePos="0" relativeHeight="251662336" behindDoc="1" locked="0" layoutInCell="1" allowOverlap="1" wp14:anchorId="06E6B21B" wp14:editId="5B4B7473">
                <wp:simplePos x="0" y="0"/>
                <wp:positionH relativeFrom="column">
                  <wp:posOffset>-259080</wp:posOffset>
                </wp:positionH>
                <wp:positionV relativeFrom="paragraph">
                  <wp:posOffset>228600</wp:posOffset>
                </wp:positionV>
                <wp:extent cx="5765800" cy="7901940"/>
                <wp:effectExtent l="0" t="0" r="25400" b="22860"/>
                <wp:wrapNone/>
                <wp:docPr id="2" name="מלבן 2"/>
                <wp:cNvGraphicFramePr/>
                <a:graphic xmlns:a="http://schemas.openxmlformats.org/drawingml/2006/main">
                  <a:graphicData uri="http://schemas.microsoft.com/office/word/2010/wordprocessingShape">
                    <wps:wsp>
                      <wps:cNvSpPr/>
                      <wps:spPr>
                        <a:xfrm>
                          <a:off x="0" y="0"/>
                          <a:ext cx="5765800" cy="79019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37AF2" id="מלבן 2" o:spid="_x0000_s1026" style="position:absolute;left:0;text-align:left;margin-left:-20.4pt;margin-top:18pt;width:454pt;height:6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HmiAIAAAEFAAAOAAAAZHJzL2Uyb0RvYy54bWysVNtuGjEQfa/Uf7D83uyCIASUJUJEVJWi&#10;JBKp8my8XnYl32obFvoXfa/az+J3emw25NI8VeXBzHjGczlzZi+vdkqSrXC+MbqgvbOcEqG5KRu9&#10;LujXh8WnC0p8YLpk0mhR0L3w9Gr68cNlayeib2ojS+EIgmg/aW1B6xDsJMs8r4Vi/sxYoWGsjFMs&#10;QHXrrHSsRXQls36en2etcaV1hgvvcXt9NNJpil9Vgoe7qvIiEFlQ1BbS6dK5imc2vWSTtWO2bnhX&#10;BvuHKhRrNJKeQl2zwMjGNX+FUg13xpsqnHGjMlNVDRepB3TTy990s6yZFakXgOPtCSb//8Ly2+29&#10;I01Z0D4lmimM6PDr8PPw4/Cb9CM6rfUTOC3tves0DzG2uquciv9oguwSovsTomIXCMflcHQ+vMgB&#10;PIdtNM5740HCPHt+bp0Pn4VRJAoFdRhZQpJtb3xASrg+ucRs3simXDRSJmXv59KRLcN0QYrStJRI&#10;5gMuC7pIv9gDQrx6JjVpQdZxPoyVMdCukixAVBZAeL2mhMk1+MyDS7W8eu3denXKOhiM+vPBe0li&#10;0dfM18fqUoToxiaqCaC8bFRBAQ1+3Wupo1Uk0natR/CPcEdpZco9huXMkcXe8kWDJDdo+J450Bbd&#10;YBXDHY5KGrRoOomS2rjv791Hf7AJVkparAHa/7ZhTgDHLxo8G/cGmBgJSRkMR30o7qVl9dKiN2pu&#10;MIselt7yJEb/IJ9uK2fUIzZ2FrPCxDRH7iPQnTIPx/XEznMxmyU37Ipl4UYvLY/BI04R3ofdI3O2&#10;I04A527N08qwyRv+HH3jS21mm2CqJpHrGVfQJCrYs0SY7psQF/mlnryev1zTPwAAAP//AwBQSwME&#10;FAAGAAgAAAAhACXn+yTgAAAACwEAAA8AAABkcnMvZG93bnJldi54bWxMj8FOwzAQRO9I/IO1SNxa&#10;u6EKUYhTUSQEHKhoqXp2Y+NE2OsQu034e5YTHFf7NPOmWk3esbMZYhdQwmIugBlsgu7QSti/P84K&#10;YDEp1MoFNBK+TYRVfXlRqVKHEbfmvEuWUQjGUkloU+pLzmPTGq/iPPQG6fcRBq8SnYPlelAjhXvH&#10;MyFy7lWH1NCq3jy0pvncnbyEl7X9OjzbxTb37m1c45PYvAYh5fXVdH8HLJkp/cHwq0/qUJPTMZxQ&#10;R+YkzJaC1JOEm5w2EVDktxmwI5FZIZbA64r/31D/AAAA//8DAFBLAQItABQABgAIAAAAIQC2gziS&#10;/gAAAOEBAAATAAAAAAAAAAAAAAAAAAAAAABbQ29udGVudF9UeXBlc10ueG1sUEsBAi0AFAAGAAgA&#10;AAAhADj9If/WAAAAlAEAAAsAAAAAAAAAAAAAAAAALwEAAF9yZWxzLy5yZWxzUEsBAi0AFAAGAAgA&#10;AAAhAPKcoeaIAgAAAQUAAA4AAAAAAAAAAAAAAAAALgIAAGRycy9lMm9Eb2MueG1sUEsBAi0AFAAG&#10;AAgAAAAhACXn+yTgAAAACwEAAA8AAAAAAAAAAAAAAAAA4gQAAGRycy9kb3ducmV2LnhtbFBLBQYA&#10;AAAABAAEAPMAAADvBQAAAAA=&#10;" fillcolor="window" strokecolor="#4472c4" strokeweight="1.5pt"/>
            </w:pict>
          </mc:Fallback>
        </mc:AlternateContent>
      </w:r>
    </w:p>
    <w:p w:rsidR="00E064B4" w:rsidRPr="006F6608" w:rsidRDefault="00E064B4" w:rsidP="00E064B4">
      <w:pPr>
        <w:spacing w:line="276" w:lineRule="exact"/>
        <w:jc w:val="center"/>
        <w:rPr>
          <w:b/>
          <w:bCs/>
          <w:sz w:val="24"/>
          <w:szCs w:val="24"/>
          <w:rtl/>
        </w:rPr>
      </w:pPr>
      <w:r w:rsidRPr="006F6608">
        <w:rPr>
          <w:rFonts w:hint="cs"/>
          <w:b/>
          <w:bCs/>
          <w:sz w:val="24"/>
          <w:szCs w:val="24"/>
          <w:rtl/>
        </w:rPr>
        <w:t>מקורות</w:t>
      </w:r>
    </w:p>
    <w:p w:rsidR="00E064B4" w:rsidRDefault="00E064B4" w:rsidP="00E064B4">
      <w:pPr>
        <w:spacing w:line="276" w:lineRule="exact"/>
        <w:rPr>
          <w:sz w:val="24"/>
          <w:szCs w:val="24"/>
          <w:rtl/>
        </w:rPr>
      </w:pPr>
      <w:r w:rsidRPr="006F6608">
        <w:rPr>
          <w:rFonts w:hint="cs"/>
          <w:sz w:val="24"/>
          <w:szCs w:val="24"/>
          <w:rtl/>
        </w:rPr>
        <w:t xml:space="preserve">א. </w:t>
      </w:r>
      <w:r>
        <w:rPr>
          <w:rFonts w:hint="cs"/>
          <w:sz w:val="24"/>
          <w:szCs w:val="24"/>
          <w:rtl/>
        </w:rPr>
        <w:t>גמ' יומא ב. "מתני'... אף להלן פרישה; ג:-ד. "כי אתא רב דימי... על הר סיני"</w:t>
      </w:r>
    </w:p>
    <w:p w:rsidR="00E064B4" w:rsidRDefault="00E064B4" w:rsidP="00E064B4">
      <w:pPr>
        <w:spacing w:line="276" w:lineRule="exact"/>
        <w:rPr>
          <w:sz w:val="24"/>
          <w:szCs w:val="24"/>
          <w:rtl/>
        </w:rPr>
      </w:pPr>
      <w:r>
        <w:rPr>
          <w:rFonts w:hint="cs"/>
          <w:sz w:val="24"/>
          <w:szCs w:val="24"/>
          <w:rtl/>
        </w:rPr>
        <w:t>ב. ריטב"א ב. ד"ה ומתקינין; ר"י מלוניל פ"א מ"א ד"ה ומתקינין</w:t>
      </w:r>
    </w:p>
    <w:p w:rsidR="00E064B4" w:rsidRDefault="00E064B4" w:rsidP="00E064B4">
      <w:pPr>
        <w:spacing w:line="276" w:lineRule="exact"/>
        <w:rPr>
          <w:sz w:val="24"/>
          <w:szCs w:val="24"/>
          <w:rtl/>
        </w:rPr>
      </w:pPr>
      <w:r>
        <w:rPr>
          <w:rFonts w:hint="cs"/>
          <w:sz w:val="24"/>
          <w:szCs w:val="24"/>
          <w:rtl/>
        </w:rPr>
        <w:t>ג. תוס' ד. ד"ה נכנסו; גבורת ארי, שם</w:t>
      </w:r>
    </w:p>
    <w:p w:rsidR="00E064B4" w:rsidRDefault="00E064B4" w:rsidP="00E064B4">
      <w:pPr>
        <w:spacing w:line="276" w:lineRule="exact"/>
        <w:rPr>
          <w:sz w:val="24"/>
          <w:szCs w:val="24"/>
          <w:rtl/>
        </w:rPr>
      </w:pPr>
      <w:r>
        <w:rPr>
          <w:rFonts w:hint="cs"/>
          <w:sz w:val="24"/>
          <w:szCs w:val="24"/>
          <w:rtl/>
        </w:rPr>
        <w:t>ד. רמב"ם הל' עבודת יום הכיפורים פ"א ה"ג; אור שמח, שם</w:t>
      </w:r>
    </w:p>
    <w:p w:rsidR="00E064B4" w:rsidRPr="006F6608" w:rsidRDefault="00E064B4" w:rsidP="00E064B4">
      <w:pPr>
        <w:spacing w:line="276" w:lineRule="exact"/>
        <w:rPr>
          <w:sz w:val="24"/>
          <w:szCs w:val="24"/>
          <w:rtl/>
        </w:rPr>
      </w:pPr>
    </w:p>
    <w:p w:rsidR="00E064B4" w:rsidRDefault="00E064B4" w:rsidP="00E064B4">
      <w:pPr>
        <w:spacing w:line="276" w:lineRule="exact"/>
        <w:rPr>
          <w:rFonts w:ascii="FrankRuehl" w:hAnsi="FrankRuehl" w:cs="FrankRuehl"/>
          <w:b/>
          <w:bCs/>
          <w:sz w:val="24"/>
          <w:szCs w:val="24"/>
          <w:rtl/>
        </w:rPr>
      </w:pPr>
      <w:r>
        <w:rPr>
          <w:rFonts w:ascii="FrankRuehl" w:hAnsi="FrankRuehl" w:cs="FrankRuehl" w:hint="cs"/>
          <w:b/>
          <w:bCs/>
          <w:sz w:val="24"/>
          <w:szCs w:val="24"/>
          <w:rtl/>
        </w:rPr>
        <w:t>ריטב"א יומא ב. ד"ה ומתקינין</w:t>
      </w:r>
    </w:p>
    <w:p w:rsidR="00E064B4" w:rsidRDefault="00E064B4" w:rsidP="00E064B4">
      <w:pPr>
        <w:spacing w:line="276" w:lineRule="auto"/>
        <w:rPr>
          <w:rFonts w:ascii="FrankRuehl" w:hAnsi="FrankRuehl" w:cs="FrankRuehl"/>
          <w:b/>
          <w:bCs/>
          <w:sz w:val="24"/>
          <w:szCs w:val="24"/>
          <w:rtl/>
        </w:rPr>
      </w:pPr>
      <w:r w:rsidRPr="00D63D48">
        <w:rPr>
          <w:rFonts w:ascii="FrankRuehl" w:hAnsi="FrankRuehl" w:cs="FrankRuehl"/>
          <w:sz w:val="24"/>
          <w:szCs w:val="24"/>
          <w:rtl/>
        </w:rPr>
        <w:t>ומתקינין לו כהן אחר תחתיו. כלומר מזמינין, ולא בעי הפרשה, דאפילו למ"ד פרישה דאורייתא ויליף לה ממלואים, מצוה בעלמא היא ולא מעכבא בעבודת יום הכפורים, ומסתיין</w:t>
      </w:r>
      <w:r>
        <w:rPr>
          <w:rFonts w:ascii="FrankRuehl" w:hAnsi="FrankRuehl" w:cs="FrankRuehl"/>
          <w:sz w:val="24"/>
          <w:szCs w:val="24"/>
          <w:rtl/>
        </w:rPr>
        <w:t xml:space="preserve"> דנעביד מצוה זו לכהן גדול לחוד</w:t>
      </w:r>
      <w:r>
        <w:rPr>
          <w:rFonts w:ascii="FrankRuehl" w:hAnsi="FrankRuehl" w:cs="FrankRuehl" w:hint="cs"/>
          <w:sz w:val="24"/>
          <w:szCs w:val="24"/>
          <w:rtl/>
        </w:rPr>
        <w:t>.</w:t>
      </w:r>
    </w:p>
    <w:p w:rsidR="00E064B4" w:rsidRDefault="00E064B4" w:rsidP="00E064B4">
      <w:pPr>
        <w:spacing w:line="276" w:lineRule="auto"/>
        <w:rPr>
          <w:rFonts w:ascii="FrankRuehl" w:hAnsi="FrankRuehl" w:cs="FrankRuehl"/>
          <w:b/>
          <w:bCs/>
          <w:sz w:val="24"/>
          <w:szCs w:val="24"/>
          <w:rtl/>
        </w:rPr>
      </w:pPr>
    </w:p>
    <w:p w:rsidR="00E064B4" w:rsidRDefault="00E064B4" w:rsidP="00E064B4">
      <w:pPr>
        <w:spacing w:line="276" w:lineRule="auto"/>
        <w:rPr>
          <w:rFonts w:ascii="FrankRuehl" w:hAnsi="FrankRuehl" w:cs="FrankRuehl"/>
          <w:b/>
          <w:bCs/>
          <w:sz w:val="24"/>
          <w:szCs w:val="24"/>
          <w:rtl/>
        </w:rPr>
      </w:pPr>
      <w:r>
        <w:rPr>
          <w:rFonts w:ascii="FrankRuehl" w:hAnsi="FrankRuehl" w:cs="FrankRuehl" w:hint="cs"/>
          <w:b/>
          <w:bCs/>
          <w:sz w:val="24"/>
          <w:szCs w:val="24"/>
          <w:rtl/>
        </w:rPr>
        <w:t>פירוש רבנו יהונתן מלוניל יומא פ"א מ"א ד"ה ומתקינין</w:t>
      </w:r>
    </w:p>
    <w:p w:rsidR="00E064B4" w:rsidRPr="0056368C" w:rsidRDefault="00E064B4" w:rsidP="00E064B4">
      <w:pPr>
        <w:spacing w:line="276" w:lineRule="auto"/>
        <w:rPr>
          <w:rFonts w:ascii="FrankRuehl" w:hAnsi="FrankRuehl" w:cs="FrankRuehl"/>
          <w:sz w:val="24"/>
          <w:szCs w:val="24"/>
          <w:rtl/>
        </w:rPr>
      </w:pPr>
      <w:r>
        <w:rPr>
          <w:rFonts w:ascii="FrankRuehl" w:hAnsi="FrankRuehl" w:cs="FrankRuehl" w:hint="cs"/>
          <w:sz w:val="24"/>
          <w:szCs w:val="24"/>
          <w:rtl/>
        </w:rPr>
        <w:t>ומתקינין לו כהן אחר תחתיו - להיות כהן גדול תחתיו אם יארע בו פסול קרי או שאר טומאה המעכבתו מלבוא במקדש. וכיון דילפינן ממלואים צריך שנפרש האי מתקינין מפרישין, דכי היכי דבמלואים הוה מעכב בהו הפרשה הם, הכי נמי לדורות. ולפיכך היה צריך פרישה לזה הסגן המזומן לזה אם יארע בכהן גדול פסול.</w:t>
      </w:r>
    </w:p>
    <w:p w:rsidR="00E064B4" w:rsidRDefault="00E064B4" w:rsidP="00E064B4">
      <w:pPr>
        <w:spacing w:line="276" w:lineRule="auto"/>
        <w:rPr>
          <w:rFonts w:ascii="FrankRuehl" w:hAnsi="FrankRuehl" w:cs="FrankRuehl"/>
          <w:b/>
          <w:bCs/>
          <w:sz w:val="24"/>
          <w:szCs w:val="24"/>
          <w:rtl/>
        </w:rPr>
      </w:pPr>
    </w:p>
    <w:p w:rsidR="00E064B4" w:rsidRPr="00D63D48" w:rsidRDefault="00E064B4" w:rsidP="00E064B4">
      <w:pPr>
        <w:spacing w:line="276" w:lineRule="auto"/>
        <w:rPr>
          <w:rFonts w:ascii="FrankRuehl" w:hAnsi="FrankRuehl" w:cs="FrankRuehl"/>
          <w:b/>
          <w:bCs/>
          <w:sz w:val="24"/>
          <w:szCs w:val="24"/>
          <w:rtl/>
        </w:rPr>
      </w:pPr>
      <w:r>
        <w:rPr>
          <w:rFonts w:ascii="FrankRuehl" w:hAnsi="FrankRuehl" w:cs="FrankRuehl" w:hint="cs"/>
          <w:b/>
          <w:bCs/>
          <w:sz w:val="24"/>
          <w:szCs w:val="24"/>
          <w:rtl/>
        </w:rPr>
        <w:t>גבורת ארי יומא ג. ד"ה אמר ליה</w:t>
      </w:r>
    </w:p>
    <w:p w:rsidR="00E064B4" w:rsidRDefault="00E064B4" w:rsidP="00E064B4">
      <w:pPr>
        <w:spacing w:line="276" w:lineRule="auto"/>
        <w:rPr>
          <w:rFonts w:ascii="FrankRuehl" w:hAnsi="FrankRuehl" w:cs="FrankRuehl"/>
          <w:sz w:val="24"/>
          <w:szCs w:val="24"/>
          <w:rtl/>
        </w:rPr>
      </w:pPr>
      <w:r w:rsidRPr="00D63D48">
        <w:rPr>
          <w:rFonts w:ascii="FrankRuehl" w:hAnsi="FrankRuehl" w:cs="FrankRuehl"/>
          <w:sz w:val="24"/>
          <w:szCs w:val="24"/>
          <w:rtl/>
        </w:rPr>
        <w:t>אמר ליה ר' יוחנן לריש לקיש בשלמא לדידי דילפינא ממילואים היינו דתניא זה וזה מזין עליו כל ז' מכל חטאות שהיו שם דהואי נמי הזאה במילואים אבל לדידך הזאה בסיני מי הואי וכו' הא לא קשיא דתני ר' חייא נכנסו מים תחת דם א"ל מעלה בעלמא ופי' התוספות כיון דלאו דרשא גמורה היא הא דילפינן פרישה ממילואים אלא אסמכתא ומשום הכי אין לחוש א"א נכנסו מים תחת דם. ולי קשה מדאמר ליה ר' יוחנן לריש לקיש בשלמא לדידי דילפינא ממילואים ניחא דהוי נמי הזאה התם אלא לדידך הזאה בסיני מי הואי ולא אסיק אדעתיה הא דשני ליה מעלה בעלמא ואפילו הכי לדידיה דיליף ממילואים ניחא ליה שמע מינה דדרשא גמורה היא ולא אסמכתא והא דנכנסו מים תחת דם נמי סברא מעליא הוא ומן התורה הכי הוא.</w:t>
      </w:r>
    </w:p>
    <w:p w:rsidR="00E064B4" w:rsidRDefault="00E064B4" w:rsidP="00E064B4">
      <w:pPr>
        <w:spacing w:line="276" w:lineRule="auto"/>
        <w:rPr>
          <w:rFonts w:ascii="FrankRuehl" w:hAnsi="FrankRuehl" w:cs="FrankRuehl"/>
          <w:sz w:val="24"/>
          <w:szCs w:val="24"/>
          <w:rtl/>
        </w:rPr>
      </w:pPr>
    </w:p>
    <w:p w:rsidR="00E064B4" w:rsidRPr="00D63D48" w:rsidRDefault="00E064B4" w:rsidP="00E064B4">
      <w:pPr>
        <w:spacing w:line="276" w:lineRule="auto"/>
        <w:rPr>
          <w:rFonts w:ascii="FrankRuehl" w:hAnsi="FrankRuehl" w:cs="FrankRuehl"/>
          <w:b/>
          <w:bCs/>
          <w:sz w:val="24"/>
          <w:szCs w:val="24"/>
          <w:rtl/>
        </w:rPr>
      </w:pPr>
      <w:r>
        <w:rPr>
          <w:rFonts w:ascii="FrankRuehl" w:hAnsi="FrankRuehl" w:cs="FrankRuehl" w:hint="cs"/>
          <w:b/>
          <w:bCs/>
          <w:sz w:val="24"/>
          <w:szCs w:val="24"/>
          <w:rtl/>
        </w:rPr>
        <w:t>אור שמח הל' עבודת יום הכיפורים פ"א ה"ג</w:t>
      </w:r>
    </w:p>
    <w:p w:rsidR="00E064B4" w:rsidRPr="00D63D48" w:rsidRDefault="00E064B4" w:rsidP="00E064B4">
      <w:pPr>
        <w:spacing w:line="276" w:lineRule="auto"/>
        <w:rPr>
          <w:rFonts w:ascii="FrankRuehl" w:hAnsi="FrankRuehl" w:cs="FrankRuehl"/>
          <w:sz w:val="24"/>
          <w:szCs w:val="24"/>
          <w:rtl/>
        </w:rPr>
      </w:pPr>
      <w:r w:rsidRPr="00D63D48">
        <w:rPr>
          <w:rFonts w:ascii="FrankRuehl" w:hAnsi="FrankRuehl" w:cs="FrankRuehl"/>
          <w:sz w:val="24"/>
          <w:szCs w:val="24"/>
          <w:rtl/>
        </w:rPr>
        <w:t xml:space="preserve">בריש יומא (ג' ע"ב) פליגי בזה אמוראי, חד יליף מסיני, וחד יליף ממלואים, ופריך מהיכא קא ילפת לה ממלואים, אי מה מלואים כל הכתוב בהן מעכב אף הכא נמי כל הכתוב מעכב בהן, והא תני מתקינין, ולא תני מפרישין, ולא משני מידי, ועיין בירושלמי ע"ז. והנראה דהא דגמרינן פרישה ביוהכ"פ לכה"ג ממלואים, לפי שנכנס תחלה לפני ולפנים, כמו שאמר </w:t>
      </w:r>
      <w:r>
        <w:rPr>
          <w:rFonts w:ascii="FrankRuehl" w:hAnsi="FrankRuehl" w:cs="FrankRuehl"/>
          <w:sz w:val="24"/>
          <w:szCs w:val="24"/>
          <w:rtl/>
        </w:rPr>
        <w:t>(שם) דנין תחלה במקום מתחילה כו</w:t>
      </w:r>
      <w:r>
        <w:rPr>
          <w:rFonts w:ascii="FrankRuehl" w:hAnsi="FrankRuehl" w:cs="FrankRuehl" w:hint="cs"/>
          <w:sz w:val="24"/>
          <w:szCs w:val="24"/>
          <w:rtl/>
        </w:rPr>
        <w:t xml:space="preserve">'. </w:t>
      </w:r>
      <w:r w:rsidRPr="00D63D48">
        <w:rPr>
          <w:rFonts w:ascii="FrankRuehl" w:hAnsi="FrankRuehl" w:cs="FrankRuehl"/>
          <w:sz w:val="24"/>
          <w:szCs w:val="24"/>
          <w:rtl/>
        </w:rPr>
        <w:t xml:space="preserve">והנה פרישה לכהן הגדול הוי דומיא דקידוש ידים ורגלים, וקידוש ידים ורגלים קיימא לן דאם לא קידש ידיו ורגליו שחרית לצורך עבודה חלל עבודתו, וכהאי גוונא אף דצריך לקדש ידיו ורגליו בין עבודת בגדי זהב לעבודת בגדי לבן אף על פי כן אם לא קידש לא נתחללה עבודתו. וטעמא יליף בפ"ב דזבחים (י"ט ע"ב) מקראי, כן גבי פרישה, אף שבמלואים היו מעכבים, הוא משום שבפרישה דמלואים נתקדשו להיות ראוים לכהונה, ובלא זה לא היו ראוים לעבודה כלל, ולכן אם לא הופרשו אז היה עבודתם מחוללת, ולא נתקדשו בקדושת כהונה, דוגמא דאם לא קדשו ידיהם ורגליהם שחרית, שבלא הקידוש אינם ראוים אף לעבודת כהן הדיוט, שחללו עבודתם. אבל פרישה דכהן גדול ביום הכיפורים, דבלא פרישה ראוים לעבודות </w:t>
      </w:r>
      <w:r w:rsidR="00A527D5" w:rsidRPr="006F6608">
        <w:rPr>
          <w:noProof/>
          <w:rtl/>
        </w:rPr>
        <w:lastRenderedPageBreak/>
        <mc:AlternateContent>
          <mc:Choice Requires="wps">
            <w:drawing>
              <wp:anchor distT="0" distB="0" distL="114300" distR="114300" simplePos="0" relativeHeight="251737088" behindDoc="1" locked="0" layoutInCell="1" allowOverlap="1" wp14:anchorId="1B4FF4AB" wp14:editId="656A1438">
                <wp:simplePos x="0" y="0"/>
                <wp:positionH relativeFrom="margin">
                  <wp:align>center</wp:align>
                </wp:positionH>
                <wp:positionV relativeFrom="paragraph">
                  <wp:posOffset>-220980</wp:posOffset>
                </wp:positionV>
                <wp:extent cx="5765800" cy="1676400"/>
                <wp:effectExtent l="0" t="0" r="25400" b="19050"/>
                <wp:wrapNone/>
                <wp:docPr id="3" name="מלבן 3"/>
                <wp:cNvGraphicFramePr/>
                <a:graphic xmlns:a="http://schemas.openxmlformats.org/drawingml/2006/main">
                  <a:graphicData uri="http://schemas.microsoft.com/office/word/2010/wordprocessingShape">
                    <wps:wsp>
                      <wps:cNvSpPr/>
                      <wps:spPr>
                        <a:xfrm>
                          <a:off x="0" y="0"/>
                          <a:ext cx="5765800" cy="167640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27485" id="מלבן 3" o:spid="_x0000_s1026" style="position:absolute;left:0;text-align:left;margin-left:0;margin-top:-17.4pt;width:454pt;height:132pt;z-index:-25157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z2hgIAAAEFAAAOAAAAZHJzL2Uyb0RvYy54bWysVEtu2zAQ3RfoHQjuG9mObCdC5MBw4KJA&#10;kARIiqzHFGUR4K8kbdm9RfdFeyxfp0NKcT7NqqgW1AxnOJ/HN7y43ClJttx5YXRJhycDSrhmphJ6&#10;XdKvD8tPZ5T4ALoCaTQv6Z57ejn7+OGitQUfmcbIijuCQbQvWlvSJgRbZJlnDVfgT4zlGo21cQoC&#10;qm6dVQ5ajK5kNhoMJllrXGWdYdx73L3qjHSW4tc1Z+G2rj0PRJYUawtpdWldxTWbXUCxdmAbwfoy&#10;4B+qUCA0Jj2GuoIAZOPEX6GUYM54U4cTZlRm6lownnrAboaDN93cN2B56gXB8fYIk/9/YdnN9s4R&#10;UZX0lBINCq/o8Ovw8/Dj8JucRnRa6wt0urd3rtc8irHVXe1U/GMTZJcQ3R8R5btAGG6Op5Px2QCB&#10;Z2gbTqaTHBWMkz0ft86Hz9woEoWSOryyhCRsr33oXJ9cYjZvpKiWQsqk7P1COrIFvF0kRWVaSiT4&#10;gJslXaavz/bqmNSkxXLOB+NYGSDtagkBRWURCK/XlIBcI59ZcKmWV6e9W6+OWfN8Olrk7yWJRV+B&#10;b7rqUoToBoUSASkvhSopQoNff1rqaOWJtH3rEfwO7iitTLXHy3KmY7G3bCkwyTU2fAcOaYvd4CiG&#10;W1xqabBF00uUNMZ9f28/+iOb0EpJi2OA7X/bgOOI4xeNPDsf5nmcm6Tk4+kIFffSsnpp0Ru1MHgX&#10;Qxx6y5IY/YN82q2dUY84sfOYFU2gGebugO6VRejGE2ee8fk8ueGsWAjX+t6yGDziFOF92D2Csz1x&#10;AnLuxjyNDBRv+NP5xpPazDfB1CKR6xlXJGVUcM4SPfs3IQ7ySz15Pb9csz8AAAD//wMAUEsDBBQA&#10;BgAIAAAAIQBgR9dW3gAAAAgBAAAPAAAAZHJzL2Rvd25yZXYueG1sTI/BTsMwDIbvSLxDZCRuW7KC&#10;pq00nRgSAg5MbEw7Z41pKxKnNNla3h5zgqP9W7+/r1iN3okz9rENpGE2VSCQqmBbqjXs3x8nCxAx&#10;GbLGBUIN3xhhVV5eFCa3YaAtnnepFlxCMTcampS6XMpYNehNnIYOibOP0HuTeOxraXszcLl3MlNq&#10;Lr1piT80psOHBqvP3clreFnXX4fnerade/c2rOlJbV6D0vr6ary/A5FwTH/H8IvP6FAy0zGcyEbh&#10;NLBI0jC5uWUBjpdqwZujhixbZiDLQv4XKH8AAAD//wMAUEsBAi0AFAAGAAgAAAAhALaDOJL+AAAA&#10;4QEAABMAAAAAAAAAAAAAAAAAAAAAAFtDb250ZW50X1R5cGVzXS54bWxQSwECLQAUAAYACAAAACEA&#10;OP0h/9YAAACUAQAACwAAAAAAAAAAAAAAAAAvAQAAX3JlbHMvLnJlbHNQSwECLQAUAAYACAAAACEA&#10;cPA89oYCAAABBQAADgAAAAAAAAAAAAAAAAAuAgAAZHJzL2Uyb0RvYy54bWxQSwECLQAUAAYACAAA&#10;ACEAYEfXVt4AAAAIAQAADwAAAAAAAAAAAAAAAADgBAAAZHJzL2Rvd25yZXYueG1sUEsFBgAAAAAE&#10;AAQA8wAAAOsFAAAAAA==&#10;" fillcolor="window" strokecolor="#4472c4" strokeweight="1.5pt">
                <w10:wrap anchorx="margin"/>
              </v:rect>
            </w:pict>
          </mc:Fallback>
        </mc:AlternateContent>
      </w:r>
      <w:r w:rsidRPr="00D63D48">
        <w:rPr>
          <w:rFonts w:ascii="FrankRuehl" w:hAnsi="FrankRuehl" w:cs="FrankRuehl"/>
          <w:sz w:val="24"/>
          <w:szCs w:val="24"/>
          <w:rtl/>
        </w:rPr>
        <w:t>של בגדי זהב, והראוים בכהן הדיוט, רק להיות ראוי לעבודות הצריך להם כהן גדול בעי פרישה, אם כן כמו דלא מעכבי ואינן מחללין עבודתם אם לא קדשו בין עבודת בגדי לבן לבגדי זהב ולבגדי זהב לבגד לבן, כן פרישה של מי שראוי לכהונה ולכל העבודות בלא הפרישה, רק על ידי הפרישה הוא נעשה ראוי לעבודת יום הכיפורים, אותה פרישה אינ</w:t>
      </w:r>
      <w:r>
        <w:rPr>
          <w:rFonts w:ascii="FrankRuehl" w:hAnsi="FrankRuehl" w:cs="FrankRuehl"/>
          <w:sz w:val="24"/>
          <w:szCs w:val="24"/>
          <w:rtl/>
        </w:rPr>
        <w:t>ה מעכבת, ועבודתו כשירה בלא חלול</w:t>
      </w:r>
      <w:r>
        <w:rPr>
          <w:rFonts w:ascii="FrankRuehl" w:hAnsi="FrankRuehl" w:cs="FrankRuehl" w:hint="cs"/>
          <w:sz w:val="24"/>
          <w:szCs w:val="24"/>
          <w:rtl/>
        </w:rPr>
        <w:t>,</w:t>
      </w:r>
      <w:r w:rsidRPr="00D63D48">
        <w:rPr>
          <w:rFonts w:ascii="FrankRuehl" w:hAnsi="FrankRuehl" w:cs="FrankRuehl"/>
          <w:sz w:val="24"/>
          <w:szCs w:val="24"/>
          <w:rtl/>
        </w:rPr>
        <w:t xml:space="preserve"> וכמו דיליף על קדוש ידים ורגלים מקראי דוהיתה להם חק עולם ולזרעו לדורותם כו', דבר המעכב בזרעו, ופרישה</w:t>
      </w:r>
      <w:r>
        <w:rPr>
          <w:rFonts w:ascii="FrankRuehl" w:hAnsi="FrankRuehl" w:cs="FrankRuehl"/>
          <w:sz w:val="24"/>
          <w:szCs w:val="24"/>
          <w:rtl/>
        </w:rPr>
        <w:t xml:space="preserve"> אינה בזרעו אינה מעכבת בו. ולפ</w:t>
      </w:r>
      <w:r>
        <w:rPr>
          <w:rFonts w:ascii="FrankRuehl" w:hAnsi="FrankRuehl" w:cs="FrankRuehl" w:hint="cs"/>
          <w:sz w:val="24"/>
          <w:szCs w:val="24"/>
          <w:rtl/>
        </w:rPr>
        <w:t>י זה</w:t>
      </w:r>
      <w:r w:rsidRPr="00D63D48">
        <w:rPr>
          <w:rFonts w:ascii="FrankRuehl" w:hAnsi="FrankRuehl" w:cs="FrankRuehl"/>
          <w:sz w:val="24"/>
          <w:szCs w:val="24"/>
          <w:rtl/>
        </w:rPr>
        <w:t xml:space="preserve"> טבילה ראשונה במלואים מעכב בהן, ולדורות אינו מחלל עבודה, יעו"ש (יומא דף ל' ע"ב), רק לא אמר להלן טבילה איכא בינייהו, משום דלשאר</w:t>
      </w:r>
      <w:r>
        <w:rPr>
          <w:rFonts w:ascii="FrankRuehl" w:hAnsi="FrankRuehl" w:cs="FrankRuehl"/>
          <w:sz w:val="24"/>
          <w:szCs w:val="24"/>
          <w:rtl/>
        </w:rPr>
        <w:t xml:space="preserve"> תנאי אינו בעשה כלל לדורות</w:t>
      </w:r>
      <w:r>
        <w:rPr>
          <w:rFonts w:ascii="FrankRuehl" w:hAnsi="FrankRuehl" w:cs="FrankRuehl" w:hint="cs"/>
          <w:sz w:val="24"/>
          <w:szCs w:val="24"/>
          <w:rtl/>
        </w:rPr>
        <w:t>,</w:t>
      </w:r>
      <w:r>
        <w:rPr>
          <w:rFonts w:ascii="FrankRuehl" w:hAnsi="FrankRuehl" w:cs="FrankRuehl"/>
          <w:sz w:val="24"/>
          <w:szCs w:val="24"/>
          <w:rtl/>
        </w:rPr>
        <w:t xml:space="preserve"> ודוק</w:t>
      </w:r>
      <w:r>
        <w:rPr>
          <w:rFonts w:ascii="FrankRuehl" w:hAnsi="FrankRuehl" w:cs="FrankRuehl" w:hint="cs"/>
          <w:sz w:val="24"/>
          <w:szCs w:val="24"/>
          <w:rtl/>
        </w:rPr>
        <w:t>.</w:t>
      </w:r>
    </w:p>
    <w:p w:rsidR="00E064B4" w:rsidRDefault="00E064B4" w:rsidP="00E064B4">
      <w:pPr>
        <w:spacing w:line="276" w:lineRule="auto"/>
        <w:rPr>
          <w:rFonts w:ascii="FrankRuehl" w:hAnsi="FrankRuehl" w:cs="FrankRuehl"/>
          <w:sz w:val="24"/>
          <w:szCs w:val="24"/>
          <w:rtl/>
        </w:rPr>
      </w:pPr>
    </w:p>
    <w:p w:rsidR="00E064B4" w:rsidRPr="00D63D48" w:rsidRDefault="00E064B4" w:rsidP="00E064B4">
      <w:pPr>
        <w:spacing w:line="276" w:lineRule="auto"/>
        <w:rPr>
          <w:rFonts w:ascii="FrankRuehl" w:hAnsi="FrankRuehl" w:cs="FrankRuehl"/>
          <w:sz w:val="24"/>
          <w:szCs w:val="24"/>
        </w:rPr>
      </w:pPr>
    </w:p>
    <w:p w:rsidR="00E064B4" w:rsidRPr="006F6608" w:rsidRDefault="00E064B4" w:rsidP="00E064B4">
      <w:pPr>
        <w:spacing w:before="200" w:line="276" w:lineRule="exact"/>
        <w:ind w:firstLine="227"/>
        <w:rPr>
          <w:sz w:val="24"/>
          <w:szCs w:val="24"/>
          <w:rtl/>
        </w:rPr>
      </w:pPr>
      <w:r w:rsidRPr="006F6608">
        <w:rPr>
          <w:rFonts w:hint="cs"/>
          <w:sz w:val="24"/>
          <w:szCs w:val="24"/>
          <w:rtl/>
        </w:rPr>
        <w:t>במשנה הפותחת את המסכת נאמר:</w:t>
      </w:r>
    </w:p>
    <w:p w:rsidR="00E064B4" w:rsidRPr="006F6608" w:rsidRDefault="00E064B4" w:rsidP="00E064B4">
      <w:pPr>
        <w:spacing w:before="200" w:line="276" w:lineRule="exact"/>
        <w:ind w:firstLine="720"/>
        <w:rPr>
          <w:sz w:val="20"/>
          <w:szCs w:val="20"/>
          <w:rtl/>
        </w:rPr>
      </w:pPr>
      <w:r w:rsidRPr="006F6608">
        <w:rPr>
          <w:sz w:val="24"/>
          <w:szCs w:val="24"/>
          <w:rtl/>
        </w:rPr>
        <w:t>שבעת ימים קודם יום הכ</w:t>
      </w:r>
      <w:r w:rsidRPr="006F6608">
        <w:rPr>
          <w:rFonts w:hint="cs"/>
          <w:sz w:val="24"/>
          <w:szCs w:val="24"/>
          <w:rtl/>
        </w:rPr>
        <w:t>י</w:t>
      </w:r>
      <w:r w:rsidRPr="006F6608">
        <w:rPr>
          <w:sz w:val="24"/>
          <w:szCs w:val="24"/>
          <w:rtl/>
        </w:rPr>
        <w:t>פורים מפרישין כהן גדול מביתו ללשכת פרהדרין</w:t>
      </w:r>
      <w:r w:rsidRPr="006F6608">
        <w:rPr>
          <w:rFonts w:hint="cs"/>
          <w:sz w:val="24"/>
          <w:szCs w:val="24"/>
          <w:rtl/>
        </w:rPr>
        <w:t>.</w:t>
      </w:r>
      <w:r w:rsidRPr="006F6608">
        <w:rPr>
          <w:sz w:val="24"/>
          <w:szCs w:val="24"/>
          <w:rtl/>
        </w:rPr>
        <w:tab/>
      </w:r>
      <w:r w:rsidRPr="006F6608">
        <w:rPr>
          <w:rFonts w:hint="cs"/>
          <w:sz w:val="24"/>
          <w:szCs w:val="24"/>
          <w:rtl/>
        </w:rPr>
        <w:t xml:space="preserve">       </w:t>
      </w:r>
      <w:r w:rsidRPr="006F6608">
        <w:rPr>
          <w:rFonts w:hint="cs"/>
          <w:sz w:val="20"/>
          <w:szCs w:val="20"/>
          <w:rtl/>
        </w:rPr>
        <w:t>[יומא ב.]</w:t>
      </w:r>
    </w:p>
    <w:p w:rsidR="00E064B4" w:rsidRPr="006F6608" w:rsidRDefault="00E064B4" w:rsidP="00E064B4">
      <w:pPr>
        <w:spacing w:before="200" w:line="276" w:lineRule="exact"/>
        <w:ind w:firstLine="227"/>
        <w:rPr>
          <w:sz w:val="24"/>
          <w:szCs w:val="24"/>
          <w:rtl/>
        </w:rPr>
      </w:pPr>
      <w:r w:rsidRPr="006F6608">
        <w:rPr>
          <w:rFonts w:hint="cs"/>
          <w:sz w:val="24"/>
          <w:szCs w:val="24"/>
          <w:rtl/>
        </w:rPr>
        <w:t>המשנה מלמדת כי על הכהן הגדול לפרוש מביתו למקדש שבעת ימים קודם יום הכיפורים. המשנה במסכת פרה מלמדת על דין דומה לגבי הכהן השורף את הפרה:</w:t>
      </w:r>
    </w:p>
    <w:p w:rsidR="00E064B4" w:rsidRPr="006F6608" w:rsidRDefault="00E064B4" w:rsidP="00E064B4">
      <w:pPr>
        <w:spacing w:before="200" w:line="276" w:lineRule="exact"/>
        <w:ind w:left="720"/>
        <w:rPr>
          <w:sz w:val="20"/>
          <w:szCs w:val="20"/>
          <w:rtl/>
        </w:rPr>
      </w:pPr>
      <w:r w:rsidRPr="006F6608">
        <w:rPr>
          <w:sz w:val="24"/>
          <w:szCs w:val="24"/>
          <w:rtl/>
        </w:rPr>
        <w:t>שבעת ימים קודם לשרפת הפרה מפרישין כהן השורף את הפרה מביתו ללשכה שעל פני הבירה צפונה מזרחה</w:t>
      </w:r>
      <w:r w:rsidRPr="006F6608">
        <w:rPr>
          <w:rFonts w:hint="cs"/>
          <w:sz w:val="24"/>
          <w:szCs w:val="24"/>
          <w:rtl/>
        </w:rPr>
        <w:t>,</w:t>
      </w:r>
      <w:r w:rsidRPr="006F6608">
        <w:rPr>
          <w:sz w:val="24"/>
          <w:szCs w:val="24"/>
          <w:rtl/>
        </w:rPr>
        <w:t xml:space="preserve"> ובית אבן היתה נקראת</w:t>
      </w:r>
      <w:r w:rsidRPr="006F6608">
        <w:rPr>
          <w:rFonts w:hint="cs"/>
          <w:sz w:val="24"/>
          <w:szCs w:val="24"/>
          <w:rtl/>
        </w:rPr>
        <w:t>,</w:t>
      </w:r>
      <w:r w:rsidRPr="006F6608">
        <w:rPr>
          <w:sz w:val="24"/>
          <w:szCs w:val="24"/>
          <w:rtl/>
        </w:rPr>
        <w:t xml:space="preserve"> ומזין עליו כל ז' הימים מכל חטאות שהיו שם</w:t>
      </w:r>
      <w:r w:rsidRPr="006F6608">
        <w:rPr>
          <w:rFonts w:hint="cs"/>
          <w:sz w:val="24"/>
          <w:szCs w:val="24"/>
          <w:rtl/>
        </w:rPr>
        <w:t>.</w:t>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[פרה פ"ג מ"א]</w:t>
      </w:r>
    </w:p>
    <w:p w:rsidR="00E064B4" w:rsidRPr="006F6608" w:rsidRDefault="00E064B4" w:rsidP="00E064B4">
      <w:pPr>
        <w:spacing w:before="200" w:line="276" w:lineRule="exact"/>
        <w:ind w:firstLine="227"/>
        <w:rPr>
          <w:sz w:val="24"/>
          <w:szCs w:val="24"/>
          <w:rtl/>
        </w:rPr>
      </w:pPr>
      <w:r w:rsidRPr="006F6608">
        <w:rPr>
          <w:rFonts w:hint="cs"/>
          <w:sz w:val="24"/>
          <w:szCs w:val="24"/>
          <w:rtl/>
        </w:rPr>
        <w:t>דינים אלו אינם מפורשים בכתובים, והגמרא דנה בהרחבה בתוקפם ובמקורם.</w:t>
      </w:r>
    </w:p>
    <w:p w:rsidR="00E064B4" w:rsidRPr="006F6608" w:rsidRDefault="00E064B4" w:rsidP="00E064B4">
      <w:pPr>
        <w:spacing w:before="200" w:line="276" w:lineRule="exact"/>
        <w:ind w:firstLine="227"/>
        <w:rPr>
          <w:sz w:val="24"/>
          <w:szCs w:val="24"/>
          <w:rtl/>
        </w:rPr>
      </w:pPr>
      <w:r w:rsidRPr="006F6608">
        <w:rPr>
          <w:rFonts w:hint="cs"/>
          <w:sz w:val="24"/>
          <w:szCs w:val="24"/>
          <w:rtl/>
        </w:rPr>
        <w:t>הגמרא מביאה את דרשתו של רבי יוחנן:</w:t>
      </w:r>
    </w:p>
    <w:p w:rsidR="00E064B4" w:rsidRPr="006F6608" w:rsidRDefault="00E064B4" w:rsidP="00E064B4">
      <w:pPr>
        <w:spacing w:before="200" w:line="276" w:lineRule="exact"/>
        <w:ind w:left="720"/>
        <w:rPr>
          <w:sz w:val="24"/>
          <w:szCs w:val="24"/>
          <w:rtl/>
        </w:rPr>
      </w:pPr>
      <w:r w:rsidRPr="006F6608">
        <w:rPr>
          <w:sz w:val="24"/>
          <w:szCs w:val="24"/>
          <w:rtl/>
        </w:rPr>
        <w:t>מנא הני מילי</w:t>
      </w:r>
      <w:r w:rsidRPr="006F6608">
        <w:rPr>
          <w:rFonts w:hint="cs"/>
          <w:sz w:val="24"/>
          <w:szCs w:val="24"/>
          <w:rtl/>
        </w:rPr>
        <w:t>?</w:t>
      </w:r>
      <w:r w:rsidRPr="006F6608">
        <w:rPr>
          <w:sz w:val="24"/>
          <w:szCs w:val="24"/>
          <w:rtl/>
        </w:rPr>
        <w:t xml:space="preserve"> אמר רב מניומי בר חלקיה אמר רבי מחסיא בר אידי אמר רבי יוחנן</w:t>
      </w:r>
      <w:r w:rsidRPr="006F6608">
        <w:rPr>
          <w:rFonts w:hint="cs"/>
          <w:sz w:val="24"/>
          <w:szCs w:val="24"/>
          <w:rtl/>
        </w:rPr>
        <w:t>:</w:t>
      </w:r>
      <w:r w:rsidRPr="006F6608">
        <w:rPr>
          <w:sz w:val="24"/>
          <w:szCs w:val="24"/>
          <w:rtl/>
        </w:rPr>
        <w:t xml:space="preserve"> אמר קרא </w:t>
      </w:r>
      <w:r w:rsidRPr="006F6608">
        <w:rPr>
          <w:rFonts w:hint="cs"/>
          <w:sz w:val="24"/>
          <w:szCs w:val="24"/>
          <w:rtl/>
        </w:rPr>
        <w:t>'</w:t>
      </w:r>
      <w:r w:rsidRPr="006F6608">
        <w:rPr>
          <w:sz w:val="24"/>
          <w:szCs w:val="24"/>
          <w:rtl/>
        </w:rPr>
        <w:t>כאשר עשה ביום הזה צוה ה' לעשת לכפר עליכם</w:t>
      </w:r>
      <w:r w:rsidRPr="006F6608">
        <w:rPr>
          <w:rFonts w:hint="cs"/>
          <w:sz w:val="24"/>
          <w:szCs w:val="24"/>
          <w:rtl/>
        </w:rPr>
        <w:t xml:space="preserve">' </w:t>
      </w:r>
      <w:r w:rsidRPr="006F6608">
        <w:rPr>
          <w:sz w:val="24"/>
          <w:szCs w:val="24"/>
          <w:rtl/>
        </w:rPr>
        <w:t>– לעשת אלו מעשי פרה</w:t>
      </w:r>
      <w:r w:rsidRPr="006F6608">
        <w:rPr>
          <w:rFonts w:hint="cs"/>
          <w:sz w:val="24"/>
          <w:szCs w:val="24"/>
          <w:rtl/>
        </w:rPr>
        <w:t>,</w:t>
      </w:r>
      <w:r w:rsidRPr="006F6608">
        <w:rPr>
          <w:sz w:val="24"/>
          <w:szCs w:val="24"/>
          <w:rtl/>
        </w:rPr>
        <w:t xml:space="preserve"> לכפר אלו מעשי יום הכפורים</w:t>
      </w:r>
      <w:r w:rsidRPr="006F6608">
        <w:rPr>
          <w:rFonts w:hint="cs"/>
          <w:sz w:val="24"/>
          <w:szCs w:val="24"/>
          <w:rtl/>
        </w:rPr>
        <w:t>.</w:t>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[יומא ב.]</w:t>
      </w:r>
      <w:r w:rsidRPr="006F6608">
        <w:rPr>
          <w:rFonts w:hint="cs"/>
          <w:sz w:val="24"/>
          <w:szCs w:val="24"/>
          <w:rtl/>
        </w:rPr>
        <w:t xml:space="preserve"> </w:t>
      </w:r>
    </w:p>
    <w:p w:rsidR="00E064B4" w:rsidRPr="006F6608" w:rsidRDefault="00E064B4" w:rsidP="00E064B4">
      <w:pPr>
        <w:spacing w:line="276" w:lineRule="exact"/>
        <w:ind w:firstLine="227"/>
        <w:rPr>
          <w:sz w:val="24"/>
          <w:szCs w:val="24"/>
          <w:rtl/>
        </w:rPr>
      </w:pPr>
      <w:r w:rsidRPr="006F6608">
        <w:rPr>
          <w:rFonts w:hint="cs"/>
          <w:sz w:val="24"/>
          <w:szCs w:val="24"/>
          <w:rtl/>
        </w:rPr>
        <w:t>על פי שיטה זו, מקור חובת הפרישה לפני עבודת יום הכיפורים ולפני שריפת הפרה הוא בחובת פרישת הכהנים בשבעת ימי המילואים לפני "היום השמיני", יום חנוכת המשכן:</w:t>
      </w:r>
    </w:p>
    <w:p w:rsidR="00E064B4" w:rsidRPr="006F6608" w:rsidRDefault="00E064B4" w:rsidP="00E064B4">
      <w:pPr>
        <w:spacing w:line="276" w:lineRule="exact"/>
        <w:ind w:left="720"/>
        <w:rPr>
          <w:sz w:val="20"/>
          <w:szCs w:val="20"/>
          <w:rtl/>
        </w:rPr>
      </w:pPr>
      <w:r w:rsidRPr="006F6608">
        <w:rPr>
          <w:sz w:val="24"/>
          <w:szCs w:val="24"/>
          <w:rtl/>
        </w:rPr>
        <w:t>ומפתח אהל מועד לא תצאו שבעת ימים עד יום מלאת ימי מלאיכם</w:t>
      </w:r>
      <w:r w:rsidRPr="006F6608">
        <w:rPr>
          <w:rFonts w:hint="cs"/>
          <w:sz w:val="24"/>
          <w:szCs w:val="24"/>
          <w:rtl/>
        </w:rPr>
        <w:t>,</w:t>
      </w:r>
      <w:r w:rsidRPr="006F6608">
        <w:rPr>
          <w:sz w:val="24"/>
          <w:szCs w:val="24"/>
          <w:rtl/>
        </w:rPr>
        <w:t xml:space="preserve"> כי שבעת ימים ימלא את ידכם</w:t>
      </w:r>
      <w:r w:rsidRPr="006F6608">
        <w:rPr>
          <w:rFonts w:hint="cs"/>
          <w:sz w:val="24"/>
          <w:szCs w:val="24"/>
          <w:rtl/>
        </w:rPr>
        <w:t xml:space="preserve">. </w:t>
      </w:r>
      <w:r w:rsidRPr="006F6608">
        <w:rPr>
          <w:sz w:val="24"/>
          <w:szCs w:val="24"/>
          <w:rtl/>
        </w:rPr>
        <w:t>כאשר עשה ביום הזה</w:t>
      </w:r>
      <w:r w:rsidRPr="006F6608">
        <w:rPr>
          <w:rFonts w:hint="cs"/>
          <w:sz w:val="24"/>
          <w:szCs w:val="24"/>
          <w:rtl/>
        </w:rPr>
        <w:t>,</w:t>
      </w:r>
      <w:r w:rsidRPr="006F6608">
        <w:rPr>
          <w:sz w:val="24"/>
          <w:szCs w:val="24"/>
          <w:rtl/>
        </w:rPr>
        <w:t xml:space="preserve"> צוה ה' לעשת לכפר עליכם</w:t>
      </w:r>
      <w:r w:rsidRPr="006F6608">
        <w:rPr>
          <w:rFonts w:hint="cs"/>
          <w:sz w:val="24"/>
          <w:szCs w:val="24"/>
          <w:rtl/>
        </w:rPr>
        <w:t>.</w:t>
      </w:r>
      <w:r w:rsidRPr="006F6608">
        <w:rPr>
          <w:sz w:val="24"/>
          <w:szCs w:val="24"/>
          <w:rtl/>
        </w:rPr>
        <w:t xml:space="preserve"> ופתח אהל מועד תשבו יומם ולילה שבעת ימים ושמרתם את משמרת ה' ולא תמותו</w:t>
      </w:r>
      <w:r w:rsidRPr="006F6608">
        <w:rPr>
          <w:rFonts w:hint="cs"/>
          <w:sz w:val="24"/>
          <w:szCs w:val="24"/>
          <w:rtl/>
        </w:rPr>
        <w:t>,</w:t>
      </w:r>
      <w:r w:rsidRPr="006F6608">
        <w:rPr>
          <w:sz w:val="24"/>
          <w:szCs w:val="24"/>
          <w:rtl/>
        </w:rPr>
        <w:t xml:space="preserve"> כי כן צויתי</w:t>
      </w:r>
      <w:r w:rsidRPr="006F6608">
        <w:rPr>
          <w:rFonts w:hint="cs"/>
          <w:sz w:val="24"/>
          <w:szCs w:val="24"/>
          <w:rtl/>
        </w:rPr>
        <w:t xml:space="preserve">. </w:t>
      </w:r>
      <w:r w:rsidRPr="006F6608">
        <w:rPr>
          <w:rFonts w:hint="cs"/>
          <w:sz w:val="24"/>
          <w:szCs w:val="24"/>
          <w:rtl/>
        </w:rPr>
        <w:tab/>
        <w:t xml:space="preserve">  </w:t>
      </w:r>
      <w:r w:rsidRPr="006F6608">
        <w:rPr>
          <w:rFonts w:hint="cs"/>
          <w:sz w:val="20"/>
          <w:szCs w:val="20"/>
          <w:rtl/>
        </w:rPr>
        <w:t>[ויקרא ח, לג]</w:t>
      </w:r>
    </w:p>
    <w:p w:rsidR="00E064B4" w:rsidRPr="006F6608" w:rsidRDefault="00E064B4" w:rsidP="00E064B4">
      <w:pPr>
        <w:spacing w:line="276" w:lineRule="exact"/>
        <w:ind w:firstLine="227"/>
        <w:rPr>
          <w:sz w:val="24"/>
          <w:szCs w:val="24"/>
          <w:rtl/>
        </w:rPr>
      </w:pPr>
      <w:r w:rsidRPr="006F6608">
        <w:rPr>
          <w:rFonts w:hint="cs"/>
          <w:sz w:val="24"/>
          <w:szCs w:val="24"/>
          <w:rtl/>
        </w:rPr>
        <w:t>בשבעת ימי המילואים נצטוו הכהנים שלא לצאת מן המשכן, ובדומה לכך בשבעת הימים שלפני עבודת יום הכיפורים ושלפני שריפת הפרה נצטווה הכהן לפרוש מביתו ולהימצא במקדש.</w:t>
      </w:r>
    </w:p>
    <w:p w:rsidR="00E064B4" w:rsidRPr="006F6608" w:rsidRDefault="00E064B4" w:rsidP="00E064B4">
      <w:pPr>
        <w:spacing w:line="276" w:lineRule="exact"/>
        <w:ind w:firstLine="227"/>
        <w:rPr>
          <w:sz w:val="24"/>
          <w:szCs w:val="24"/>
          <w:rtl/>
        </w:rPr>
      </w:pPr>
      <w:r w:rsidRPr="006F6608">
        <w:rPr>
          <w:rFonts w:hint="cs"/>
          <w:sz w:val="24"/>
          <w:szCs w:val="24"/>
          <w:rtl/>
        </w:rPr>
        <w:t xml:space="preserve">ההשוואה בין "היום השמיני" ליום הכיפורים עולה כבר מפתיחת התורה לפרשיית 'סדר העבודה': </w:t>
      </w:r>
    </w:p>
    <w:p w:rsidR="00E064B4" w:rsidRPr="006F6608" w:rsidRDefault="00E064B4" w:rsidP="00E064B4">
      <w:pPr>
        <w:spacing w:line="276" w:lineRule="exact"/>
        <w:ind w:firstLine="720"/>
        <w:rPr>
          <w:sz w:val="20"/>
          <w:szCs w:val="20"/>
          <w:rtl/>
        </w:rPr>
      </w:pPr>
      <w:r w:rsidRPr="006F6608">
        <w:rPr>
          <w:sz w:val="24"/>
          <w:szCs w:val="24"/>
          <w:rtl/>
        </w:rPr>
        <w:t>וידבר ה' אל משה אחרי מות שני בני אהרן</w:t>
      </w:r>
      <w:r w:rsidRPr="006F6608">
        <w:rPr>
          <w:rFonts w:hint="cs"/>
          <w:sz w:val="24"/>
          <w:szCs w:val="24"/>
          <w:rtl/>
        </w:rPr>
        <w:t>,</w:t>
      </w:r>
      <w:r w:rsidRPr="006F6608">
        <w:rPr>
          <w:sz w:val="24"/>
          <w:szCs w:val="24"/>
          <w:rtl/>
        </w:rPr>
        <w:t xml:space="preserve"> בקרבתם לפני ה' וימתו</w:t>
      </w:r>
      <w:r w:rsidRPr="006F6608">
        <w:rPr>
          <w:rFonts w:hint="cs"/>
          <w:sz w:val="24"/>
          <w:szCs w:val="24"/>
          <w:rtl/>
        </w:rPr>
        <w:t>.</w:t>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[ויקרא טז, א]</w:t>
      </w:r>
    </w:p>
    <w:p w:rsidR="00E064B4" w:rsidRPr="006F6608" w:rsidRDefault="00E064B4" w:rsidP="00E064B4">
      <w:pPr>
        <w:spacing w:line="276" w:lineRule="exact"/>
        <w:ind w:firstLine="227"/>
        <w:rPr>
          <w:sz w:val="24"/>
          <w:szCs w:val="24"/>
          <w:rtl/>
        </w:rPr>
      </w:pPr>
      <w:r w:rsidRPr="006F6608">
        <w:rPr>
          <w:rFonts w:hint="cs"/>
          <w:sz w:val="24"/>
          <w:szCs w:val="24"/>
          <w:rtl/>
        </w:rPr>
        <w:t>מבואר שהתורה קושרת בין 'סדר העבודה' לבין מיתת בני אהרן "בקרבתם לפני ה'" בשעת חנוכת המשכן.</w:t>
      </w:r>
    </w:p>
    <w:p w:rsidR="00E064B4" w:rsidRPr="006F6608" w:rsidRDefault="00E064B4" w:rsidP="00E064B4">
      <w:pPr>
        <w:spacing w:line="276" w:lineRule="exact"/>
        <w:ind w:firstLine="227"/>
        <w:rPr>
          <w:sz w:val="24"/>
          <w:szCs w:val="24"/>
          <w:rtl/>
        </w:rPr>
      </w:pPr>
      <w:r w:rsidRPr="006F6608">
        <w:rPr>
          <w:rFonts w:hint="cs"/>
          <w:sz w:val="24"/>
          <w:szCs w:val="24"/>
          <w:rtl/>
        </w:rPr>
        <w:t>בנוסף, הרב יואל בן נון מראה שקיים דמיון רב בין קרבנות יום הכיפורים לקרבנות "היום השמיני":</w:t>
      </w:r>
    </w:p>
    <w:p w:rsidR="00E064B4" w:rsidRPr="006F6608" w:rsidRDefault="00E064B4" w:rsidP="00E064B4">
      <w:pPr>
        <w:spacing w:line="276" w:lineRule="exact"/>
        <w:ind w:left="720"/>
        <w:rPr>
          <w:sz w:val="24"/>
          <w:szCs w:val="24"/>
          <w:rtl/>
        </w:rPr>
      </w:pPr>
      <w:r w:rsidRPr="006F6608">
        <w:rPr>
          <w:rFonts w:hint="cs"/>
          <w:sz w:val="24"/>
          <w:szCs w:val="24"/>
          <w:rtl/>
        </w:rPr>
        <w:t xml:space="preserve">קשר זה בין היום השמיני לעבודת קודש הקודשים ניכר ובולט גם בתורה, בתוכן העבודה: בשניהם שווה קרבן אהרן </w:t>
      </w:r>
      <w:r w:rsidRPr="006F6608">
        <w:rPr>
          <w:sz w:val="24"/>
          <w:szCs w:val="24"/>
          <w:rtl/>
        </w:rPr>
        <w:t>–</w:t>
      </w:r>
      <w:r w:rsidRPr="006F6608">
        <w:rPr>
          <w:rFonts w:hint="cs"/>
          <w:sz w:val="24"/>
          <w:szCs w:val="24"/>
          <w:rtl/>
        </w:rPr>
        <w:t xml:space="preserve"> פר לחטאת ואיל לעולה (ט ב; טז, ג); בשניהם הביא העם שעיר עזים שקרב לחטאת (ט ג; טז ה); בשניהם הביא </w:t>
      </w:r>
      <w:r w:rsidRPr="006F6608">
        <w:rPr>
          <w:rFonts w:hint="cs"/>
          <w:b/>
          <w:bCs/>
          <w:sz w:val="24"/>
          <w:szCs w:val="24"/>
          <w:rtl/>
        </w:rPr>
        <w:t xml:space="preserve">העם </w:t>
      </w:r>
      <w:r w:rsidRPr="006F6608">
        <w:rPr>
          <w:rFonts w:hint="cs"/>
          <w:sz w:val="24"/>
          <w:szCs w:val="24"/>
          <w:rtl/>
        </w:rPr>
        <w:t xml:space="preserve">קרבן עולה: ביום השמיני "עגל וכבש בני שנה" (ט ג), וביום הכיפורים נשמט העגל וישנו רק איל לעולה (טז ה). רק קרבן השלמים </w:t>
      </w:r>
      <w:r w:rsidRPr="006F6608">
        <w:rPr>
          <w:rFonts w:hint="cs"/>
          <w:sz w:val="24"/>
          <w:szCs w:val="24"/>
          <w:rtl/>
        </w:rPr>
        <w:lastRenderedPageBreak/>
        <w:t xml:space="preserve">וקרבן המנחה, שהיו ביום השמיני, אינם נמצאים כלל ביום הכיפורים </w:t>
      </w:r>
      <w:r w:rsidRPr="006F6608">
        <w:rPr>
          <w:sz w:val="24"/>
          <w:szCs w:val="24"/>
          <w:rtl/>
        </w:rPr>
        <w:t>–</w:t>
      </w:r>
      <w:r w:rsidRPr="006F6608">
        <w:rPr>
          <w:rFonts w:hint="cs"/>
          <w:sz w:val="24"/>
          <w:szCs w:val="24"/>
          <w:rtl/>
        </w:rPr>
        <w:t xml:space="preserve"> מכיוון שמדובר ביום סליחה וכפרה שהוא יום עינוי נפש, ולכן אין בו קרבן נאכל.  </w:t>
      </w:r>
      <w:r w:rsidRPr="006F6608">
        <w:rPr>
          <w:rFonts w:hint="cs"/>
          <w:sz w:val="20"/>
          <w:szCs w:val="20"/>
          <w:rtl/>
        </w:rPr>
        <w:t>[תורת עציון ויקרא עמ' 221]</w:t>
      </w:r>
      <w:r w:rsidRPr="006F6608">
        <w:rPr>
          <w:rStyle w:val="a7"/>
          <w:sz w:val="24"/>
          <w:szCs w:val="24"/>
          <w:rtl/>
        </w:rPr>
        <w:footnoteReference w:id="7"/>
      </w:r>
    </w:p>
    <w:p w:rsidR="00E064B4" w:rsidRPr="006F6608" w:rsidRDefault="00E064B4" w:rsidP="00E064B4">
      <w:pPr>
        <w:spacing w:line="276" w:lineRule="exact"/>
        <w:ind w:firstLine="227"/>
        <w:rPr>
          <w:sz w:val="24"/>
          <w:szCs w:val="24"/>
          <w:rtl/>
        </w:rPr>
      </w:pPr>
      <w:r w:rsidRPr="006F6608">
        <w:rPr>
          <w:rFonts w:hint="cs"/>
          <w:sz w:val="24"/>
          <w:szCs w:val="24"/>
          <w:rtl/>
        </w:rPr>
        <w:t>הדמיון בין יום הכיפורים ליום חנוכת המשכן ברור גם מסברה: יום הכיפורים הוא יום ניקוי המקדש בכל שנה</w:t>
      </w:r>
      <w:r w:rsidRPr="006F6608">
        <w:rPr>
          <w:rStyle w:val="a7"/>
          <w:sz w:val="24"/>
          <w:szCs w:val="24"/>
          <w:rtl/>
        </w:rPr>
        <w:footnoteReference w:id="8"/>
      </w:r>
      <w:r w:rsidRPr="006F6608">
        <w:rPr>
          <w:rFonts w:hint="cs"/>
          <w:sz w:val="24"/>
          <w:szCs w:val="24"/>
          <w:rtl/>
        </w:rPr>
        <w:t xml:space="preserve">, וכך הוא מהווה מעין יום חידוש וחינוך של המקדש. על פי זה, יום הכיפורים דומה במהותו ל"יום השמיני", יום חנוכת המשכן, ולכן ברור מדוע השוו חכמים ביניהם גם לגבי שבעת הימים שקדמו להם: כשם של"יום השמיני" קדמו שבעת ימי המילואים, כך בכל שנה </w:t>
      </w:r>
      <w:r w:rsidRPr="006F6608">
        <w:rPr>
          <w:sz w:val="24"/>
          <w:szCs w:val="24"/>
          <w:rtl/>
        </w:rPr>
        <w:t>–</w:t>
      </w:r>
      <w:r w:rsidRPr="006F6608">
        <w:rPr>
          <w:rFonts w:hint="cs"/>
          <w:sz w:val="24"/>
          <w:szCs w:val="24"/>
          <w:rtl/>
        </w:rPr>
        <w:t xml:space="preserve"> "שבעת ימים קודם יום הכיפורים מפרישין כהן גדול מביתו ללשכת פלהדרין".</w:t>
      </w:r>
    </w:p>
    <w:p w:rsidR="00E064B4" w:rsidRPr="006F6608" w:rsidRDefault="00E064B4" w:rsidP="00E064B4">
      <w:pPr>
        <w:spacing w:line="276" w:lineRule="exact"/>
        <w:ind w:firstLine="227"/>
        <w:rPr>
          <w:sz w:val="24"/>
          <w:szCs w:val="24"/>
          <w:rtl/>
        </w:rPr>
      </w:pPr>
      <w:r w:rsidRPr="006F6608">
        <w:rPr>
          <w:rFonts w:hint="cs"/>
          <w:sz w:val="24"/>
          <w:szCs w:val="24"/>
          <w:rtl/>
        </w:rPr>
        <w:t>דברים אלו מבארים היטב את חובת פרישת כהן גדול מביתו בשבעת הימים קודם יום הכיפורים, אך על פיהם יש להבין מדוע דין זה קיים גם בכהן השורף את הפרה האדומה; במה דומה שריפת הפרה ל"יום השמיני" וליום הכיפורים?</w:t>
      </w:r>
    </w:p>
    <w:p w:rsidR="00E064B4" w:rsidRPr="006F6608" w:rsidRDefault="00E064B4" w:rsidP="00E064B4">
      <w:pPr>
        <w:spacing w:line="276" w:lineRule="exact"/>
        <w:ind w:firstLine="227"/>
        <w:rPr>
          <w:sz w:val="24"/>
          <w:szCs w:val="24"/>
          <w:rtl/>
        </w:rPr>
      </w:pPr>
    </w:p>
    <w:p w:rsidR="00E064B4" w:rsidRPr="006F6608" w:rsidRDefault="00E064B4" w:rsidP="00E064B4">
      <w:pPr>
        <w:spacing w:line="276" w:lineRule="exact"/>
        <w:ind w:firstLine="227"/>
        <w:rPr>
          <w:sz w:val="24"/>
          <w:szCs w:val="24"/>
          <w:rtl/>
        </w:rPr>
      </w:pPr>
      <w:r w:rsidRPr="006F6608">
        <w:rPr>
          <w:rFonts w:hint="cs"/>
          <w:sz w:val="24"/>
          <w:szCs w:val="24"/>
          <w:rtl/>
        </w:rPr>
        <w:t>תמיהה זו אמורה ביחס להשוואה דלעיל בין הפרשת הכהן הגדול לפני יום הכיפורים להפרשת הכהן השורף את הפרה, אמנם בהמשך סוגיית הגמרא מבואר שדברים אלו שנויים במחלוקת אמוראים:</w:t>
      </w:r>
    </w:p>
    <w:p w:rsidR="00E064B4" w:rsidRPr="006F6608" w:rsidRDefault="00E064B4" w:rsidP="00E064B4">
      <w:pPr>
        <w:spacing w:line="276" w:lineRule="exact"/>
        <w:ind w:left="720"/>
        <w:rPr>
          <w:sz w:val="24"/>
          <w:szCs w:val="24"/>
          <w:rtl/>
        </w:rPr>
      </w:pPr>
      <w:r w:rsidRPr="006F6608">
        <w:rPr>
          <w:sz w:val="24"/>
          <w:szCs w:val="24"/>
          <w:rtl/>
        </w:rPr>
        <w:t>כי אתא רב דימי אמר</w:t>
      </w:r>
      <w:r w:rsidRPr="006F6608">
        <w:rPr>
          <w:rFonts w:hint="cs"/>
          <w:sz w:val="24"/>
          <w:szCs w:val="24"/>
          <w:rtl/>
        </w:rPr>
        <w:t>:</w:t>
      </w:r>
      <w:r w:rsidRPr="006F6608">
        <w:rPr>
          <w:sz w:val="24"/>
          <w:szCs w:val="24"/>
          <w:rtl/>
        </w:rPr>
        <w:t xml:space="preserve"> רבי יוחנן מתני חדא</w:t>
      </w:r>
      <w:r w:rsidRPr="006F6608">
        <w:rPr>
          <w:rFonts w:hint="cs"/>
          <w:sz w:val="24"/>
          <w:szCs w:val="24"/>
          <w:rtl/>
        </w:rPr>
        <w:t>,</w:t>
      </w:r>
      <w:r w:rsidRPr="006F6608">
        <w:rPr>
          <w:sz w:val="24"/>
          <w:szCs w:val="24"/>
          <w:rtl/>
        </w:rPr>
        <w:t xml:space="preserve"> רבי יהושע בן לוי מתני תרתי</w:t>
      </w:r>
      <w:r w:rsidRPr="006F6608">
        <w:rPr>
          <w:rFonts w:hint="cs"/>
          <w:sz w:val="24"/>
          <w:szCs w:val="24"/>
          <w:rtl/>
        </w:rPr>
        <w:t>.</w:t>
      </w:r>
      <w:r w:rsidRPr="006F6608">
        <w:rPr>
          <w:sz w:val="24"/>
          <w:szCs w:val="24"/>
          <w:rtl/>
        </w:rPr>
        <w:t xml:space="preserve"> רבי יוחנן מתני חדא</w:t>
      </w:r>
      <w:r w:rsidRPr="006F6608">
        <w:rPr>
          <w:rFonts w:hint="cs"/>
          <w:sz w:val="24"/>
          <w:szCs w:val="24"/>
          <w:rtl/>
        </w:rPr>
        <w:t>:</w:t>
      </w:r>
      <w:r w:rsidRPr="006F6608">
        <w:rPr>
          <w:sz w:val="24"/>
          <w:szCs w:val="24"/>
          <w:rtl/>
        </w:rPr>
        <w:t xml:space="preserve"> </w:t>
      </w:r>
      <w:r w:rsidRPr="006F6608">
        <w:rPr>
          <w:rFonts w:hint="cs"/>
          <w:sz w:val="24"/>
          <w:szCs w:val="24"/>
          <w:rtl/>
        </w:rPr>
        <w:t>'</w:t>
      </w:r>
      <w:r w:rsidRPr="006F6608">
        <w:rPr>
          <w:sz w:val="24"/>
          <w:szCs w:val="24"/>
          <w:rtl/>
        </w:rPr>
        <w:t>לעשת לכפר</w:t>
      </w:r>
      <w:r w:rsidRPr="006F6608">
        <w:rPr>
          <w:rFonts w:hint="cs"/>
          <w:sz w:val="24"/>
          <w:szCs w:val="24"/>
          <w:rtl/>
        </w:rPr>
        <w:t xml:space="preserve">' </w:t>
      </w:r>
      <w:r w:rsidRPr="006F6608">
        <w:rPr>
          <w:sz w:val="24"/>
          <w:szCs w:val="24"/>
          <w:rtl/>
        </w:rPr>
        <w:t>– אלו מעשה יום הכפורים</w:t>
      </w:r>
      <w:r w:rsidRPr="006F6608">
        <w:rPr>
          <w:rFonts w:hint="cs"/>
          <w:sz w:val="24"/>
          <w:szCs w:val="24"/>
          <w:rtl/>
        </w:rPr>
        <w:t>.</w:t>
      </w:r>
      <w:r w:rsidRPr="006F6608">
        <w:rPr>
          <w:sz w:val="24"/>
          <w:szCs w:val="24"/>
          <w:rtl/>
        </w:rPr>
        <w:t xml:space="preserve"> ורבי יהושע בן לוי מתני תרתי</w:t>
      </w:r>
      <w:r w:rsidRPr="006F6608">
        <w:rPr>
          <w:rFonts w:hint="cs"/>
          <w:sz w:val="24"/>
          <w:szCs w:val="24"/>
          <w:rtl/>
        </w:rPr>
        <w:t>:</w:t>
      </w:r>
      <w:r w:rsidRPr="006F6608">
        <w:rPr>
          <w:sz w:val="24"/>
          <w:szCs w:val="24"/>
          <w:rtl/>
        </w:rPr>
        <w:t xml:space="preserve"> </w:t>
      </w:r>
      <w:r w:rsidRPr="006F6608">
        <w:rPr>
          <w:rFonts w:hint="cs"/>
          <w:sz w:val="24"/>
          <w:szCs w:val="24"/>
          <w:rtl/>
        </w:rPr>
        <w:t>'</w:t>
      </w:r>
      <w:r w:rsidRPr="006F6608">
        <w:rPr>
          <w:sz w:val="24"/>
          <w:szCs w:val="24"/>
          <w:rtl/>
        </w:rPr>
        <w:t>לעשת –</w:t>
      </w:r>
      <w:r w:rsidRPr="006F6608">
        <w:rPr>
          <w:rFonts w:hint="cs"/>
          <w:sz w:val="24"/>
          <w:szCs w:val="24"/>
          <w:rtl/>
        </w:rPr>
        <w:t xml:space="preserve"> </w:t>
      </w:r>
      <w:r w:rsidRPr="006F6608">
        <w:rPr>
          <w:sz w:val="24"/>
          <w:szCs w:val="24"/>
          <w:rtl/>
        </w:rPr>
        <w:t>אלו מעשה פרה</w:t>
      </w:r>
      <w:r w:rsidRPr="006F6608">
        <w:rPr>
          <w:rFonts w:hint="cs"/>
          <w:sz w:val="24"/>
          <w:szCs w:val="24"/>
          <w:rtl/>
        </w:rPr>
        <w:t>,</w:t>
      </w:r>
      <w:r w:rsidRPr="006F6608">
        <w:rPr>
          <w:sz w:val="24"/>
          <w:szCs w:val="24"/>
          <w:rtl/>
        </w:rPr>
        <w:t xml:space="preserve"> לכפר –</w:t>
      </w:r>
      <w:r w:rsidRPr="006F6608">
        <w:rPr>
          <w:rFonts w:hint="cs"/>
          <w:sz w:val="24"/>
          <w:szCs w:val="24"/>
          <w:rtl/>
        </w:rPr>
        <w:t xml:space="preserve"> </w:t>
      </w:r>
      <w:r w:rsidRPr="006F6608">
        <w:rPr>
          <w:sz w:val="24"/>
          <w:szCs w:val="24"/>
          <w:rtl/>
        </w:rPr>
        <w:t>אלו מעשה יום הכפורים</w:t>
      </w:r>
      <w:r w:rsidRPr="006F6608">
        <w:rPr>
          <w:rFonts w:hint="cs"/>
          <w:sz w:val="24"/>
          <w:szCs w:val="24"/>
          <w:rtl/>
        </w:rPr>
        <w:t>.</w:t>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[יומא ג:]</w:t>
      </w:r>
    </w:p>
    <w:p w:rsidR="00E064B4" w:rsidRPr="006F6608" w:rsidRDefault="00E064B4" w:rsidP="00E064B4">
      <w:pPr>
        <w:spacing w:line="276" w:lineRule="exact"/>
        <w:ind w:firstLine="227"/>
        <w:rPr>
          <w:sz w:val="24"/>
          <w:szCs w:val="24"/>
          <w:rtl/>
        </w:rPr>
      </w:pPr>
      <w:r w:rsidRPr="006F6608">
        <w:rPr>
          <w:rFonts w:hint="cs"/>
          <w:sz w:val="24"/>
          <w:szCs w:val="24"/>
          <w:rtl/>
        </w:rPr>
        <w:t>הגמרא מביאה מחלוקת אמוראים האם הדרשה דלעיל מלמדת על חובת 'מעשה יום הכיפורים' בלבד, או גם על 'מעשה פרה'</w:t>
      </w:r>
      <w:r w:rsidRPr="006F6608">
        <w:rPr>
          <w:rStyle w:val="a7"/>
          <w:sz w:val="24"/>
          <w:szCs w:val="24"/>
          <w:rtl/>
        </w:rPr>
        <w:footnoteReference w:id="9"/>
      </w:r>
      <w:r w:rsidRPr="006F6608">
        <w:rPr>
          <w:rFonts w:hint="cs"/>
          <w:sz w:val="24"/>
          <w:szCs w:val="24"/>
          <w:rtl/>
        </w:rPr>
        <w:t>. הגמרא מוסיפה, כי לשיטת רבי יוחנן, רק חובת הפרשת הכהן הגדול לפני יום הכיפורים היא מדאורייתא, אך חובת הפרשת השורף את הפרה היא "מעלה בעלמא" מדרבנן.</w:t>
      </w:r>
    </w:p>
    <w:p w:rsidR="00E064B4" w:rsidRPr="006F6608" w:rsidRDefault="00E064B4" w:rsidP="00E064B4">
      <w:pPr>
        <w:spacing w:line="276" w:lineRule="exact"/>
        <w:ind w:firstLine="227"/>
        <w:rPr>
          <w:sz w:val="24"/>
          <w:szCs w:val="24"/>
          <w:rtl/>
        </w:rPr>
      </w:pPr>
      <w:r w:rsidRPr="006F6608">
        <w:rPr>
          <w:rFonts w:hint="cs"/>
          <w:sz w:val="24"/>
          <w:szCs w:val="24"/>
          <w:rtl/>
        </w:rPr>
        <w:t>על פי האמור, שדרשה זו מבוססת על הקשר ההדוק בין יום הכיפורים ל"יום השמיני", חילוקו של רבי יוחנן בין 'מעשה יום הכיפורים' ל'מעשה פרה' ברור. לעומת זאת, לשיטת רבי יהושע בן לוי נראה לבאר שקיים קשר גם בין 'מעשה פרה' ל'מעשה יום הכיפורים' ולחנוכת המשכן: עבודות אלו נעשות לשם חיטוי וניקוי הטומאה</w:t>
      </w:r>
      <w:r w:rsidRPr="006F6608">
        <w:rPr>
          <w:rStyle w:val="a7"/>
          <w:sz w:val="24"/>
          <w:szCs w:val="24"/>
          <w:rtl/>
        </w:rPr>
        <w:footnoteReference w:id="10"/>
      </w:r>
      <w:r w:rsidRPr="006F6608">
        <w:rPr>
          <w:rFonts w:hint="cs"/>
          <w:sz w:val="24"/>
          <w:szCs w:val="24"/>
          <w:rtl/>
        </w:rPr>
        <w:t>. בשל כך, כשם שלעבודות חיטוי המשכן ביום חנוכתו קדמו שבעת ימי פרישה, כך לעבודות חיטוי המקדש בכל שנה ולעבודת חיטוי טומאת מת יש להקדים שבעת ימי פרישה.</w:t>
      </w:r>
    </w:p>
    <w:p w:rsidR="00E064B4" w:rsidRPr="006F6608" w:rsidRDefault="00E064B4" w:rsidP="00E064B4">
      <w:pPr>
        <w:spacing w:line="276" w:lineRule="exact"/>
        <w:ind w:firstLine="227"/>
        <w:rPr>
          <w:sz w:val="24"/>
          <w:szCs w:val="24"/>
          <w:rtl/>
        </w:rPr>
      </w:pPr>
    </w:p>
    <w:p w:rsidR="00E064B4" w:rsidRPr="006F6608" w:rsidRDefault="00E064B4" w:rsidP="00E064B4">
      <w:pPr>
        <w:spacing w:line="276" w:lineRule="exact"/>
        <w:ind w:firstLine="227"/>
        <w:rPr>
          <w:sz w:val="24"/>
          <w:szCs w:val="24"/>
          <w:rtl/>
        </w:rPr>
      </w:pPr>
      <w:r>
        <w:rPr>
          <w:rFonts w:hint="cs"/>
          <w:sz w:val="24"/>
          <w:szCs w:val="24"/>
          <w:rtl/>
        </w:rPr>
        <w:t xml:space="preserve">בפשטות, על פי דברים אלו </w:t>
      </w:r>
      <w:r w:rsidRPr="006F6608">
        <w:rPr>
          <w:rFonts w:hint="cs"/>
          <w:sz w:val="24"/>
          <w:szCs w:val="24"/>
          <w:rtl/>
        </w:rPr>
        <w:t>חובת הפרשת הכהן הגדול ביום הכיפורים היא חלק מחינוכו לעבודות הכפרה: כדי לבצע את עבודות הכפרה יש צורך שיקדמו להן 'שבעת ימי מילואים', שיקנו לכהן את המעמד והקדושה הנדרשים לשם ביצוע עבודות הכפרה.</w:t>
      </w:r>
    </w:p>
    <w:p w:rsidR="00E064B4" w:rsidRPr="006F6608" w:rsidRDefault="00E064B4" w:rsidP="00E064B4">
      <w:pPr>
        <w:spacing w:line="276" w:lineRule="exact"/>
        <w:ind w:firstLine="227"/>
        <w:rPr>
          <w:sz w:val="24"/>
          <w:szCs w:val="24"/>
          <w:rtl/>
        </w:rPr>
      </w:pPr>
      <w:r w:rsidRPr="006F6608">
        <w:rPr>
          <w:rFonts w:hint="cs"/>
          <w:sz w:val="24"/>
          <w:szCs w:val="24"/>
          <w:rtl/>
        </w:rPr>
        <w:t>על פי הבנה זו מסתבר לכאורה שהפרשת הכהן תהיה לעיכובא, שכן בלעדיה הכהן חסר את המעמד והקדושה הנדרשים לשם ביצוע עבודות הכפרה. ואכן, ריש לקיש מד</w:t>
      </w:r>
      <w:r>
        <w:rPr>
          <w:rFonts w:hint="cs"/>
          <w:sz w:val="24"/>
          <w:szCs w:val="24"/>
          <w:rtl/>
        </w:rPr>
        <w:t xml:space="preserve">ייק מדברי המשנה: "ומתקינין כהן </w:t>
      </w:r>
      <w:r w:rsidRPr="006F6608">
        <w:rPr>
          <w:rFonts w:hint="cs"/>
          <w:sz w:val="24"/>
          <w:szCs w:val="24"/>
          <w:rtl/>
        </w:rPr>
        <w:t>אחר תחתיו", שההפרשה אינה מעכבת, ועל פי זה מקשה על השיטה הרואה את שבעת ימי המילואים כמקור חובת הפרשת הכהן:</w:t>
      </w:r>
    </w:p>
    <w:p w:rsidR="00E064B4" w:rsidRPr="006F6608" w:rsidRDefault="00E064B4" w:rsidP="00E064B4">
      <w:pPr>
        <w:spacing w:line="276" w:lineRule="exact"/>
        <w:ind w:left="720"/>
        <w:rPr>
          <w:sz w:val="20"/>
          <w:szCs w:val="20"/>
          <w:rtl/>
        </w:rPr>
      </w:pPr>
      <w:r w:rsidRPr="006F6608">
        <w:rPr>
          <w:sz w:val="24"/>
          <w:szCs w:val="24"/>
          <w:rtl/>
        </w:rPr>
        <w:lastRenderedPageBreak/>
        <w:t>אמר ליה ריש לקיש לרבי יוחנן</w:t>
      </w:r>
      <w:r w:rsidRPr="006F6608">
        <w:rPr>
          <w:rFonts w:hint="cs"/>
          <w:sz w:val="24"/>
          <w:szCs w:val="24"/>
          <w:rtl/>
        </w:rPr>
        <w:t>:</w:t>
      </w:r>
      <w:r w:rsidRPr="006F6608">
        <w:rPr>
          <w:sz w:val="24"/>
          <w:szCs w:val="24"/>
          <w:rtl/>
        </w:rPr>
        <w:t xml:space="preserve"> מהיכא קא ילפת לה</w:t>
      </w:r>
      <w:r w:rsidRPr="006F6608">
        <w:rPr>
          <w:rFonts w:hint="cs"/>
          <w:sz w:val="24"/>
          <w:szCs w:val="24"/>
          <w:rtl/>
        </w:rPr>
        <w:t>,</w:t>
      </w:r>
      <w:r w:rsidRPr="006F6608">
        <w:rPr>
          <w:sz w:val="24"/>
          <w:szCs w:val="24"/>
          <w:rtl/>
        </w:rPr>
        <w:t xml:space="preserve"> ממלואים</w:t>
      </w:r>
      <w:r w:rsidRPr="006F6608">
        <w:rPr>
          <w:rFonts w:hint="cs"/>
          <w:sz w:val="24"/>
          <w:szCs w:val="24"/>
          <w:rtl/>
        </w:rPr>
        <w:t>,</w:t>
      </w:r>
      <w:r w:rsidRPr="006F6608">
        <w:rPr>
          <w:sz w:val="24"/>
          <w:szCs w:val="24"/>
          <w:rtl/>
        </w:rPr>
        <w:t xml:space="preserve"> אי מה מלואים כל הכתוב בהן מעכב בהן</w:t>
      </w:r>
      <w:r w:rsidRPr="006F6608">
        <w:rPr>
          <w:rFonts w:hint="cs"/>
          <w:sz w:val="24"/>
          <w:szCs w:val="24"/>
          <w:rtl/>
        </w:rPr>
        <w:t>,</w:t>
      </w:r>
      <w:r w:rsidRPr="006F6608">
        <w:rPr>
          <w:sz w:val="24"/>
          <w:szCs w:val="24"/>
          <w:rtl/>
        </w:rPr>
        <w:t xml:space="preserve"> אף הכא נמי כל הכתוב בהן מעכב בהן</w:t>
      </w:r>
      <w:r w:rsidRPr="006F6608">
        <w:rPr>
          <w:rFonts w:hint="cs"/>
          <w:sz w:val="24"/>
          <w:szCs w:val="24"/>
          <w:rtl/>
        </w:rPr>
        <w:t xml:space="preserve">. </w:t>
      </w:r>
      <w:r w:rsidRPr="006F6608">
        <w:rPr>
          <w:sz w:val="24"/>
          <w:szCs w:val="24"/>
          <w:rtl/>
        </w:rPr>
        <w:t>וכי תימא הכי נמי</w:t>
      </w:r>
      <w:r w:rsidRPr="006F6608">
        <w:rPr>
          <w:rFonts w:hint="cs"/>
          <w:sz w:val="24"/>
          <w:szCs w:val="24"/>
          <w:rtl/>
        </w:rPr>
        <w:t xml:space="preserve">, </w:t>
      </w:r>
      <w:r w:rsidRPr="006F6608">
        <w:rPr>
          <w:sz w:val="24"/>
          <w:szCs w:val="24"/>
          <w:rtl/>
        </w:rPr>
        <w:t xml:space="preserve">והתנן </w:t>
      </w:r>
      <w:r w:rsidRPr="006F6608">
        <w:rPr>
          <w:rFonts w:hint="cs"/>
          <w:sz w:val="24"/>
          <w:szCs w:val="24"/>
          <w:rtl/>
        </w:rPr>
        <w:t>'</w:t>
      </w:r>
      <w:r w:rsidRPr="006F6608">
        <w:rPr>
          <w:sz w:val="24"/>
          <w:szCs w:val="24"/>
          <w:rtl/>
        </w:rPr>
        <w:t>ומתקינין לו כהן אחר</w:t>
      </w:r>
      <w:r w:rsidRPr="006F6608">
        <w:rPr>
          <w:rFonts w:hint="cs"/>
          <w:sz w:val="24"/>
          <w:szCs w:val="24"/>
          <w:rtl/>
        </w:rPr>
        <w:t>'</w:t>
      </w:r>
      <w:r w:rsidRPr="006F6608">
        <w:rPr>
          <w:sz w:val="24"/>
          <w:szCs w:val="24"/>
          <w:rtl/>
        </w:rPr>
        <w:t xml:space="preserve"> ולא קתני מפרישין</w:t>
      </w:r>
      <w:r w:rsidRPr="006F6608">
        <w:rPr>
          <w:rFonts w:hint="cs"/>
          <w:sz w:val="24"/>
          <w:szCs w:val="24"/>
          <w:rtl/>
        </w:rPr>
        <w:t>.</w:t>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[יומא ג:]</w:t>
      </w:r>
    </w:p>
    <w:p w:rsidR="00E064B4" w:rsidRPr="006F6608" w:rsidRDefault="00E064B4" w:rsidP="00E064B4">
      <w:pPr>
        <w:spacing w:line="276" w:lineRule="exact"/>
        <w:ind w:firstLine="227"/>
        <w:rPr>
          <w:sz w:val="24"/>
          <w:szCs w:val="24"/>
          <w:rtl/>
        </w:rPr>
      </w:pPr>
      <w:r w:rsidRPr="006F6608">
        <w:rPr>
          <w:rFonts w:hint="cs"/>
          <w:sz w:val="24"/>
          <w:szCs w:val="24"/>
          <w:rtl/>
        </w:rPr>
        <w:t xml:space="preserve">אם כן, ריש לקיש סבור שאם המקור הוא משבעת ימי המילואים ההפרשה אמורה לעכב. </w:t>
      </w:r>
    </w:p>
    <w:p w:rsidR="00E064B4" w:rsidRPr="006F6608" w:rsidRDefault="00E064B4" w:rsidP="00E064B4">
      <w:pPr>
        <w:spacing w:line="276" w:lineRule="exact"/>
        <w:ind w:firstLine="227"/>
        <w:rPr>
          <w:sz w:val="24"/>
          <w:szCs w:val="24"/>
          <w:rtl/>
        </w:rPr>
      </w:pPr>
      <w:r w:rsidRPr="006F6608">
        <w:rPr>
          <w:sz w:val="24"/>
          <w:szCs w:val="24"/>
          <w:rtl/>
        </w:rPr>
        <w:t xml:space="preserve">בגמרא לא מפורש כיצד מיישב רבי יוחנן קושיה זו, ונחלקו בכך הראשונים. </w:t>
      </w:r>
      <w:r w:rsidRPr="006F6608">
        <w:rPr>
          <w:rFonts w:hint="cs"/>
          <w:sz w:val="24"/>
          <w:szCs w:val="24"/>
          <w:rtl/>
        </w:rPr>
        <w:t xml:space="preserve">הר"י מלוניל </w:t>
      </w:r>
      <w:r w:rsidRPr="006F6608">
        <w:rPr>
          <w:rFonts w:hint="cs"/>
          <w:sz w:val="20"/>
          <w:szCs w:val="20"/>
          <w:rtl/>
        </w:rPr>
        <w:t>[יומא פ"א ה"א ד"ה ומתקינין]</w:t>
      </w:r>
      <w:r w:rsidRPr="006F6608">
        <w:rPr>
          <w:rFonts w:hint="cs"/>
          <w:sz w:val="24"/>
          <w:szCs w:val="24"/>
          <w:rtl/>
        </w:rPr>
        <w:t xml:space="preserve"> לומד </w:t>
      </w:r>
      <w:r w:rsidRPr="006F6608">
        <w:rPr>
          <w:sz w:val="24"/>
          <w:szCs w:val="24"/>
          <w:rtl/>
        </w:rPr>
        <w:t>כי לשיטתו הפרישה מעכבת</w:t>
      </w:r>
      <w:r w:rsidRPr="006F6608">
        <w:rPr>
          <w:rFonts w:hint="cs"/>
          <w:sz w:val="24"/>
          <w:szCs w:val="24"/>
          <w:rtl/>
        </w:rPr>
        <w:t xml:space="preserve">, </w:t>
      </w:r>
      <w:r>
        <w:rPr>
          <w:sz w:val="24"/>
          <w:szCs w:val="24"/>
          <w:rtl/>
        </w:rPr>
        <w:t>ולכן הי</w:t>
      </w:r>
      <w:r>
        <w:rPr>
          <w:rFonts w:hint="cs"/>
          <w:sz w:val="24"/>
          <w:szCs w:val="24"/>
          <w:rtl/>
        </w:rPr>
        <w:t>ו</w:t>
      </w:r>
      <w:r w:rsidRPr="006F6608">
        <w:rPr>
          <w:sz w:val="24"/>
          <w:szCs w:val="24"/>
          <w:rtl/>
        </w:rPr>
        <w:t xml:space="preserve"> מפרישים שבעת ימים קודם יום הכיפורים גם את הכהן שהיו ממנים תחת הכהן הגדול "שמא יארע בו פסול".</w:t>
      </w:r>
      <w:r w:rsidRPr="006F6608">
        <w:rPr>
          <w:rFonts w:hint="cs"/>
          <w:sz w:val="24"/>
          <w:szCs w:val="24"/>
          <w:rtl/>
        </w:rPr>
        <w:t xml:space="preserve"> לעומתו, </w:t>
      </w:r>
      <w:r w:rsidRPr="006F6608">
        <w:rPr>
          <w:sz w:val="24"/>
          <w:szCs w:val="24"/>
          <w:rtl/>
        </w:rPr>
        <w:t xml:space="preserve">תוספות הרא"ש </w:t>
      </w:r>
      <w:r w:rsidRPr="006F6608">
        <w:rPr>
          <w:rFonts w:hint="cs"/>
          <w:sz w:val="20"/>
          <w:szCs w:val="20"/>
          <w:rtl/>
        </w:rPr>
        <w:t>[ה: ד"ה והא דפריך]</w:t>
      </w:r>
      <w:r w:rsidRPr="006F6608">
        <w:rPr>
          <w:rFonts w:hint="cs"/>
          <w:sz w:val="24"/>
          <w:szCs w:val="24"/>
          <w:rtl/>
        </w:rPr>
        <w:t xml:space="preserve">, תוס' רי"ד </w:t>
      </w:r>
      <w:r w:rsidRPr="006F6608">
        <w:rPr>
          <w:rFonts w:hint="cs"/>
          <w:sz w:val="20"/>
          <w:szCs w:val="20"/>
          <w:rtl/>
        </w:rPr>
        <w:t>[ג: ד"ה אי]</w:t>
      </w:r>
      <w:r w:rsidRPr="006F6608">
        <w:rPr>
          <w:rFonts w:hint="cs"/>
          <w:sz w:val="24"/>
          <w:szCs w:val="24"/>
          <w:rtl/>
        </w:rPr>
        <w:t xml:space="preserve"> והריטב"א </w:t>
      </w:r>
      <w:r w:rsidRPr="006F6608">
        <w:rPr>
          <w:rFonts w:hint="cs"/>
          <w:sz w:val="20"/>
          <w:szCs w:val="20"/>
          <w:rtl/>
        </w:rPr>
        <w:t>[ב. ד"ה שבעת]</w:t>
      </w:r>
      <w:r w:rsidRPr="006F6608">
        <w:rPr>
          <w:rFonts w:hint="cs"/>
          <w:sz w:val="24"/>
          <w:szCs w:val="24"/>
          <w:rtl/>
        </w:rPr>
        <w:t xml:space="preserve"> </w:t>
      </w:r>
      <w:r w:rsidRPr="006F6608">
        <w:rPr>
          <w:sz w:val="24"/>
          <w:szCs w:val="24"/>
          <w:rtl/>
        </w:rPr>
        <w:t>נוקט</w:t>
      </w:r>
      <w:r w:rsidRPr="006F6608">
        <w:rPr>
          <w:rFonts w:hint="cs"/>
          <w:sz w:val="24"/>
          <w:szCs w:val="24"/>
          <w:rtl/>
        </w:rPr>
        <w:t>ים</w:t>
      </w:r>
      <w:r w:rsidRPr="006F6608">
        <w:rPr>
          <w:sz w:val="24"/>
          <w:szCs w:val="24"/>
          <w:rtl/>
        </w:rPr>
        <w:t xml:space="preserve"> כי </w:t>
      </w:r>
      <w:r w:rsidRPr="006F6608">
        <w:rPr>
          <w:rFonts w:hint="cs"/>
          <w:sz w:val="24"/>
          <w:szCs w:val="24"/>
          <w:rtl/>
        </w:rPr>
        <w:t xml:space="preserve">גם </w:t>
      </w:r>
      <w:r w:rsidRPr="006F6608">
        <w:rPr>
          <w:sz w:val="24"/>
          <w:szCs w:val="24"/>
          <w:rtl/>
        </w:rPr>
        <w:t xml:space="preserve">לשיטתו </w:t>
      </w:r>
      <w:r w:rsidRPr="006F6608">
        <w:rPr>
          <w:rFonts w:hint="cs"/>
          <w:sz w:val="24"/>
          <w:szCs w:val="24"/>
          <w:rtl/>
        </w:rPr>
        <w:t xml:space="preserve">הפרישה היא </w:t>
      </w:r>
      <w:r w:rsidRPr="006F6608">
        <w:rPr>
          <w:sz w:val="24"/>
          <w:szCs w:val="24"/>
          <w:rtl/>
        </w:rPr>
        <w:t>דין לכתחילה שאינו מעכב</w:t>
      </w:r>
      <w:r w:rsidRPr="006F6608">
        <w:rPr>
          <w:rFonts w:hint="cs"/>
          <w:sz w:val="24"/>
          <w:szCs w:val="24"/>
          <w:rtl/>
        </w:rPr>
        <w:t xml:space="preserve">. </w:t>
      </w:r>
    </w:p>
    <w:p w:rsidR="00E064B4" w:rsidRPr="006F6608" w:rsidRDefault="00E064B4" w:rsidP="00E064B4">
      <w:pPr>
        <w:spacing w:line="276" w:lineRule="exact"/>
        <w:ind w:firstLine="227"/>
        <w:rPr>
          <w:sz w:val="24"/>
          <w:szCs w:val="24"/>
          <w:rtl/>
        </w:rPr>
      </w:pPr>
      <w:r w:rsidRPr="006F6608">
        <w:rPr>
          <w:rFonts w:hint="cs"/>
          <w:sz w:val="24"/>
          <w:szCs w:val="24"/>
          <w:rtl/>
        </w:rPr>
        <w:t xml:space="preserve">על פי השיטה שזהו דין לכתחילה בלבד, ניתן להציע הבנה שונה ביסוד דין פרישת הכהן: הפרישה לא נועדה כדי להקנות לו מעמד וקדושה, אלא זוהי 'מצוה בעלמא' </w:t>
      </w:r>
      <w:r w:rsidRPr="006F6608">
        <w:rPr>
          <w:sz w:val="24"/>
          <w:szCs w:val="24"/>
          <w:rtl/>
        </w:rPr>
        <w:t>–</w:t>
      </w:r>
      <w:r w:rsidRPr="006F6608">
        <w:rPr>
          <w:rFonts w:hint="cs"/>
          <w:sz w:val="24"/>
          <w:szCs w:val="24"/>
          <w:rtl/>
        </w:rPr>
        <w:t xml:space="preserve"> להכשירו מבחינה מעשית לעבודות הייחודיות של יום הכיפורים.</w:t>
      </w:r>
    </w:p>
    <w:p w:rsidR="00E064B4" w:rsidRPr="006F6608" w:rsidRDefault="00E064B4" w:rsidP="00E064B4">
      <w:pPr>
        <w:spacing w:line="276" w:lineRule="exact"/>
        <w:ind w:firstLine="227"/>
        <w:rPr>
          <w:sz w:val="24"/>
          <w:szCs w:val="24"/>
          <w:rtl/>
        </w:rPr>
      </w:pPr>
      <w:r w:rsidRPr="006F6608">
        <w:rPr>
          <w:rFonts w:hint="cs"/>
          <w:sz w:val="24"/>
          <w:szCs w:val="24"/>
          <w:rtl/>
        </w:rPr>
        <w:t>הבנה זו משתמעת מלשון הברייתא המובאת בגמרא כסיעתא לשיטת רבי יוחנן:</w:t>
      </w:r>
    </w:p>
    <w:p w:rsidR="00E064B4" w:rsidRPr="006F6608" w:rsidRDefault="00E064B4" w:rsidP="00E064B4">
      <w:pPr>
        <w:spacing w:line="276" w:lineRule="exact"/>
        <w:ind w:left="720"/>
        <w:rPr>
          <w:sz w:val="20"/>
          <w:szCs w:val="20"/>
          <w:rtl/>
        </w:rPr>
      </w:pPr>
      <w:r w:rsidRPr="006F6608">
        <w:rPr>
          <w:sz w:val="24"/>
          <w:szCs w:val="24"/>
          <w:rtl/>
        </w:rPr>
        <w:t>תניא כוותיה דרבי יוחנן</w:t>
      </w:r>
      <w:r w:rsidRPr="006F6608">
        <w:rPr>
          <w:rFonts w:hint="cs"/>
          <w:sz w:val="24"/>
          <w:szCs w:val="24"/>
          <w:rtl/>
        </w:rPr>
        <w:t>,</w:t>
      </w:r>
      <w:r w:rsidRPr="006F6608">
        <w:rPr>
          <w:sz w:val="24"/>
          <w:szCs w:val="24"/>
          <w:rtl/>
        </w:rPr>
        <w:t xml:space="preserve"> </w:t>
      </w:r>
      <w:r w:rsidRPr="006F6608">
        <w:rPr>
          <w:rFonts w:hint="cs"/>
          <w:sz w:val="24"/>
          <w:szCs w:val="24"/>
          <w:rtl/>
        </w:rPr>
        <w:t>'</w:t>
      </w:r>
      <w:r w:rsidRPr="006F6608">
        <w:rPr>
          <w:sz w:val="24"/>
          <w:szCs w:val="24"/>
          <w:rtl/>
        </w:rPr>
        <w:t>בזאת יבא אהרן אל הקדש</w:t>
      </w:r>
      <w:r w:rsidRPr="006F6608">
        <w:rPr>
          <w:rFonts w:hint="cs"/>
          <w:sz w:val="24"/>
          <w:szCs w:val="24"/>
          <w:rtl/>
        </w:rPr>
        <w:t xml:space="preserve">' </w:t>
      </w:r>
      <w:r w:rsidRPr="006F6608">
        <w:rPr>
          <w:sz w:val="24"/>
          <w:szCs w:val="24"/>
          <w:rtl/>
        </w:rPr>
        <w:t>– במה שאמור בענין</w:t>
      </w:r>
      <w:r w:rsidRPr="006F6608">
        <w:rPr>
          <w:rFonts w:hint="cs"/>
          <w:sz w:val="24"/>
          <w:szCs w:val="24"/>
          <w:rtl/>
        </w:rPr>
        <w:t>.</w:t>
      </w:r>
      <w:r w:rsidRPr="006F6608">
        <w:rPr>
          <w:sz w:val="24"/>
          <w:szCs w:val="24"/>
          <w:rtl/>
        </w:rPr>
        <w:t xml:space="preserve"> מאי היא</w:t>
      </w:r>
      <w:r w:rsidRPr="006F6608">
        <w:rPr>
          <w:rFonts w:hint="cs"/>
          <w:sz w:val="24"/>
          <w:szCs w:val="24"/>
          <w:rtl/>
        </w:rPr>
        <w:t>?</w:t>
      </w:r>
      <w:r w:rsidRPr="006F6608">
        <w:rPr>
          <w:sz w:val="24"/>
          <w:szCs w:val="24"/>
          <w:rtl/>
        </w:rPr>
        <w:t xml:space="preserve"> בענין דמלואים</w:t>
      </w:r>
      <w:r w:rsidRPr="006F6608">
        <w:rPr>
          <w:rFonts w:hint="cs"/>
          <w:sz w:val="24"/>
          <w:szCs w:val="24"/>
          <w:rtl/>
        </w:rPr>
        <w:t>.</w:t>
      </w:r>
      <w:r w:rsidRPr="006F6608">
        <w:rPr>
          <w:sz w:val="24"/>
          <w:szCs w:val="24"/>
          <w:rtl/>
        </w:rPr>
        <w:t xml:space="preserve"> ומה אמור בענין דמלואים</w:t>
      </w:r>
      <w:r w:rsidRPr="006F6608">
        <w:rPr>
          <w:rFonts w:hint="cs"/>
          <w:sz w:val="24"/>
          <w:szCs w:val="24"/>
          <w:rtl/>
        </w:rPr>
        <w:t>?</w:t>
      </w:r>
      <w:r w:rsidRPr="006F6608">
        <w:rPr>
          <w:sz w:val="24"/>
          <w:szCs w:val="24"/>
          <w:rtl/>
        </w:rPr>
        <w:t xml:space="preserve"> אהרן פירש שבעה ושמש יום אחד ומשה מסר לו כל שבעה כדי לחנכו בעבודה</w:t>
      </w:r>
      <w:r w:rsidRPr="006F6608">
        <w:rPr>
          <w:rFonts w:hint="cs"/>
          <w:sz w:val="24"/>
          <w:szCs w:val="24"/>
          <w:rtl/>
        </w:rPr>
        <w:t>,</w:t>
      </w:r>
      <w:r w:rsidRPr="006F6608">
        <w:rPr>
          <w:sz w:val="24"/>
          <w:szCs w:val="24"/>
          <w:rtl/>
        </w:rPr>
        <w:t xml:space="preserve"> ואף לדורות כהן גדול פורש שבעה ומשמש יום אחד</w:t>
      </w:r>
      <w:r w:rsidRPr="006F6608">
        <w:rPr>
          <w:rFonts w:hint="cs"/>
          <w:sz w:val="24"/>
          <w:szCs w:val="24"/>
          <w:rtl/>
        </w:rPr>
        <w:t>,</w:t>
      </w:r>
      <w:r w:rsidRPr="006F6608">
        <w:rPr>
          <w:sz w:val="24"/>
          <w:szCs w:val="24"/>
          <w:rtl/>
        </w:rPr>
        <w:t xml:space="preserve"> ושני תלמידי חכמים מתלמידיו של משה</w:t>
      </w:r>
      <w:r w:rsidRPr="006F6608">
        <w:rPr>
          <w:rFonts w:hint="cs"/>
          <w:sz w:val="24"/>
          <w:szCs w:val="24"/>
          <w:rtl/>
        </w:rPr>
        <w:t>,</w:t>
      </w:r>
      <w:r w:rsidRPr="006F6608">
        <w:rPr>
          <w:sz w:val="24"/>
          <w:szCs w:val="24"/>
          <w:rtl/>
        </w:rPr>
        <w:t xml:space="preserve"> לאפוקי צדוקין</w:t>
      </w:r>
      <w:r w:rsidRPr="006F6608">
        <w:rPr>
          <w:rFonts w:hint="cs"/>
          <w:sz w:val="24"/>
          <w:szCs w:val="24"/>
          <w:rtl/>
        </w:rPr>
        <w:t>,</w:t>
      </w:r>
      <w:r w:rsidRPr="006F6608">
        <w:rPr>
          <w:sz w:val="24"/>
          <w:szCs w:val="24"/>
          <w:rtl/>
        </w:rPr>
        <w:t xml:space="preserve"> מוסרין לו כל שבעה כדי לחנכו בעבודה</w:t>
      </w:r>
      <w:r w:rsidRPr="006F6608">
        <w:rPr>
          <w:rFonts w:hint="cs"/>
          <w:sz w:val="24"/>
          <w:szCs w:val="24"/>
          <w:rtl/>
        </w:rPr>
        <w:t>.</w:t>
      </w:r>
      <w:r w:rsidRPr="006F6608">
        <w:rPr>
          <w:sz w:val="24"/>
          <w:szCs w:val="24"/>
          <w:rtl/>
        </w:rPr>
        <w:t xml:space="preserve"> מכאן אמרו</w:t>
      </w:r>
      <w:r w:rsidRPr="006F6608">
        <w:rPr>
          <w:rFonts w:hint="cs"/>
          <w:sz w:val="24"/>
          <w:szCs w:val="24"/>
          <w:rtl/>
        </w:rPr>
        <w:t>:</w:t>
      </w:r>
      <w:r w:rsidRPr="006F6608">
        <w:rPr>
          <w:sz w:val="24"/>
          <w:szCs w:val="24"/>
          <w:rtl/>
        </w:rPr>
        <w:t xml:space="preserve"> שבעת ימים קודם יום הכיפורים מפרישין כהן גדול מביתו ללשכת פרהדרין</w:t>
      </w:r>
      <w:r w:rsidRPr="006F6608">
        <w:rPr>
          <w:rFonts w:hint="cs"/>
          <w:sz w:val="24"/>
          <w:szCs w:val="24"/>
          <w:rtl/>
        </w:rPr>
        <w:t>.</w:t>
      </w:r>
      <w:r w:rsidRPr="006F6608">
        <w:rPr>
          <w:sz w:val="24"/>
          <w:szCs w:val="24"/>
          <w:rtl/>
        </w:rPr>
        <w:t xml:space="preserve"> </w:t>
      </w:r>
      <w:r w:rsidRPr="006F6608">
        <w:rPr>
          <w:rFonts w:hint="cs"/>
          <w:sz w:val="20"/>
          <w:szCs w:val="20"/>
          <w:rtl/>
        </w:rPr>
        <w:t>[יומא ד.]</w:t>
      </w:r>
    </w:p>
    <w:p w:rsidR="00E064B4" w:rsidRPr="006F6608" w:rsidRDefault="00E064B4" w:rsidP="00E064B4">
      <w:pPr>
        <w:spacing w:line="276" w:lineRule="exact"/>
        <w:ind w:firstLine="227"/>
        <w:rPr>
          <w:sz w:val="24"/>
          <w:szCs w:val="24"/>
          <w:rtl/>
        </w:rPr>
      </w:pPr>
      <w:r w:rsidRPr="006F6608">
        <w:rPr>
          <w:rFonts w:hint="cs"/>
          <w:sz w:val="24"/>
          <w:szCs w:val="24"/>
          <w:rtl/>
        </w:rPr>
        <w:t xml:space="preserve">הברייתא קושרת בין פרישת הכהן לבין החובה למסור לו שני תלמידי חכמים שילמדו אותו את סדר העבודה. נראה מכך, כי הפרשת הכהן אינה תנאי מקדים לעבודות הכפרה והחיטוי, אלא הפרשתו נועדה "כדי לחנכו בעבודה" </w:t>
      </w:r>
      <w:r w:rsidRPr="006F6608">
        <w:rPr>
          <w:sz w:val="24"/>
          <w:szCs w:val="24"/>
          <w:rtl/>
        </w:rPr>
        <w:t>–</w:t>
      </w:r>
      <w:r w:rsidRPr="006F6608">
        <w:rPr>
          <w:rFonts w:hint="cs"/>
          <w:sz w:val="24"/>
          <w:szCs w:val="24"/>
          <w:rtl/>
        </w:rPr>
        <w:t xml:space="preserve"> ללמדו כיצד לבצע את העבודות כיאות, על פי כל פרטי דיניהן ודקדוקיהן</w:t>
      </w:r>
      <w:r>
        <w:rPr>
          <w:rStyle w:val="a7"/>
          <w:sz w:val="24"/>
          <w:szCs w:val="24"/>
          <w:rtl/>
        </w:rPr>
        <w:footnoteReference w:id="11"/>
      </w:r>
      <w:r w:rsidRPr="006F6608">
        <w:rPr>
          <w:rFonts w:hint="cs"/>
          <w:sz w:val="24"/>
          <w:szCs w:val="24"/>
          <w:rtl/>
        </w:rPr>
        <w:t>.</w:t>
      </w:r>
    </w:p>
    <w:p w:rsidR="00E064B4" w:rsidRPr="006F6608" w:rsidRDefault="00E064B4" w:rsidP="00E064B4">
      <w:pPr>
        <w:spacing w:line="276" w:lineRule="exact"/>
        <w:ind w:firstLine="227"/>
        <w:rPr>
          <w:sz w:val="24"/>
          <w:szCs w:val="24"/>
          <w:rtl/>
        </w:rPr>
      </w:pPr>
      <w:r w:rsidRPr="006F6608">
        <w:rPr>
          <w:rFonts w:hint="cs"/>
          <w:sz w:val="24"/>
          <w:szCs w:val="24"/>
          <w:rtl/>
        </w:rPr>
        <w:t>אמנם, האו</w:t>
      </w:r>
      <w:r>
        <w:rPr>
          <w:rFonts w:hint="cs"/>
          <w:sz w:val="24"/>
          <w:szCs w:val="24"/>
          <w:rtl/>
        </w:rPr>
        <w:t>ר שמח מבאר באופן שונה מדוע ההפרש</w:t>
      </w:r>
      <w:r w:rsidRPr="006F6608">
        <w:rPr>
          <w:rFonts w:hint="cs"/>
          <w:sz w:val="24"/>
          <w:szCs w:val="24"/>
          <w:rtl/>
        </w:rPr>
        <w:t>ה הנלמדת מ'המילואים' אינה מעכבת:</w:t>
      </w:r>
    </w:p>
    <w:p w:rsidR="00E064B4" w:rsidRPr="006F6608" w:rsidRDefault="00E064B4" w:rsidP="00E064B4">
      <w:pPr>
        <w:spacing w:line="276" w:lineRule="exact"/>
        <w:ind w:left="720"/>
        <w:rPr>
          <w:sz w:val="20"/>
          <w:szCs w:val="20"/>
          <w:rtl/>
        </w:rPr>
      </w:pPr>
      <w:r w:rsidRPr="006F6608">
        <w:rPr>
          <w:sz w:val="24"/>
          <w:szCs w:val="24"/>
          <w:rtl/>
        </w:rPr>
        <w:t>והנה פרישה לכ</w:t>
      </w:r>
      <w:r w:rsidRPr="006F6608">
        <w:rPr>
          <w:rFonts w:hint="cs"/>
          <w:sz w:val="24"/>
          <w:szCs w:val="24"/>
          <w:rtl/>
        </w:rPr>
        <w:t>הן הגדול</w:t>
      </w:r>
      <w:r w:rsidRPr="006F6608">
        <w:rPr>
          <w:sz w:val="24"/>
          <w:szCs w:val="24"/>
          <w:rtl/>
        </w:rPr>
        <w:t xml:space="preserve"> הוי דומיא דקידוש ידים ורגלים, וקידוש ידים ורגלים קי</w:t>
      </w:r>
      <w:r w:rsidRPr="006F6608">
        <w:rPr>
          <w:rFonts w:hint="cs"/>
          <w:sz w:val="24"/>
          <w:szCs w:val="24"/>
          <w:rtl/>
        </w:rPr>
        <w:t>ימא לן</w:t>
      </w:r>
      <w:r w:rsidRPr="006F6608">
        <w:rPr>
          <w:sz w:val="24"/>
          <w:szCs w:val="24"/>
          <w:rtl/>
        </w:rPr>
        <w:t xml:space="preserve"> דאם לא קידש ידיו ורגליו שחרית לצורך עבודה חלל עבודתו, וכה</w:t>
      </w:r>
      <w:r w:rsidRPr="006F6608">
        <w:rPr>
          <w:rFonts w:hint="cs"/>
          <w:sz w:val="24"/>
          <w:szCs w:val="24"/>
          <w:rtl/>
        </w:rPr>
        <w:t>אי גוונא</w:t>
      </w:r>
      <w:r w:rsidRPr="006F6608">
        <w:rPr>
          <w:sz w:val="24"/>
          <w:szCs w:val="24"/>
          <w:rtl/>
        </w:rPr>
        <w:t xml:space="preserve"> אף דצריך לקדש ידיו ורגליו בין עבודת בגדי זהב לעבודת בגדי לבן א</w:t>
      </w:r>
      <w:r w:rsidRPr="006F6608">
        <w:rPr>
          <w:rFonts w:hint="cs"/>
          <w:sz w:val="24"/>
          <w:szCs w:val="24"/>
          <w:rtl/>
        </w:rPr>
        <w:t>ף על פי</w:t>
      </w:r>
      <w:r w:rsidRPr="006F6608">
        <w:rPr>
          <w:sz w:val="24"/>
          <w:szCs w:val="24"/>
          <w:rtl/>
        </w:rPr>
        <w:t xml:space="preserve"> כן אם לא קידש לא נתחללה עבודתו. וטעמא יליף בפ"ב דזבחים (י"ט ע"ב) מקראי, כן גבי פרישה, אף שבמלואים היו מעכבים</w:t>
      </w:r>
      <w:r w:rsidRPr="006F6608">
        <w:rPr>
          <w:rFonts w:hint="cs"/>
          <w:sz w:val="24"/>
          <w:szCs w:val="24"/>
          <w:rtl/>
        </w:rPr>
        <w:t>,</w:t>
      </w:r>
      <w:r w:rsidRPr="006F6608">
        <w:rPr>
          <w:sz w:val="24"/>
          <w:szCs w:val="24"/>
          <w:rtl/>
        </w:rPr>
        <w:t xml:space="preserve"> הוא משום שבפרישה דמלואים נתקדשו להיות ראוים לכהונה, ובלא זה לא היו ראוים לעבודה כלל, ולכן אם לא הופרשו אז היה עבודתם מחוללת, ולא נתקדשו בקדושת כהונה, דוגמא דאם לא קדשו ידיהם ורגליהם שחרית, שבלא הקידוש אינם ראוים אף לעבודת כהן הדיוט, שחללו עבודתם</w:t>
      </w:r>
      <w:r w:rsidRPr="006F6608">
        <w:rPr>
          <w:rFonts w:hint="cs"/>
          <w:sz w:val="24"/>
          <w:szCs w:val="24"/>
          <w:rtl/>
        </w:rPr>
        <w:t>.</w:t>
      </w:r>
      <w:r w:rsidRPr="006F6608">
        <w:rPr>
          <w:sz w:val="24"/>
          <w:szCs w:val="24"/>
          <w:rtl/>
        </w:rPr>
        <w:t xml:space="preserve"> אבל פרישה דכ</w:t>
      </w:r>
      <w:r w:rsidRPr="006F6608">
        <w:rPr>
          <w:rFonts w:hint="cs"/>
          <w:sz w:val="24"/>
          <w:szCs w:val="24"/>
          <w:rtl/>
        </w:rPr>
        <w:t>הן גדול ביום הכיפורים,</w:t>
      </w:r>
      <w:r w:rsidRPr="006F6608">
        <w:rPr>
          <w:sz w:val="24"/>
          <w:szCs w:val="24"/>
          <w:rtl/>
        </w:rPr>
        <w:t xml:space="preserve"> דבלא פרישה ראוים לעבודות של בגדי זהב, והראוים בכהן הדיוט, רק להיות ראוי לעבודות הצריך להם כה</w:t>
      </w:r>
      <w:r w:rsidRPr="006F6608">
        <w:rPr>
          <w:rFonts w:hint="cs"/>
          <w:sz w:val="24"/>
          <w:szCs w:val="24"/>
          <w:rtl/>
        </w:rPr>
        <w:t>ן גדול</w:t>
      </w:r>
      <w:r w:rsidRPr="006F6608">
        <w:rPr>
          <w:sz w:val="24"/>
          <w:szCs w:val="24"/>
          <w:rtl/>
        </w:rPr>
        <w:t xml:space="preserve"> בעי פרישה, א</w:t>
      </w:r>
      <w:r w:rsidRPr="006F6608">
        <w:rPr>
          <w:rFonts w:hint="cs"/>
          <w:sz w:val="24"/>
          <w:szCs w:val="24"/>
          <w:rtl/>
        </w:rPr>
        <w:t>ם כן</w:t>
      </w:r>
      <w:r w:rsidRPr="006F6608">
        <w:rPr>
          <w:sz w:val="24"/>
          <w:szCs w:val="24"/>
          <w:rtl/>
        </w:rPr>
        <w:t xml:space="preserve"> כמו דלא מעכבי ואינן מחללין עבודתם אם לא קדשו בין עבודת בגדי לבן לבגדי זהב ולבגדי זהב לבגד לבן, כן פרישה של מי שראוי לכהונה ולכל העבודות בלא הפרישה, רק ע</w:t>
      </w:r>
      <w:r w:rsidRPr="006F6608">
        <w:rPr>
          <w:rFonts w:hint="cs"/>
          <w:sz w:val="24"/>
          <w:szCs w:val="24"/>
          <w:rtl/>
        </w:rPr>
        <w:t>ל ידי</w:t>
      </w:r>
      <w:r w:rsidRPr="006F6608">
        <w:rPr>
          <w:sz w:val="24"/>
          <w:szCs w:val="24"/>
          <w:rtl/>
        </w:rPr>
        <w:t xml:space="preserve"> הפרישה הוא נעשה ראוי לעבודת יו</w:t>
      </w:r>
      <w:r w:rsidRPr="006F6608">
        <w:rPr>
          <w:rFonts w:hint="cs"/>
          <w:sz w:val="24"/>
          <w:szCs w:val="24"/>
          <w:rtl/>
        </w:rPr>
        <w:t>ם הכיפורים</w:t>
      </w:r>
      <w:r w:rsidRPr="006F6608">
        <w:rPr>
          <w:sz w:val="24"/>
          <w:szCs w:val="24"/>
          <w:rtl/>
        </w:rPr>
        <w:t>, אותה פרישה אינה מעכבת, ועבודתו כשירה בלא חלול</w:t>
      </w:r>
      <w:r w:rsidRPr="006F6608">
        <w:rPr>
          <w:rFonts w:hint="cs"/>
          <w:sz w:val="24"/>
          <w:szCs w:val="24"/>
          <w:rtl/>
        </w:rPr>
        <w:t>.</w:t>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[אור שמח הל' עבודת יום הכיפורים פ"א ה"ג]</w:t>
      </w:r>
    </w:p>
    <w:p w:rsidR="00E064B4" w:rsidRPr="006F6608" w:rsidRDefault="00E064B4" w:rsidP="00E064B4">
      <w:pPr>
        <w:ind w:firstLine="266"/>
        <w:rPr>
          <w:sz w:val="24"/>
          <w:szCs w:val="24"/>
          <w:rtl/>
        </w:rPr>
      </w:pPr>
      <w:r>
        <w:rPr>
          <w:rFonts w:hint="cs"/>
          <w:sz w:val="24"/>
          <w:szCs w:val="24"/>
          <w:rtl/>
        </w:rPr>
        <w:t>לדברי האור שמח, אמנם ההפרש</w:t>
      </w:r>
      <w:r w:rsidRPr="006F6608">
        <w:rPr>
          <w:rFonts w:hint="cs"/>
          <w:sz w:val="24"/>
          <w:szCs w:val="24"/>
          <w:rtl/>
        </w:rPr>
        <w:t xml:space="preserve">ה נועדה להכשיר את הכהן הגדול לעבודות היום, אך הואיל והוא בלאו הכי נחשב לכהן כשר </w:t>
      </w:r>
      <w:r w:rsidRPr="006F6608">
        <w:rPr>
          <w:sz w:val="24"/>
          <w:szCs w:val="24"/>
          <w:rtl/>
        </w:rPr>
        <w:t>–</w:t>
      </w:r>
      <w:r w:rsidRPr="006F6608">
        <w:rPr>
          <w:rFonts w:hint="cs"/>
          <w:sz w:val="24"/>
          <w:szCs w:val="24"/>
          <w:rtl/>
        </w:rPr>
        <w:t xml:space="preserve"> 'עבודות המילואים' המיוחדות ליום הכיפורים אינן מעכבות. לעומת זאת, </w:t>
      </w:r>
      <w:r>
        <w:rPr>
          <w:rFonts w:hint="cs"/>
          <w:sz w:val="24"/>
          <w:szCs w:val="24"/>
          <w:rtl/>
        </w:rPr>
        <w:t>ב</w:t>
      </w:r>
      <w:r w:rsidRPr="006F6608">
        <w:rPr>
          <w:rFonts w:hint="cs"/>
          <w:sz w:val="24"/>
          <w:szCs w:val="24"/>
          <w:rtl/>
        </w:rPr>
        <w:t>שבעת ימי המילואים בשעת חנוכת המשכן, שהם העניקו לכהנים את מעמדם ואת ק</w:t>
      </w:r>
      <w:r>
        <w:rPr>
          <w:rFonts w:hint="cs"/>
          <w:sz w:val="24"/>
          <w:szCs w:val="24"/>
          <w:rtl/>
        </w:rPr>
        <w:t>דושתם ככהנים, ההפרשת היא לעיכובא</w:t>
      </w:r>
      <w:r w:rsidRPr="006F6608">
        <w:rPr>
          <w:rFonts w:hint="cs"/>
          <w:sz w:val="24"/>
          <w:szCs w:val="24"/>
          <w:rtl/>
        </w:rPr>
        <w:t xml:space="preserve">. </w:t>
      </w:r>
    </w:p>
    <w:p w:rsidR="00E064B4" w:rsidRPr="006F6608" w:rsidRDefault="00E064B4" w:rsidP="00E064B4">
      <w:pPr>
        <w:ind w:firstLine="266"/>
        <w:rPr>
          <w:sz w:val="24"/>
          <w:szCs w:val="24"/>
          <w:rtl/>
        </w:rPr>
      </w:pPr>
    </w:p>
    <w:p w:rsidR="00E064B4" w:rsidRPr="006F6608" w:rsidRDefault="00E064B4" w:rsidP="00E064B4">
      <w:pPr>
        <w:ind w:firstLine="266"/>
        <w:rPr>
          <w:sz w:val="24"/>
          <w:szCs w:val="24"/>
          <w:rtl/>
        </w:rPr>
      </w:pPr>
      <w:r w:rsidRPr="006F6608">
        <w:rPr>
          <w:rFonts w:hint="cs"/>
          <w:sz w:val="24"/>
          <w:szCs w:val="24"/>
          <w:rtl/>
        </w:rPr>
        <w:lastRenderedPageBreak/>
        <w:t>דברים אלו אמורים במסגרת שיטת רבי יוחנן וסיעתו, הלומדת את חובת ה</w:t>
      </w:r>
      <w:r>
        <w:rPr>
          <w:rFonts w:hint="cs"/>
          <w:sz w:val="24"/>
          <w:szCs w:val="24"/>
          <w:rtl/>
        </w:rPr>
        <w:t>הפר</w:t>
      </w:r>
      <w:r w:rsidRPr="006F6608">
        <w:rPr>
          <w:rFonts w:hint="cs"/>
          <w:sz w:val="24"/>
          <w:szCs w:val="24"/>
          <w:rtl/>
        </w:rPr>
        <w:t>שה משבעת ימי המילואים. אמנם, כאמור, ריש לקיש מקשה על מקור זה, והוא מביא לכך מקור אחר:</w:t>
      </w:r>
    </w:p>
    <w:p w:rsidR="00E064B4" w:rsidRPr="006F6608" w:rsidRDefault="00E064B4" w:rsidP="00E064B4">
      <w:pPr>
        <w:spacing w:line="276" w:lineRule="exact"/>
        <w:ind w:left="720"/>
        <w:rPr>
          <w:sz w:val="24"/>
          <w:szCs w:val="24"/>
          <w:rtl/>
        </w:rPr>
      </w:pPr>
      <w:r w:rsidRPr="006F6608">
        <w:rPr>
          <w:sz w:val="24"/>
          <w:szCs w:val="24"/>
          <w:rtl/>
        </w:rPr>
        <w:t>אמר ליה</w:t>
      </w:r>
      <w:r w:rsidRPr="006F6608">
        <w:rPr>
          <w:rFonts w:hint="cs"/>
          <w:sz w:val="24"/>
          <w:szCs w:val="24"/>
          <w:rtl/>
        </w:rPr>
        <w:t>:</w:t>
      </w:r>
      <w:r w:rsidRPr="006F6608">
        <w:rPr>
          <w:sz w:val="24"/>
          <w:szCs w:val="24"/>
          <w:rtl/>
        </w:rPr>
        <w:t xml:space="preserve"> אלא מר מהיכא יליף לה</w:t>
      </w:r>
      <w:r w:rsidRPr="006F6608">
        <w:rPr>
          <w:rFonts w:hint="cs"/>
          <w:sz w:val="24"/>
          <w:szCs w:val="24"/>
          <w:rtl/>
        </w:rPr>
        <w:t>?</w:t>
      </w:r>
      <w:r w:rsidRPr="006F6608">
        <w:rPr>
          <w:sz w:val="24"/>
          <w:szCs w:val="24"/>
          <w:rtl/>
        </w:rPr>
        <w:t xml:space="preserve"> אמר</w:t>
      </w:r>
      <w:r w:rsidRPr="006F6608">
        <w:rPr>
          <w:rFonts w:hint="cs"/>
          <w:sz w:val="24"/>
          <w:szCs w:val="24"/>
          <w:rtl/>
        </w:rPr>
        <w:t>:</w:t>
      </w:r>
      <w:r w:rsidRPr="006F6608">
        <w:rPr>
          <w:sz w:val="24"/>
          <w:szCs w:val="24"/>
          <w:rtl/>
        </w:rPr>
        <w:t xml:space="preserve"> מסיני</w:t>
      </w:r>
      <w:r w:rsidRPr="006F6608">
        <w:rPr>
          <w:rFonts w:hint="cs"/>
          <w:sz w:val="24"/>
          <w:szCs w:val="24"/>
          <w:rtl/>
        </w:rPr>
        <w:t>,</w:t>
      </w:r>
      <w:r w:rsidRPr="006F6608">
        <w:rPr>
          <w:sz w:val="24"/>
          <w:szCs w:val="24"/>
          <w:rtl/>
        </w:rPr>
        <w:t xml:space="preserve"> דכתיב </w:t>
      </w:r>
      <w:r w:rsidRPr="006F6608">
        <w:rPr>
          <w:rFonts w:hint="cs"/>
          <w:sz w:val="24"/>
          <w:szCs w:val="24"/>
          <w:rtl/>
        </w:rPr>
        <w:t>'</w:t>
      </w:r>
      <w:r w:rsidRPr="006F6608">
        <w:rPr>
          <w:sz w:val="24"/>
          <w:szCs w:val="24"/>
          <w:rtl/>
        </w:rPr>
        <w:t>וישכן כבוד ה' על הר סיני ויכסהו הענן ששת ימים ויקרא אל משה ביום השביעי</w:t>
      </w:r>
      <w:r w:rsidRPr="006F6608">
        <w:rPr>
          <w:rFonts w:hint="cs"/>
          <w:sz w:val="24"/>
          <w:szCs w:val="24"/>
          <w:rtl/>
        </w:rPr>
        <w:t xml:space="preserve">' </w:t>
      </w:r>
      <w:r w:rsidRPr="006F6608">
        <w:rPr>
          <w:sz w:val="24"/>
          <w:szCs w:val="24"/>
          <w:rtl/>
        </w:rPr>
        <w:t xml:space="preserve">– מכדי כתיב </w:t>
      </w:r>
      <w:r w:rsidRPr="006F6608">
        <w:rPr>
          <w:rFonts w:hint="cs"/>
          <w:sz w:val="24"/>
          <w:szCs w:val="24"/>
          <w:rtl/>
        </w:rPr>
        <w:t>'</w:t>
      </w:r>
      <w:r w:rsidRPr="006F6608">
        <w:rPr>
          <w:sz w:val="24"/>
          <w:szCs w:val="24"/>
          <w:rtl/>
        </w:rPr>
        <w:t>ויקרא אל משה ביום השביעי</w:t>
      </w:r>
      <w:r w:rsidRPr="006F6608">
        <w:rPr>
          <w:rFonts w:hint="cs"/>
          <w:sz w:val="24"/>
          <w:szCs w:val="24"/>
          <w:rtl/>
        </w:rPr>
        <w:t>',</w:t>
      </w:r>
      <w:r w:rsidRPr="006F6608">
        <w:rPr>
          <w:sz w:val="24"/>
          <w:szCs w:val="24"/>
          <w:rtl/>
        </w:rPr>
        <w:t xml:space="preserve"> מאי </w:t>
      </w:r>
      <w:r w:rsidRPr="006F6608">
        <w:rPr>
          <w:rFonts w:hint="cs"/>
          <w:sz w:val="24"/>
          <w:szCs w:val="24"/>
          <w:rtl/>
        </w:rPr>
        <w:t>'</w:t>
      </w:r>
      <w:r w:rsidRPr="006F6608">
        <w:rPr>
          <w:sz w:val="24"/>
          <w:szCs w:val="24"/>
          <w:rtl/>
        </w:rPr>
        <w:t>ששת ימים</w:t>
      </w:r>
      <w:r w:rsidRPr="006F6608">
        <w:rPr>
          <w:rFonts w:hint="cs"/>
          <w:sz w:val="24"/>
          <w:szCs w:val="24"/>
          <w:rtl/>
        </w:rPr>
        <w:t>'?</w:t>
      </w:r>
      <w:r w:rsidRPr="006F6608">
        <w:rPr>
          <w:sz w:val="24"/>
          <w:szCs w:val="24"/>
          <w:rtl/>
        </w:rPr>
        <w:t xml:space="preserve"> זה בנה אב שכל הנכנס במחנה שכינה טעון פרישת ששה</w:t>
      </w:r>
      <w:r w:rsidRPr="006F6608">
        <w:rPr>
          <w:rFonts w:hint="cs"/>
          <w:sz w:val="24"/>
          <w:szCs w:val="24"/>
          <w:rtl/>
        </w:rPr>
        <w:t>.</w:t>
      </w:r>
      <w:r w:rsidRPr="006F6608">
        <w:rPr>
          <w:sz w:val="24"/>
          <w:szCs w:val="24"/>
          <w:rtl/>
        </w:rPr>
        <w:tab/>
      </w:r>
      <w:r w:rsidRPr="006F6608">
        <w:rPr>
          <w:rFonts w:hint="cs"/>
          <w:sz w:val="24"/>
          <w:szCs w:val="24"/>
          <w:rtl/>
        </w:rPr>
        <w:t xml:space="preserve">       </w:t>
      </w:r>
      <w:r w:rsidRPr="006F6608">
        <w:rPr>
          <w:rFonts w:hint="cs"/>
          <w:sz w:val="20"/>
          <w:szCs w:val="20"/>
          <w:rtl/>
        </w:rPr>
        <w:t>[יומא ג:]</w:t>
      </w:r>
    </w:p>
    <w:p w:rsidR="00E064B4" w:rsidRPr="006F6608" w:rsidRDefault="00E064B4" w:rsidP="00E064B4">
      <w:pPr>
        <w:spacing w:line="276" w:lineRule="exact"/>
        <w:ind w:firstLine="227"/>
        <w:rPr>
          <w:sz w:val="24"/>
          <w:szCs w:val="24"/>
          <w:rtl/>
        </w:rPr>
      </w:pPr>
      <w:r w:rsidRPr="006F6608">
        <w:rPr>
          <w:rFonts w:hint="cs"/>
          <w:sz w:val="24"/>
          <w:szCs w:val="24"/>
          <w:rtl/>
        </w:rPr>
        <w:t xml:space="preserve">לשיטתו, מקור חובת </w:t>
      </w:r>
      <w:r>
        <w:rPr>
          <w:rFonts w:hint="cs"/>
          <w:sz w:val="24"/>
          <w:szCs w:val="24"/>
          <w:rtl/>
        </w:rPr>
        <w:t>הפר</w:t>
      </w:r>
      <w:r w:rsidRPr="006F6608">
        <w:rPr>
          <w:rFonts w:hint="cs"/>
          <w:sz w:val="24"/>
          <w:szCs w:val="24"/>
          <w:rtl/>
        </w:rPr>
        <w:t xml:space="preserve">שת הכהן הוא מסיני: כשם שמשה פרש שישה ימים לפני כניסתו למחנה שכינה, כך הכהן הגדול צריך לפרוש שישה ימים לפני כניסתו לקודש הקדשים </w:t>
      </w:r>
      <w:r w:rsidRPr="006F6608">
        <w:rPr>
          <w:sz w:val="24"/>
          <w:szCs w:val="24"/>
          <w:rtl/>
        </w:rPr>
        <w:t>–</w:t>
      </w:r>
      <w:r w:rsidRPr="006F6608">
        <w:rPr>
          <w:rFonts w:hint="cs"/>
          <w:sz w:val="24"/>
          <w:szCs w:val="24"/>
          <w:rtl/>
        </w:rPr>
        <w:t xml:space="preserve"> המקום בו שורה השכינה.</w:t>
      </w:r>
    </w:p>
    <w:p w:rsidR="00E064B4" w:rsidRPr="006F6608" w:rsidRDefault="00E064B4" w:rsidP="00E064B4">
      <w:pPr>
        <w:spacing w:line="276" w:lineRule="exact"/>
        <w:ind w:firstLine="227"/>
        <w:rPr>
          <w:sz w:val="24"/>
          <w:szCs w:val="24"/>
          <w:rtl/>
        </w:rPr>
      </w:pPr>
      <w:r>
        <w:rPr>
          <w:rFonts w:hint="cs"/>
          <w:sz w:val="24"/>
          <w:szCs w:val="24"/>
          <w:rtl/>
        </w:rPr>
        <w:t xml:space="preserve">משיטתו עולה כי </w:t>
      </w:r>
      <w:r w:rsidRPr="006F6608">
        <w:rPr>
          <w:rFonts w:hint="cs"/>
          <w:sz w:val="24"/>
          <w:szCs w:val="24"/>
          <w:rtl/>
        </w:rPr>
        <w:t xml:space="preserve">חובת הפרשת הכהן השורף את הפרה שונה במהותה מחובת הפרשת הכהן הגדול לפני יום הכיפורים: הפרשת הכהן הגדול היא דין תורה, מחמת כניסתו למחנה שכינה; הפרשת הכהן השורף את הפרה, לעומת זאת, היא 'מעלה בעלמא', כחלק מההקפדה היתרה על טהרתו. </w:t>
      </w:r>
    </w:p>
    <w:p w:rsidR="00E064B4" w:rsidRPr="006F6608" w:rsidRDefault="00E064B4" w:rsidP="00E064B4">
      <w:pPr>
        <w:spacing w:line="276" w:lineRule="exact"/>
        <w:ind w:firstLine="227"/>
        <w:rPr>
          <w:sz w:val="24"/>
          <w:szCs w:val="24"/>
          <w:rtl/>
        </w:rPr>
      </w:pPr>
      <w:r w:rsidRPr="006F6608">
        <w:rPr>
          <w:rFonts w:hint="cs"/>
          <w:sz w:val="24"/>
          <w:szCs w:val="24"/>
          <w:rtl/>
        </w:rPr>
        <w:t>על פי האמור נראה כי מחלוקת רבי יוחנן וריש לקיש אינה רק במקור חובת הפרישה, אלא גם בהבנת יסוד החיוב בפרישה: לפי רבי יוחנן, עבודות הכפרה והחיטוי הן המחייבות את הפרישה. לעומת זאת, לפי ריש לקיש, הכניסה למחנה שכינה היא המחייבת את הפרישה.</w:t>
      </w:r>
    </w:p>
    <w:p w:rsidR="00E064B4" w:rsidRPr="006F6608" w:rsidRDefault="00E064B4" w:rsidP="00E064B4">
      <w:pPr>
        <w:spacing w:line="276" w:lineRule="exact"/>
        <w:ind w:firstLine="227"/>
        <w:rPr>
          <w:sz w:val="24"/>
          <w:szCs w:val="24"/>
          <w:rtl/>
        </w:rPr>
      </w:pPr>
      <w:r w:rsidRPr="006F6608">
        <w:rPr>
          <w:rFonts w:hint="cs"/>
          <w:sz w:val="24"/>
          <w:szCs w:val="24"/>
          <w:rtl/>
        </w:rPr>
        <w:t xml:space="preserve">תתכן נפקא מינה בין </w:t>
      </w:r>
      <w:r>
        <w:rPr>
          <w:rFonts w:hint="cs"/>
          <w:sz w:val="24"/>
          <w:szCs w:val="24"/>
          <w:rtl/>
        </w:rPr>
        <w:t>ה</w:t>
      </w:r>
      <w:r w:rsidRPr="006F6608">
        <w:rPr>
          <w:rFonts w:hint="cs"/>
          <w:sz w:val="24"/>
          <w:szCs w:val="24"/>
          <w:rtl/>
        </w:rPr>
        <w:t xml:space="preserve">שיטות על פי שיטתו של הגר"א </w:t>
      </w:r>
      <w:r w:rsidRPr="006F6608">
        <w:rPr>
          <w:sz w:val="24"/>
          <w:szCs w:val="24"/>
          <w:rtl/>
        </w:rPr>
        <w:t>–</w:t>
      </w:r>
      <w:r w:rsidRPr="006F6608">
        <w:rPr>
          <w:rFonts w:hint="cs"/>
          <w:sz w:val="24"/>
          <w:szCs w:val="24"/>
          <w:rtl/>
        </w:rPr>
        <w:t xml:space="preserve"> שהובאה בשיעור הקודם </w:t>
      </w:r>
      <w:r w:rsidRPr="006F6608">
        <w:rPr>
          <w:sz w:val="24"/>
          <w:szCs w:val="24"/>
          <w:rtl/>
        </w:rPr>
        <w:t>–</w:t>
      </w:r>
      <w:r w:rsidRPr="006F6608">
        <w:rPr>
          <w:rFonts w:hint="cs"/>
          <w:sz w:val="24"/>
          <w:szCs w:val="24"/>
          <w:rtl/>
        </w:rPr>
        <w:t xml:space="preserve"> שלאהרן הכהן היה מותר להיכנס לקודש הקדשים בכל שעה, גם שלא ביום הכיפורים. כניסה זו למקום השראת השכינה אינה נעשית לשם כפרה, ולכן לפי שיטתו של רבי יוחנן מסתבר שכניסה זו מותרת גם ללא פרישה. לעומת זאת, לפי שיטת ריש לקיש, "שכל הנכנס במחנה שכינה טעון פרישת שישה", מסתבר שאהרן הכהן היה מחויב בפרישה לפני כל כניסה אל קודש הקדשים</w:t>
      </w:r>
      <w:r w:rsidRPr="006F6608">
        <w:rPr>
          <w:rStyle w:val="a7"/>
          <w:sz w:val="24"/>
          <w:szCs w:val="24"/>
          <w:rtl/>
        </w:rPr>
        <w:footnoteReference w:id="12"/>
      </w:r>
      <w:r w:rsidRPr="006F6608">
        <w:rPr>
          <w:rFonts w:hint="cs"/>
          <w:sz w:val="24"/>
          <w:szCs w:val="24"/>
          <w:rtl/>
        </w:rPr>
        <w:t>.</w:t>
      </w:r>
    </w:p>
    <w:p w:rsidR="00E064B4" w:rsidRPr="006F6608" w:rsidRDefault="00E064B4" w:rsidP="00E064B4">
      <w:pPr>
        <w:spacing w:line="276" w:lineRule="exact"/>
        <w:ind w:firstLine="227"/>
        <w:rPr>
          <w:sz w:val="24"/>
          <w:szCs w:val="24"/>
          <w:rtl/>
        </w:rPr>
      </w:pPr>
    </w:p>
    <w:p w:rsidR="00E064B4" w:rsidRPr="006F6608" w:rsidRDefault="00E064B4" w:rsidP="00E064B4">
      <w:pPr>
        <w:spacing w:line="276" w:lineRule="exact"/>
        <w:ind w:firstLine="227"/>
        <w:rPr>
          <w:sz w:val="24"/>
          <w:szCs w:val="24"/>
          <w:rtl/>
        </w:rPr>
      </w:pPr>
      <w:r w:rsidRPr="006F6608">
        <w:rPr>
          <w:rFonts w:hint="cs"/>
          <w:sz w:val="24"/>
          <w:szCs w:val="24"/>
          <w:rtl/>
        </w:rPr>
        <w:t xml:space="preserve">בשולי הדברים נעיר כי מסוגיית הגמרא נראה כי לכל השיטות חובת פרישת הכהן הגדול </w:t>
      </w:r>
      <w:r>
        <w:rPr>
          <w:rFonts w:hint="cs"/>
          <w:sz w:val="24"/>
          <w:szCs w:val="24"/>
          <w:rtl/>
        </w:rPr>
        <w:t xml:space="preserve">ביום הכיפורים </w:t>
      </w:r>
      <w:r w:rsidRPr="006F6608">
        <w:rPr>
          <w:rFonts w:hint="cs"/>
          <w:sz w:val="24"/>
          <w:szCs w:val="24"/>
          <w:rtl/>
        </w:rPr>
        <w:t xml:space="preserve">היא מדאורייתא, אמנם תוספות נוקטים לא כך. תוספות אומרים זאת ביחס לדברי הגמרא </w:t>
      </w:r>
      <w:r w:rsidRPr="006F6608">
        <w:rPr>
          <w:rFonts w:hint="cs"/>
          <w:sz w:val="20"/>
          <w:szCs w:val="20"/>
          <w:rtl/>
        </w:rPr>
        <w:t>[ד.]</w:t>
      </w:r>
      <w:r w:rsidRPr="006F6608">
        <w:rPr>
          <w:rFonts w:hint="cs"/>
          <w:sz w:val="24"/>
          <w:szCs w:val="24"/>
          <w:rtl/>
        </w:rPr>
        <w:t xml:space="preserve"> שאת הזאות הדם על הכהנים בשבעת ימי המילואים החליפו ההזאות ממי אפר הפרה: "ואם תאמר במילואים דם הכא מים, אמרת נכנסו מים תחת דם". מכך מסיקים תוספות כי הדרשה הלומדת את חובת פרישת הכהן משבעת ימי המילואים היא אסמכתא:</w:t>
      </w:r>
    </w:p>
    <w:p w:rsidR="00E064B4" w:rsidRPr="006F6608" w:rsidRDefault="00E064B4" w:rsidP="00E064B4">
      <w:pPr>
        <w:spacing w:line="276" w:lineRule="exact"/>
        <w:ind w:left="720"/>
        <w:rPr>
          <w:sz w:val="20"/>
          <w:szCs w:val="20"/>
          <w:rtl/>
        </w:rPr>
      </w:pPr>
      <w:r w:rsidRPr="006F6608">
        <w:rPr>
          <w:rFonts w:hint="cs"/>
          <w:sz w:val="24"/>
          <w:szCs w:val="24"/>
          <w:rtl/>
        </w:rPr>
        <w:t xml:space="preserve">דלאו </w:t>
      </w:r>
      <w:r w:rsidRPr="006F6608">
        <w:rPr>
          <w:sz w:val="24"/>
          <w:szCs w:val="24"/>
          <w:rtl/>
        </w:rPr>
        <w:t>לגמרי דרשה גמורה היא הא דגמרי ממלואים אלא אסמכתא בעלמא</w:t>
      </w:r>
      <w:r w:rsidRPr="006F6608">
        <w:rPr>
          <w:rFonts w:hint="cs"/>
          <w:sz w:val="24"/>
          <w:szCs w:val="24"/>
          <w:rtl/>
        </w:rPr>
        <w:t>,</w:t>
      </w:r>
      <w:r w:rsidRPr="006F6608">
        <w:rPr>
          <w:sz w:val="24"/>
          <w:szCs w:val="24"/>
          <w:rtl/>
        </w:rPr>
        <w:t xml:space="preserve"> דעיקר קרא ד</w:t>
      </w:r>
      <w:r w:rsidRPr="006F6608">
        <w:rPr>
          <w:rFonts w:hint="cs"/>
          <w:sz w:val="24"/>
          <w:szCs w:val="24"/>
          <w:rtl/>
        </w:rPr>
        <w:t>'</w:t>
      </w:r>
      <w:r w:rsidRPr="006F6608">
        <w:rPr>
          <w:sz w:val="24"/>
          <w:szCs w:val="24"/>
          <w:rtl/>
        </w:rPr>
        <w:t>כאשר עשה ביום הזה</w:t>
      </w:r>
      <w:r w:rsidRPr="006F6608">
        <w:rPr>
          <w:rFonts w:hint="cs"/>
          <w:sz w:val="24"/>
          <w:szCs w:val="24"/>
          <w:rtl/>
        </w:rPr>
        <w:t>'</w:t>
      </w:r>
      <w:r w:rsidRPr="006F6608">
        <w:rPr>
          <w:sz w:val="24"/>
          <w:szCs w:val="24"/>
          <w:rtl/>
        </w:rPr>
        <w:t xml:space="preserve"> יש לפרש</w:t>
      </w:r>
      <w:r w:rsidRPr="006F6608">
        <w:rPr>
          <w:rFonts w:hint="cs"/>
          <w:sz w:val="24"/>
          <w:szCs w:val="24"/>
          <w:rtl/>
        </w:rPr>
        <w:t>,</w:t>
      </w:r>
      <w:r w:rsidRPr="006F6608">
        <w:rPr>
          <w:sz w:val="24"/>
          <w:szCs w:val="24"/>
          <w:rtl/>
        </w:rPr>
        <w:t xml:space="preserve"> דביום ראשון של ז' ימי המלואים אמר להם</w:t>
      </w:r>
      <w:r w:rsidRPr="006F6608">
        <w:rPr>
          <w:rFonts w:hint="cs"/>
          <w:sz w:val="24"/>
          <w:szCs w:val="24"/>
          <w:rtl/>
        </w:rPr>
        <w:t>:</w:t>
      </w:r>
      <w:r w:rsidRPr="006F6608">
        <w:rPr>
          <w:sz w:val="24"/>
          <w:szCs w:val="24"/>
          <w:rtl/>
        </w:rPr>
        <w:t xml:space="preserve"> כאשר עשה ביום הזה צוה ה' לעשות כל ז' ימי המלואים</w:t>
      </w:r>
      <w:r w:rsidRPr="006F6608">
        <w:rPr>
          <w:rFonts w:hint="cs"/>
          <w:sz w:val="24"/>
          <w:szCs w:val="24"/>
          <w:rtl/>
        </w:rPr>
        <w:t>...</w:t>
      </w:r>
      <w:r w:rsidRPr="006F6608">
        <w:rPr>
          <w:sz w:val="24"/>
          <w:szCs w:val="24"/>
          <w:rtl/>
        </w:rPr>
        <w:t xml:space="preserve"> וכיון דאסמכתא בעלמא הוא אין לחוש אי אמרינן נכנסו מים תחת דם.</w:t>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[תוס' ד. ד"ה נכנסו]</w:t>
      </w:r>
    </w:p>
    <w:p w:rsidR="00E064B4" w:rsidRPr="006F6608" w:rsidRDefault="00E064B4" w:rsidP="00E064B4">
      <w:pPr>
        <w:spacing w:line="276" w:lineRule="exact"/>
        <w:ind w:firstLine="227"/>
        <w:rPr>
          <w:sz w:val="24"/>
          <w:szCs w:val="24"/>
          <w:rtl/>
        </w:rPr>
      </w:pPr>
      <w:r w:rsidRPr="006F6608">
        <w:rPr>
          <w:rFonts w:hint="cs"/>
          <w:sz w:val="24"/>
          <w:szCs w:val="24"/>
          <w:rtl/>
        </w:rPr>
        <w:t xml:space="preserve">האחרונים </w:t>
      </w:r>
      <w:r w:rsidRPr="006F6608">
        <w:rPr>
          <w:rFonts w:hint="cs"/>
          <w:sz w:val="20"/>
          <w:szCs w:val="20"/>
          <w:rtl/>
        </w:rPr>
        <w:t xml:space="preserve">[גבורת ארי, שם; </w:t>
      </w:r>
      <w:r>
        <w:rPr>
          <w:rFonts w:hint="cs"/>
          <w:sz w:val="20"/>
          <w:szCs w:val="20"/>
          <w:rtl/>
        </w:rPr>
        <w:t xml:space="preserve">מים חיים הל' עבודת יוה"כ פ"א ה"ג; </w:t>
      </w:r>
      <w:r w:rsidRPr="006F6608">
        <w:rPr>
          <w:rFonts w:hint="cs"/>
          <w:sz w:val="20"/>
          <w:szCs w:val="20"/>
          <w:rtl/>
        </w:rPr>
        <w:t>ליקוטי הלכות - זבח תודה בתחילת המסכת, ד"ה אמר קרא; חזון איש סי' קכו ס"ק ב]</w:t>
      </w:r>
      <w:r w:rsidRPr="006F6608">
        <w:rPr>
          <w:rFonts w:hint="cs"/>
          <w:sz w:val="24"/>
          <w:szCs w:val="24"/>
          <w:rtl/>
        </w:rPr>
        <w:t xml:space="preserve"> מקשים על דברי תוספות, שסוגיית הגמרא מוכיחה שזהו דין תורה. בשל כך, יש הטוענים שיש לבאר את כוונת תוספות באופן אחר. החזון איש </w:t>
      </w:r>
      <w:r w:rsidRPr="006F6608">
        <w:rPr>
          <w:rFonts w:hint="cs"/>
          <w:sz w:val="20"/>
          <w:szCs w:val="20"/>
          <w:rtl/>
        </w:rPr>
        <w:t>[שם]</w:t>
      </w:r>
      <w:r w:rsidRPr="006F6608">
        <w:rPr>
          <w:rFonts w:hint="cs"/>
          <w:sz w:val="24"/>
          <w:szCs w:val="24"/>
          <w:rtl/>
        </w:rPr>
        <w:t xml:space="preserve"> מציע כי גם לדבריהם הדין ביסודו הוא מדאורייתא, אלא המקור לכך בדרשת הפסוקים הוא אסמכתא. בספר 'שערי היכל' </w:t>
      </w:r>
      <w:r w:rsidRPr="006F6608">
        <w:rPr>
          <w:rFonts w:hint="cs"/>
          <w:sz w:val="20"/>
          <w:szCs w:val="20"/>
          <w:rtl/>
        </w:rPr>
        <w:t>[מערכה א]</w:t>
      </w:r>
      <w:r w:rsidRPr="006F6608">
        <w:rPr>
          <w:rFonts w:hint="cs"/>
          <w:sz w:val="24"/>
          <w:szCs w:val="24"/>
          <w:rtl/>
        </w:rPr>
        <w:t xml:space="preserve"> מובאת דרך נוספת בביאור שיטתם, כי אין כוונתם שזהו דין דרבנן גמור, אלא האסמכתא מלמדת שיש עניין לתקן כך, אלא שהתורה לא הטילה זאת כחובה. בשל כך, חכמים הם הקובעים זאת לחובה, ולכן ביכולתם לשנות את גדרי הדין על פי הצורך והסברה. </w:t>
      </w:r>
    </w:p>
    <w:p w:rsidR="00E064B4" w:rsidRPr="006F6608" w:rsidRDefault="00E064B4" w:rsidP="00E064B4">
      <w:pPr>
        <w:spacing w:line="276" w:lineRule="exact"/>
        <w:ind w:firstLine="227"/>
        <w:rPr>
          <w:sz w:val="24"/>
          <w:szCs w:val="24"/>
          <w:rtl/>
        </w:rPr>
      </w:pPr>
    </w:p>
    <w:p w:rsidR="00E064B4" w:rsidRPr="006F6608" w:rsidRDefault="00E064B4" w:rsidP="00E064B4">
      <w:pPr>
        <w:spacing w:line="276" w:lineRule="exact"/>
        <w:ind w:firstLine="227"/>
        <w:jc w:val="right"/>
        <w:rPr>
          <w:sz w:val="24"/>
          <w:szCs w:val="24"/>
        </w:rPr>
      </w:pPr>
      <w:r w:rsidRPr="006F6608">
        <w:rPr>
          <w:rFonts w:hint="cs"/>
          <w:sz w:val="24"/>
          <w:szCs w:val="24"/>
          <w:u w:val="single"/>
          <w:rtl/>
        </w:rPr>
        <w:t>להערות ולתגובות</w:t>
      </w:r>
      <w:r w:rsidRPr="006F6608">
        <w:rPr>
          <w:rFonts w:hint="cs"/>
          <w:sz w:val="24"/>
          <w:szCs w:val="24"/>
          <w:rtl/>
        </w:rPr>
        <w:t>: שלמה ליפשיץ</w:t>
      </w:r>
    </w:p>
    <w:p w:rsidR="00E064B4" w:rsidRDefault="00E064B4" w:rsidP="00E064B4">
      <w:pPr>
        <w:spacing w:line="276" w:lineRule="exact"/>
        <w:ind w:firstLine="227"/>
        <w:jc w:val="right"/>
        <w:rPr>
          <w:rtl/>
        </w:rPr>
      </w:pPr>
      <w:hyperlink r:id="rId9" w:history="1">
        <w:r w:rsidRPr="006F6608">
          <w:rPr>
            <w:rStyle w:val="Hyperlink"/>
            <w:sz w:val="24"/>
            <w:szCs w:val="24"/>
          </w:rPr>
          <w:t>lshlomo26@gmail.com</w:t>
        </w:r>
      </w:hyperlink>
    </w:p>
    <w:p w:rsidR="00E064B4" w:rsidRDefault="00E064B4">
      <w:pPr>
        <w:spacing w:after="0" w:line="240" w:lineRule="auto"/>
        <w:rPr>
          <w:rtl/>
        </w:rPr>
      </w:pPr>
      <w:r>
        <w:rPr>
          <w:rtl/>
        </w:rPr>
        <w:br w:type="page"/>
      </w:r>
    </w:p>
    <w:p w:rsidR="00E064B4" w:rsidRPr="003E0C48" w:rsidRDefault="00E064B4" w:rsidP="00E064B4">
      <w:pPr>
        <w:keepNext/>
        <w:keepLines/>
        <w:spacing w:before="240" w:after="0" w:line="276" w:lineRule="exact"/>
        <w:jc w:val="center"/>
        <w:outlineLvl w:val="0"/>
        <w:rPr>
          <w:rFonts w:asciiTheme="majorHAnsi" w:eastAsiaTheme="majorEastAsia" w:hAnsiTheme="majorHAnsi"/>
          <w:bCs/>
          <w:sz w:val="36"/>
          <w:szCs w:val="36"/>
          <w:rtl/>
        </w:rPr>
      </w:pPr>
      <w:bookmarkStart w:id="15" w:name="_Toc76718396"/>
      <w:bookmarkStart w:id="16" w:name="_Toc76718801"/>
      <w:bookmarkStart w:id="17" w:name="_Toc76719141"/>
      <w:r w:rsidRPr="003E0C48">
        <w:rPr>
          <w:rFonts w:asciiTheme="majorHAnsi" w:eastAsiaTheme="majorEastAsia" w:hAnsiTheme="majorHAnsi" w:hint="cs"/>
          <w:bCs/>
          <w:sz w:val="40"/>
          <w:szCs w:val="40"/>
          <w:rtl/>
        </w:rPr>
        <w:lastRenderedPageBreak/>
        <w:t>יסודות יומא</w:t>
      </w:r>
      <w:bookmarkEnd w:id="15"/>
      <w:bookmarkEnd w:id="16"/>
      <w:bookmarkEnd w:id="17"/>
    </w:p>
    <w:p w:rsidR="00E064B4" w:rsidRPr="003E0C48" w:rsidRDefault="00E064B4" w:rsidP="00E064B4">
      <w:pPr>
        <w:keepNext/>
        <w:keepLines/>
        <w:spacing w:before="240" w:after="0" w:line="276" w:lineRule="exact"/>
        <w:jc w:val="center"/>
        <w:outlineLvl w:val="0"/>
        <w:rPr>
          <w:rFonts w:asciiTheme="majorHAnsi" w:eastAsiaTheme="majorEastAsia" w:hAnsiTheme="majorHAnsi"/>
          <w:b/>
          <w:sz w:val="32"/>
          <w:szCs w:val="32"/>
          <w:rtl/>
        </w:rPr>
      </w:pPr>
      <w:bookmarkStart w:id="18" w:name="_Toc76719142"/>
      <w:r w:rsidRPr="003E0C48">
        <w:rPr>
          <w:rFonts w:asciiTheme="majorHAnsi" w:eastAsiaTheme="majorEastAsia" w:hAnsiTheme="majorHAnsi" w:hint="cs"/>
          <w:b/>
          <w:sz w:val="32"/>
          <w:szCs w:val="32"/>
          <w:rtl/>
        </w:rPr>
        <w:t>שיעור שלישי</w:t>
      </w:r>
      <w:bookmarkEnd w:id="18"/>
    </w:p>
    <w:p w:rsidR="00E064B4" w:rsidRPr="003E0C48" w:rsidRDefault="00E064B4" w:rsidP="00E064B4">
      <w:pPr>
        <w:keepNext/>
        <w:keepLines/>
        <w:spacing w:before="240" w:after="0" w:line="276" w:lineRule="exact"/>
        <w:jc w:val="center"/>
        <w:outlineLvl w:val="0"/>
        <w:rPr>
          <w:rFonts w:asciiTheme="majorHAnsi" w:eastAsiaTheme="majorEastAsia" w:hAnsiTheme="majorHAnsi"/>
          <w:bCs/>
          <w:sz w:val="32"/>
          <w:szCs w:val="32"/>
          <w:rtl/>
        </w:rPr>
      </w:pPr>
      <w:bookmarkStart w:id="19" w:name="_Toc76718398"/>
      <w:bookmarkStart w:id="20" w:name="_Toc76718803"/>
      <w:bookmarkStart w:id="21" w:name="_Toc76719143"/>
      <w:r w:rsidRPr="003E0C48">
        <w:rPr>
          <w:rFonts w:asciiTheme="majorHAnsi" w:eastAsiaTheme="majorEastAsia" w:hAnsiTheme="majorHAnsi" w:hint="cs"/>
          <w:bCs/>
          <w:sz w:val="36"/>
          <w:szCs w:val="36"/>
          <w:rtl/>
        </w:rPr>
        <w:t>מינוי וחינוך כהן גדול</w:t>
      </w:r>
      <w:bookmarkEnd w:id="19"/>
      <w:bookmarkEnd w:id="20"/>
      <w:bookmarkEnd w:id="21"/>
    </w:p>
    <w:p w:rsidR="00E064B4" w:rsidRPr="003E0C48" w:rsidRDefault="009337C2" w:rsidP="00E064B4">
      <w:pPr>
        <w:spacing w:line="276" w:lineRule="exact"/>
        <w:rPr>
          <w:highlight w:val="green"/>
          <w:rtl/>
        </w:rPr>
      </w:pPr>
      <w:r w:rsidRPr="003E0C48">
        <w:rPr>
          <w:noProof/>
          <w:highlight w:val="green"/>
          <w:rtl/>
        </w:rPr>
        <mc:AlternateContent>
          <mc:Choice Requires="wps">
            <w:drawing>
              <wp:anchor distT="0" distB="0" distL="114300" distR="114300" simplePos="0" relativeHeight="251665408" behindDoc="1" locked="0" layoutInCell="1" allowOverlap="1" wp14:anchorId="277D0064" wp14:editId="0184BC05">
                <wp:simplePos x="0" y="0"/>
                <wp:positionH relativeFrom="column">
                  <wp:posOffset>-259080</wp:posOffset>
                </wp:positionH>
                <wp:positionV relativeFrom="paragraph">
                  <wp:posOffset>228600</wp:posOffset>
                </wp:positionV>
                <wp:extent cx="5765800" cy="7917180"/>
                <wp:effectExtent l="0" t="0" r="25400" b="26670"/>
                <wp:wrapNone/>
                <wp:docPr id="5" name="מלבן 5"/>
                <wp:cNvGraphicFramePr/>
                <a:graphic xmlns:a="http://schemas.openxmlformats.org/drawingml/2006/main">
                  <a:graphicData uri="http://schemas.microsoft.com/office/word/2010/wordprocessingShape">
                    <wps:wsp>
                      <wps:cNvSpPr/>
                      <wps:spPr>
                        <a:xfrm>
                          <a:off x="0" y="0"/>
                          <a:ext cx="5765800" cy="791718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0519E" id="מלבן 5" o:spid="_x0000_s1026" style="position:absolute;left:0;text-align:left;margin-left:-20.4pt;margin-top:18pt;width:454pt;height:6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N/iQIAAAEFAAAOAAAAZHJzL2Uyb0RvYy54bWysVMtu2zAQvBfoPxC8N7INO06EyIHhwEWB&#10;IAmQFDnTFGUJ4Kskbdn9i96L9rP8Ox1SivNoTkV9oLnc5e7OcFYXlzslyVY43xhd0OHJgBKhuSkb&#10;vS7o14flpzNKfGC6ZNJoUdC98PRy9vHDRWtzMTK1kaVwBEm0z1tb0DoEm2eZ57VQzJ8YKzSclXGK&#10;BZhunZWOtciuZDYaDE6z1rjSOsOF9zi96px0lvJXleDhtqq8CEQWFL2FtLq0ruKazS5YvnbM1g3v&#10;22D/0IVijUbRY6orFhjZuOavVKrhznhThRNuVGaqquEiYQCa4eANmvuaWZGwgBxvjzT5/5eW32zv&#10;HGnKgk4o0UzhiQ6/Dj8PPw6/ySSy01qfI+je3rne8thGqLvKqfgPEGSXGN0fGRW7QDgOJ9PTydkA&#10;xHP4pufD6fAscZ49X7fOh8/CKBI3BXV4ssQk2177gJIIfQqJ1byRTblspEzG3i+kI1uG14UoStNS&#10;IpkPOCzoMv0iBqR4dU1q0kKs54NJ7IxBdpVkAVtlQYTXa0qYXEPPPLjUy6vb3q1Xx6rj8XS0GL9X&#10;JDZ9xXzddZcyxDCWqyZA8rJRBQU1+PW3pY5ekUTbQ4/kd3TH3cqUezyWM52KveXLBkWuAfiOOcgW&#10;aDCK4RZLJQ0gmn5HSW3c9/fOYzzUBC8lLcYA8L9tmBPg8YuGzs6H43Gcm2SMJ9MRDPfSs3rp0Ru1&#10;MHiLIYbe8rSN8UE+nVbOqEdM7DxWhYtpjtod0b2xCN14Yua5mM9TGGbFsnCt7y2PySNPkd6H3SNz&#10;thdOgOZuzNPIsPyNfrrYeFOb+SaYqknieuYVMokG5iwJpv8mxEF+aaeo5y/X7A8AAAD//wMAUEsD&#10;BBQABgAIAAAAIQDOgfwO4AAAAAsBAAAPAAAAZHJzL2Rvd25yZXYueG1sTI/BTsMwEETvSPyDtUjc&#10;WrsBhSjEqSgSAg4gWhBnN16ciHgdYrcJf89yguNqn2beVOvZ9+KIY+wCaVgtFQikJtiOnIa317tF&#10;ASImQ9b0gVDDN0ZY16cnlSltmGiLx11ygkMolkZDm9JQShmbFr2JyzAg8e8jjN4kPkcn7WgmDve9&#10;zJTKpTcdcUNrBrxtsfncHbyGx437en9wq23u+5dpQ/fq+Skorc/P5ptrEAnn9AfDrz6rQ81O+3Ag&#10;G0WvYXGpWD1puMh5EwNFfpWB2DOZFVkBsq7k/w31DwAAAP//AwBQSwECLQAUAAYACAAAACEAtoM4&#10;kv4AAADhAQAAEwAAAAAAAAAAAAAAAAAAAAAAW0NvbnRlbnRfVHlwZXNdLnhtbFBLAQItABQABgAI&#10;AAAAIQA4/SH/1gAAAJQBAAALAAAAAAAAAAAAAAAAAC8BAABfcmVscy8ucmVsc1BLAQItABQABgAI&#10;AAAAIQCEsZN/iQIAAAEFAAAOAAAAAAAAAAAAAAAAAC4CAABkcnMvZTJvRG9jLnhtbFBLAQItABQA&#10;BgAIAAAAIQDOgfwO4AAAAAsBAAAPAAAAAAAAAAAAAAAAAOMEAABkcnMvZG93bnJldi54bWxQSwUG&#10;AAAAAAQABADzAAAA8AUAAAAA&#10;" fillcolor="window" strokecolor="#4472c4" strokeweight="1.5pt"/>
            </w:pict>
          </mc:Fallback>
        </mc:AlternateContent>
      </w:r>
    </w:p>
    <w:p w:rsidR="00E064B4" w:rsidRPr="00162D87" w:rsidRDefault="00E064B4" w:rsidP="00E064B4">
      <w:pPr>
        <w:spacing w:line="276" w:lineRule="exact"/>
        <w:jc w:val="center"/>
        <w:rPr>
          <w:b/>
          <w:bCs/>
          <w:sz w:val="24"/>
          <w:szCs w:val="24"/>
          <w:rtl/>
        </w:rPr>
      </w:pPr>
      <w:r w:rsidRPr="00162D87">
        <w:rPr>
          <w:rFonts w:hint="cs"/>
          <w:b/>
          <w:bCs/>
          <w:sz w:val="24"/>
          <w:szCs w:val="24"/>
          <w:rtl/>
        </w:rPr>
        <w:t>מקורות</w:t>
      </w:r>
    </w:p>
    <w:p w:rsidR="00E064B4" w:rsidRDefault="00E064B4" w:rsidP="00E064B4">
      <w:pPr>
        <w:spacing w:line="276" w:lineRule="exact"/>
        <w:rPr>
          <w:sz w:val="24"/>
          <w:szCs w:val="24"/>
          <w:rtl/>
        </w:rPr>
      </w:pPr>
      <w:r w:rsidRPr="00162D87">
        <w:rPr>
          <w:rFonts w:hint="cs"/>
          <w:sz w:val="24"/>
          <w:szCs w:val="24"/>
          <w:rtl/>
        </w:rPr>
        <w:t>א. גמ' יומא ה. "</w:t>
      </w:r>
      <w:r>
        <w:rPr>
          <w:rFonts w:hint="cs"/>
          <w:sz w:val="24"/>
          <w:szCs w:val="24"/>
          <w:rtl/>
        </w:rPr>
        <w:t>רבינא אמר... אף משיחה שבעה"; רש"י ד"ה ריבוי שבעה</w:t>
      </w:r>
    </w:p>
    <w:p w:rsidR="00E064B4" w:rsidRDefault="00E064B4" w:rsidP="00E064B4">
      <w:pPr>
        <w:spacing w:line="276" w:lineRule="exact"/>
        <w:rPr>
          <w:sz w:val="24"/>
          <w:szCs w:val="24"/>
          <w:rtl/>
        </w:rPr>
      </w:pPr>
      <w:r>
        <w:rPr>
          <w:rFonts w:hint="cs"/>
          <w:sz w:val="24"/>
          <w:szCs w:val="24"/>
          <w:rtl/>
        </w:rPr>
        <w:t>ב. רמב"ם הל' כלי המקדש פ"ד הי"ב-יג והשגת הראב"ד; רדב"ז, שם</w:t>
      </w:r>
    </w:p>
    <w:p w:rsidR="00E064B4" w:rsidRDefault="00E064B4" w:rsidP="00E064B4">
      <w:pPr>
        <w:spacing w:line="276" w:lineRule="exact"/>
        <w:rPr>
          <w:sz w:val="24"/>
          <w:szCs w:val="24"/>
          <w:rtl/>
        </w:rPr>
      </w:pPr>
      <w:r>
        <w:rPr>
          <w:rFonts w:hint="cs"/>
          <w:sz w:val="24"/>
          <w:szCs w:val="24"/>
          <w:rtl/>
        </w:rPr>
        <w:t>ג. גמ' יומא יב.-: "ומתקינין לו... עבודתו מחנכתו"</w:t>
      </w:r>
    </w:p>
    <w:p w:rsidR="00E064B4" w:rsidRDefault="00E064B4" w:rsidP="00E064B4">
      <w:pPr>
        <w:spacing w:line="276" w:lineRule="exact"/>
        <w:rPr>
          <w:sz w:val="24"/>
          <w:szCs w:val="24"/>
          <w:rtl/>
        </w:rPr>
      </w:pPr>
      <w:r>
        <w:rPr>
          <w:rFonts w:hint="cs"/>
          <w:sz w:val="24"/>
          <w:szCs w:val="24"/>
          <w:rtl/>
        </w:rPr>
        <w:t>ד. גבורת ארי ה. ד"ה ריבוי שבעה</w:t>
      </w:r>
    </w:p>
    <w:p w:rsidR="00E064B4" w:rsidRPr="003E0C48" w:rsidRDefault="00E064B4" w:rsidP="00E064B4">
      <w:pPr>
        <w:spacing w:line="276" w:lineRule="exact"/>
        <w:rPr>
          <w:sz w:val="24"/>
          <w:szCs w:val="24"/>
        </w:rPr>
      </w:pPr>
      <w:r>
        <w:rPr>
          <w:rFonts w:hint="cs"/>
          <w:sz w:val="24"/>
          <w:szCs w:val="24"/>
          <w:rtl/>
        </w:rPr>
        <w:t>ה. חדושי הגר"ח על הש"ס יומא ב. 'עבודת כהן גדול קודם שנתרבה בבגדים'</w:t>
      </w:r>
    </w:p>
    <w:p w:rsidR="00E064B4" w:rsidRPr="003E0C48" w:rsidRDefault="00E064B4" w:rsidP="00E064B4">
      <w:pPr>
        <w:spacing w:line="276" w:lineRule="exact"/>
        <w:rPr>
          <w:sz w:val="24"/>
          <w:szCs w:val="24"/>
          <w:highlight w:val="green"/>
          <w:rtl/>
        </w:rPr>
      </w:pPr>
    </w:p>
    <w:p w:rsidR="00E064B4" w:rsidRPr="00162D87" w:rsidRDefault="00E064B4" w:rsidP="00E064B4">
      <w:pPr>
        <w:spacing w:line="276" w:lineRule="exact"/>
        <w:rPr>
          <w:rFonts w:ascii="FrankRuehl" w:hAnsi="FrankRuehl" w:cs="FrankRuehl"/>
          <w:b/>
          <w:bCs/>
          <w:sz w:val="24"/>
          <w:szCs w:val="24"/>
          <w:rtl/>
        </w:rPr>
      </w:pPr>
      <w:r w:rsidRPr="00162D87">
        <w:rPr>
          <w:rFonts w:ascii="FrankRuehl" w:hAnsi="FrankRuehl" w:cs="FrankRuehl" w:hint="cs"/>
          <w:b/>
          <w:bCs/>
          <w:sz w:val="24"/>
          <w:szCs w:val="24"/>
          <w:rtl/>
        </w:rPr>
        <w:t>רדב"ז הל' כלי המקדש פ"ד הי"ג</w:t>
      </w:r>
    </w:p>
    <w:p w:rsidR="00E064B4" w:rsidRDefault="00E064B4" w:rsidP="00E064B4">
      <w:pPr>
        <w:spacing w:line="276" w:lineRule="exact"/>
        <w:rPr>
          <w:rFonts w:ascii="FrankRuehl" w:hAnsi="FrankRuehl" w:cs="FrankRuehl"/>
          <w:sz w:val="24"/>
          <w:szCs w:val="24"/>
          <w:rtl/>
        </w:rPr>
      </w:pPr>
      <w:r w:rsidRPr="00162D87">
        <w:rPr>
          <w:rFonts w:ascii="FrankRuehl" w:hAnsi="FrankRuehl" w:cs="FrankRuehl" w:hint="cs"/>
          <w:sz w:val="24"/>
          <w:szCs w:val="24"/>
          <w:rtl/>
        </w:rPr>
        <w:t>בה</w:t>
      </w:r>
      <w:r>
        <w:rPr>
          <w:rFonts w:ascii="FrankRuehl" w:hAnsi="FrankRuehl" w:cs="FrankRuehl" w:hint="cs"/>
          <w:sz w:val="24"/>
          <w:szCs w:val="24"/>
          <w:rtl/>
        </w:rPr>
        <w:t>שגות, אמר אברהם נראה מדבריו וכו'. אבל אני רואה חכמה יתירה בדברי רבינו, שהרי משה שימש בכל שבעת ימי המילואים ולא אהרן, ואמאי, כיון שנמשח ביום הראשון ונתרבה בבגדים אמאי לא לא שימש שאר ימים. ותו, דכל הני קראי בשבת ימי המילואים איירי, אלא משמע דכהן גדול בתחילת מינויו לא היה עובד לכתחילה עד שישלמו לו שבעה ימים במשיחה או בריבוי בגים, ובדיעבד עבודתו כשירה כיון שנמשח או נתרבה יום אחד. ומחלוקתם תלוי בהא דאמרינן 'ולדורות מנא לן דלא מעכב דתניא וכפר' וכו'. רש"י והראב"ד ז"ל ס"ל כיון דילפינן מהאי קרא והאי קרא איירי ביום הכיפורים, משמע דוקא ביום הכיפורים בעינן לכתחילה נתרבה שבעה ונמשח שבעה, אבל בימי המילואים בכל יום עובד בשמונה בגדים לכתחילה, ומשום חומרת יום הכיפורים בעינן לכתחילה שנתרבה תחילה שבעה ונמשח שבעה. ורבינו ז"ל סובר דז' ימי המילואים ויום הכיפורים שוים הם... וכי היכי דהוקשו ריבוי ומשחה ליום הכיפורים הוקשו לעניין שבעת ימי המילואים לדורות, ואדרבה עיקר קראי במילואים כתיבי, הילכתך לכתחילה בעינן ריבוי שבעה ומשיחה שבעה, והרי זה מן החכמה.</w:t>
      </w:r>
    </w:p>
    <w:p w:rsidR="00E064B4" w:rsidRDefault="00E064B4" w:rsidP="00E064B4">
      <w:pPr>
        <w:spacing w:line="276" w:lineRule="exact"/>
        <w:rPr>
          <w:rFonts w:ascii="FrankRuehl" w:hAnsi="FrankRuehl" w:cs="FrankRuehl"/>
          <w:sz w:val="24"/>
          <w:szCs w:val="24"/>
          <w:rtl/>
        </w:rPr>
      </w:pPr>
    </w:p>
    <w:p w:rsidR="00E064B4" w:rsidRDefault="00E064B4" w:rsidP="00E064B4">
      <w:pPr>
        <w:spacing w:line="276" w:lineRule="exact"/>
        <w:rPr>
          <w:rFonts w:ascii="FrankRuehl" w:hAnsi="FrankRuehl" w:cs="FrankRuehl"/>
          <w:b/>
          <w:bCs/>
          <w:sz w:val="24"/>
          <w:szCs w:val="24"/>
          <w:rtl/>
        </w:rPr>
      </w:pPr>
      <w:r>
        <w:rPr>
          <w:rFonts w:ascii="FrankRuehl" w:hAnsi="FrankRuehl" w:cs="FrankRuehl" w:hint="cs"/>
          <w:b/>
          <w:bCs/>
          <w:sz w:val="24"/>
          <w:szCs w:val="24"/>
          <w:rtl/>
        </w:rPr>
        <w:t>גבורת ארי יומא ה. ד"ה ריבוי שבעה</w:t>
      </w:r>
    </w:p>
    <w:p w:rsidR="00E064B4" w:rsidRPr="00B14B28" w:rsidRDefault="00E064B4" w:rsidP="00E064B4">
      <w:pPr>
        <w:spacing w:line="276" w:lineRule="exact"/>
        <w:rPr>
          <w:rFonts w:ascii="FrankRuehl" w:hAnsi="FrankRuehl" w:cs="FrankRuehl"/>
          <w:sz w:val="24"/>
          <w:szCs w:val="24"/>
          <w:rtl/>
        </w:rPr>
      </w:pPr>
      <w:r>
        <w:rPr>
          <w:rFonts w:ascii="FrankRuehl" w:hAnsi="FrankRuehl" w:cs="FrankRuehl"/>
          <w:sz w:val="24"/>
          <w:szCs w:val="24"/>
          <w:rtl/>
        </w:rPr>
        <w:t>ריבוי שבעה</w:t>
      </w:r>
      <w:r>
        <w:rPr>
          <w:rFonts w:ascii="FrankRuehl" w:hAnsi="FrankRuehl" w:cs="FrankRuehl" w:hint="cs"/>
          <w:sz w:val="24"/>
          <w:szCs w:val="24"/>
          <w:rtl/>
        </w:rPr>
        <w:t xml:space="preserve"> - </w:t>
      </w:r>
      <w:r w:rsidRPr="00B14B28">
        <w:rPr>
          <w:rFonts w:ascii="FrankRuehl" w:hAnsi="FrankRuehl" w:cs="FrankRuehl"/>
          <w:sz w:val="24"/>
          <w:szCs w:val="24"/>
          <w:rtl/>
        </w:rPr>
        <w:t>פירש רש"י ששימש כהן גדול ז' ימים רצופים כשממנין אותו לכהן גדול וילבש ח' בגדים בשעת עבודה ריבוי לשון מרובה בגדים הוא שמשמש בח' וההדיוט בד'. משמע מפירושו שריבוי אינו אלא כשמשמש באותן ח' בגדים. ואינו נראה כן מדברי הרמב"ם שכתב בפרק ד' מהל' כלי המקדש הלכה י"ג. כיצד מרבין אותו בבגדים לובש ח' בגדים ופושטן וחוזר ולובש למחר ז' ימים יום אחר יום שנאמר ז' ימים ילבשם הכהן תחתיו מבניו הרי שלבישת ח' בגדים לחוד קרוי' ריבוי ואין צריך לעבוד בהן כלל ולכאורה לא משמע כן אלא כפירוש רש"י לקמן (דף י"ב ע"א) דאמרינן אירע בו פסול אחר תמיד של שחר במאי מחנכין אותו אמר רב אדא בר אהבה באבנט הניחא למאן דאמר אבנטו של כהן גדול זהו כו' אמר אביי לובש ח' ומהפך בצינורא ואי ריבוי אינו בעובד עבודה בלבישת ח' בגדים דוקא אלא בלבישתם לחוד נמי הוי ריבוי אם כן אין לחלק בין אירע בו פסול קודם תמיד לאירע בו לאחריו דהא אפשר לו ללבוש ח' בגדים בלי עבודה לאחר תמיד כמו קודם. ועוד לאביי דאמר לובש ח' ומהפך בצינורא היפוך זה למה לי בלובש ח' לחוד בלי היפוך סגי לריבוי אלא על כרחך אין מצות ריבוי אלא בלבישה ועבודה.</w:t>
      </w:r>
    </w:p>
    <w:p w:rsidR="00E064B4" w:rsidRDefault="00E064B4" w:rsidP="00E064B4">
      <w:pPr>
        <w:spacing w:line="276" w:lineRule="exact"/>
        <w:rPr>
          <w:rFonts w:ascii="FrankRuehl" w:hAnsi="FrankRuehl" w:cs="FrankRuehl"/>
          <w:b/>
          <w:bCs/>
          <w:sz w:val="24"/>
          <w:szCs w:val="24"/>
          <w:rtl/>
        </w:rPr>
      </w:pPr>
    </w:p>
    <w:p w:rsidR="00E064B4" w:rsidRPr="00B14B28" w:rsidRDefault="00E064B4" w:rsidP="00E064B4">
      <w:pPr>
        <w:spacing w:line="276" w:lineRule="exact"/>
        <w:rPr>
          <w:rFonts w:ascii="FrankRuehl" w:hAnsi="FrankRuehl" w:cs="FrankRuehl"/>
          <w:b/>
          <w:bCs/>
          <w:sz w:val="24"/>
          <w:szCs w:val="24"/>
          <w:rtl/>
        </w:rPr>
      </w:pPr>
      <w:r>
        <w:rPr>
          <w:rFonts w:ascii="FrankRuehl" w:hAnsi="FrankRuehl" w:cs="FrankRuehl" w:hint="cs"/>
          <w:b/>
          <w:bCs/>
          <w:sz w:val="24"/>
          <w:szCs w:val="24"/>
          <w:rtl/>
        </w:rPr>
        <w:t>חידושי הגר"ח יומא ב. 'עבודת כהן גדול קודם שנתרבה בבגדים'</w:t>
      </w:r>
    </w:p>
    <w:p w:rsidR="00E064B4" w:rsidRPr="00B14B28" w:rsidRDefault="00E064B4" w:rsidP="00E064B4">
      <w:pPr>
        <w:spacing w:line="276" w:lineRule="exact"/>
        <w:rPr>
          <w:rFonts w:ascii="FrankRuehl" w:hAnsi="FrankRuehl" w:cs="FrankRuehl"/>
          <w:sz w:val="24"/>
          <w:szCs w:val="24"/>
          <w:rtl/>
        </w:rPr>
      </w:pPr>
      <w:r w:rsidRPr="00B14B28">
        <w:rPr>
          <w:rFonts w:ascii="FrankRuehl" w:hAnsi="FrankRuehl" w:cs="FrankRuehl"/>
          <w:sz w:val="24"/>
          <w:szCs w:val="24"/>
          <w:rtl/>
        </w:rPr>
        <w:t xml:space="preserve">הרמב"ם (בפ"ד מהל' כלי המקדש הל' י"ג) כתב אם עבד [כה"ג] קודם שיתרבה בבגדים כל שבעה או קודם שימשח כל שבעה עבודתו כשרה הואיל ונתרבה או נמשח פעם אחת נעשה כהן גדול לכל דבר, והראב"ד השיג עליו דנראה מדבריו דלא היה עובד כ"ג באותן ז' ימים שנתרבה בבגדים ונמשח, ואינו כן אלא כשאמרו נתרבה </w:t>
      </w:r>
      <w:r w:rsidR="009337C2" w:rsidRPr="003E0C48">
        <w:rPr>
          <w:noProof/>
          <w:highlight w:val="green"/>
          <w:rtl/>
        </w:rPr>
        <w:lastRenderedPageBreak/>
        <mc:AlternateContent>
          <mc:Choice Requires="wps">
            <w:drawing>
              <wp:anchor distT="0" distB="0" distL="114300" distR="114300" simplePos="0" relativeHeight="251677696" behindDoc="1" locked="0" layoutInCell="1" allowOverlap="1" wp14:anchorId="5C2DCE6D" wp14:editId="645517CB">
                <wp:simplePos x="0" y="0"/>
                <wp:positionH relativeFrom="margin">
                  <wp:posOffset>-243840</wp:posOffset>
                </wp:positionH>
                <wp:positionV relativeFrom="paragraph">
                  <wp:posOffset>-213360</wp:posOffset>
                </wp:positionV>
                <wp:extent cx="5765800" cy="2263140"/>
                <wp:effectExtent l="0" t="0" r="25400" b="22860"/>
                <wp:wrapNone/>
                <wp:docPr id="6" name="מלבן 6"/>
                <wp:cNvGraphicFramePr/>
                <a:graphic xmlns:a="http://schemas.openxmlformats.org/drawingml/2006/main">
                  <a:graphicData uri="http://schemas.microsoft.com/office/word/2010/wordprocessingShape">
                    <wps:wsp>
                      <wps:cNvSpPr/>
                      <wps:spPr>
                        <a:xfrm>
                          <a:off x="0" y="0"/>
                          <a:ext cx="5765800" cy="22631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F4B4E" id="מלבן 6" o:spid="_x0000_s1026" style="position:absolute;left:0;text-align:left;margin-left:-19.2pt;margin-top:-16.8pt;width:454pt;height:178.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xIiQIAAAEFAAAOAAAAZHJzL2Uyb0RvYy54bWysVEtu2zAQ3RfoHQjuG9mu7SRC5MBw4KJA&#10;kAZIiqxpirIE8FeStuzeovuiPZav00dKcT7NqqgX9AxnOJ83b3RxuVOSbIXzjdEFHZ4MKBGam7LR&#10;64J+vV9+OKPEB6ZLJo0WBd0LTy9n799dtDYXI1MbWQpHEET7vLUFrUOweZZ5XgvF/ImxQsNYGadY&#10;gOrWWelYi+hKZqPBYJq1xpXWGS68x+1VZ6SzFL+qBA9fqsqLQGRBUVtIp0vnKp7Z7ILla8ds3fC+&#10;DPYPVSjWaCQ9hrpigZGNa/4KpRrujDdVOOFGZaaqGi5SD+hmOHjVzV3NrEi9ABxvjzD5/xeW32xv&#10;HWnKgk4p0UxhRIdfh5+HH4ffZBrRaa3P4XRnb12veYix1V3lVPxHE2SXEN0fERW7QDguJ6fTydkA&#10;wHPYRqPpx+E4YZ49PbfOh0/CKBKFgjqMLCHJttc+ICVcH11iNm9kUy4bKZOy9wvpyJZhuiBFaVpK&#10;JPMBlwVdpl/sASFePJOatCDr+WASK2OgXSVZgKgsgPB6TQmTa/CZB5dqefHau/XqmHU8Ph0txm8l&#10;iUVfMV931aUI0Y3lqgmgvGxUQQENfv1rqaNVJNL2rUfwO7ijtDLlHsNypmOxt3zZIMk1Gr5lDrRF&#10;N1jF8AVHJQ1aNL1ESW3c97fuoz/YBCslLdYA7X/bMCeA42cNnp0Px5gYCUkZT05HUNxzy+q5RW/U&#10;wmAWQyy95UmM/kE+3lbOqAds7DxmhYlpjtwd0L2yCN16Yue5mM+TG3bFsnCt7yyPwSNOEd773QNz&#10;tidOAOduzOPKsPwVfzrf+FKb+SaYqknkesIVNIkK9iwRpv8mxEV+rievpy/X7A8AAAD//wMAUEsD&#10;BBQABgAIAAAAIQAivDEq4AAAAAsBAAAPAAAAZHJzL2Rvd25yZXYueG1sTI/BTsMwDIbvSLxDZCRu&#10;W7IWVaU0nRgSAg4gNhDnrAlpReKUJlvL2+Od4PZb/vT7c72evWNHM8Y+oITVUgAz2Abdo5Xw/na/&#10;KIHFpFArF9BI+DER1s35Wa0qHSbcmuMuWUYlGCsloUtpqDiPbWe8isswGKTdZxi9SjSOlutRTVTu&#10;Hc+EKLhXPdKFTg3mrjPt1+7gJTxt7PfHo11tC+9epw0+iJfnIKS8vJhvb4AlM6c/GE76pA4NOe3D&#10;AXVkTsIiL68IPYW8AEZEWVxT2EvIs6wE3tT8/w/NLwAAAP//AwBQSwECLQAUAAYACAAAACEAtoM4&#10;kv4AAADhAQAAEwAAAAAAAAAAAAAAAAAAAAAAW0NvbnRlbnRfVHlwZXNdLnhtbFBLAQItABQABgAI&#10;AAAAIQA4/SH/1gAAAJQBAAALAAAAAAAAAAAAAAAAAC8BAABfcmVscy8ucmVsc1BLAQItABQABgAI&#10;AAAAIQDNICxIiQIAAAEFAAAOAAAAAAAAAAAAAAAAAC4CAABkcnMvZTJvRG9jLnhtbFBLAQItABQA&#10;BgAIAAAAIQAivDEq4AAAAAsBAAAPAAAAAAAAAAAAAAAAAOMEAABkcnMvZG93bnJldi54bWxQSwUG&#10;AAAAAAQABADzAAAA8AUAAAAA&#10;" fillcolor="window" strokecolor="#4472c4" strokeweight="1.5pt">
                <w10:wrap anchorx="margin"/>
              </v:rect>
            </w:pict>
          </mc:Fallback>
        </mc:AlternateContent>
      </w:r>
      <w:r w:rsidRPr="00B14B28">
        <w:rPr>
          <w:rFonts w:ascii="FrankRuehl" w:hAnsi="FrankRuehl" w:cs="FrankRuehl"/>
          <w:sz w:val="24"/>
          <w:szCs w:val="24"/>
          <w:rtl/>
        </w:rPr>
        <w:t>שבעה ונמשח שבעה דבעינן שבעה לכתחילה ה"מ לעבודת יום הכפורים אבל לעבודת אותן הימים בכל יום עובד בשמונה בגדים. והנה צריך ביאור השגתו, דמאי נ"מ בין עבודת יוהכ"פ דבעי ריבוי שבעה, לעבודת כל השנה דסגי בריבוי אחד וליכא מצוה דריבוי בגדים שבעה, והא כיון דאיכא מצוה לכתחילה דבעי שבעה א"כ אין נ"מ בין יום הכפורים לכל השנה.</w:t>
      </w:r>
      <w:r>
        <w:rPr>
          <w:rFonts w:ascii="FrankRuehl" w:hAnsi="FrankRuehl" w:cs="FrankRuehl" w:hint="cs"/>
          <w:sz w:val="24"/>
          <w:szCs w:val="24"/>
          <w:rtl/>
        </w:rPr>
        <w:t xml:space="preserve"> </w:t>
      </w:r>
      <w:r w:rsidRPr="00B14B28">
        <w:rPr>
          <w:rFonts w:ascii="FrankRuehl" w:hAnsi="FrankRuehl" w:cs="FrankRuehl"/>
          <w:sz w:val="24"/>
          <w:szCs w:val="24"/>
          <w:rtl/>
        </w:rPr>
        <w:t>ויש לבאר דהנה בעבודת יוהכ"פ בעינן כה"ג, אבל גבי עבודת כל השנה א"צ דוקא כה"ג ודי לנו בכהן הדיוט, מ"מ אם עבד כהן הדיוט בח' בגדים הוי ליה יתור בגדים, אבל לו יצויר דלא להוי גביה יתור בגדים היה יכול לעבוד בהם והיתה עבודתו כשרה, א"כ הכא דנמשח או נתרבה פעם אחת תו לא הוי גביה יתור בגדים דדין בגדיו הוי ח', וא"כ שפיר כתב הראב"ד דלא שייך שיהיה לעבודתו כל השנה דין לכתחילה דבעי ריבוי שבעה, כיון דבגדיו הם ח' ולא הוי ליה יתור בגדים גביה, א"כ כשר אפילו לכתחילה לעבוד בלא נמשח ונתרבה בבגדיו שבעה, דלא בעינן לבגדיו דין כהן גדול רק דלא להוי גביה יתור בגדים, וכל זה לעבודת כל השנה דלא בעינן כה"ג, אבל גבי יוהכ"פ דבעינן דין כה"ג, ע"ז אמרינן דלמצוה בעינן ריבוי שבעה.</w:t>
      </w:r>
    </w:p>
    <w:p w:rsidR="00E064B4" w:rsidRDefault="00E064B4" w:rsidP="00E064B4">
      <w:pPr>
        <w:spacing w:line="276" w:lineRule="exact"/>
        <w:rPr>
          <w:rFonts w:ascii="FrankRuehl" w:hAnsi="FrankRuehl" w:cs="FrankRuehl"/>
          <w:sz w:val="24"/>
          <w:szCs w:val="24"/>
          <w:rtl/>
        </w:rPr>
      </w:pPr>
    </w:p>
    <w:p w:rsidR="00E064B4" w:rsidRPr="003E0C48" w:rsidRDefault="00E064B4" w:rsidP="00E064B4">
      <w:pPr>
        <w:spacing w:line="276" w:lineRule="auto"/>
        <w:rPr>
          <w:rFonts w:ascii="FrankRuehl" w:hAnsi="FrankRuehl" w:cs="FrankRuehl"/>
          <w:sz w:val="24"/>
          <w:szCs w:val="24"/>
          <w:highlight w:val="green"/>
          <w:rtl/>
        </w:rPr>
      </w:pPr>
    </w:p>
    <w:p w:rsidR="00E064B4" w:rsidRDefault="00E064B4" w:rsidP="00E064B4">
      <w:pPr>
        <w:spacing w:before="200" w:line="276" w:lineRule="exact"/>
        <w:ind w:firstLine="227"/>
        <w:rPr>
          <w:sz w:val="24"/>
          <w:szCs w:val="24"/>
          <w:rtl/>
        </w:rPr>
      </w:pPr>
      <w:r w:rsidRPr="003E0C48">
        <w:rPr>
          <w:rFonts w:hint="cs"/>
          <w:sz w:val="24"/>
          <w:szCs w:val="24"/>
          <w:rtl/>
        </w:rPr>
        <w:t xml:space="preserve">בשיעור </w:t>
      </w:r>
      <w:r>
        <w:rPr>
          <w:rFonts w:hint="cs"/>
          <w:sz w:val="24"/>
          <w:szCs w:val="24"/>
          <w:rtl/>
        </w:rPr>
        <w:t>שעבר עסקנו בפרישת כהן גדול שבעת ימים קודם יום הכיפורים. ראינו את שיטת רבי יוחנן וסיעתו הרואה ב'שבעת ימי המילואים' שקדמו לחנוכת המשכן מקור לדין זה, והארכנו לבאר את הקשר ההדוק בין יום הכיפורים ליום חנוכת המשכן. בשיעור זה נעיין באופן מינוי כהן גדול חדש, ונבחן האם מינוי זה יונק גם הוא מסדר 'שבעת ימי המילואים'.</w:t>
      </w:r>
    </w:p>
    <w:p w:rsidR="00E064B4" w:rsidRDefault="00E064B4" w:rsidP="00E064B4">
      <w:pPr>
        <w:spacing w:before="200" w:line="276" w:lineRule="exact"/>
        <w:ind w:firstLine="227"/>
        <w:rPr>
          <w:sz w:val="24"/>
          <w:szCs w:val="24"/>
          <w:rtl/>
        </w:rPr>
      </w:pPr>
      <w:r>
        <w:rPr>
          <w:rFonts w:hint="cs"/>
          <w:sz w:val="24"/>
          <w:szCs w:val="24"/>
          <w:rtl/>
        </w:rPr>
        <w:t>הגמרא מביאה ברייתא:</w:t>
      </w:r>
    </w:p>
    <w:p w:rsidR="00E064B4" w:rsidRPr="004344B4" w:rsidRDefault="00E064B4" w:rsidP="00E064B4">
      <w:pPr>
        <w:spacing w:before="200" w:line="276" w:lineRule="exact"/>
        <w:ind w:left="720"/>
        <w:rPr>
          <w:sz w:val="20"/>
          <w:szCs w:val="20"/>
          <w:rtl/>
        </w:rPr>
      </w:pPr>
      <w:r>
        <w:rPr>
          <w:rFonts w:hint="cs"/>
          <w:sz w:val="24"/>
          <w:szCs w:val="24"/>
          <w:rtl/>
        </w:rPr>
        <w:t>'</w:t>
      </w:r>
      <w:r w:rsidRPr="004344B4">
        <w:rPr>
          <w:sz w:val="24"/>
          <w:szCs w:val="24"/>
          <w:rtl/>
        </w:rPr>
        <w:t>וכפר הכהן אשר ימשח אתו ואשר ימלא את ידו לכהן תחת אביו</w:t>
      </w:r>
      <w:r>
        <w:rPr>
          <w:rFonts w:hint="cs"/>
          <w:sz w:val="24"/>
          <w:szCs w:val="24"/>
          <w:rtl/>
        </w:rPr>
        <w:t>',</w:t>
      </w:r>
      <w:r w:rsidRPr="004344B4">
        <w:rPr>
          <w:sz w:val="24"/>
          <w:szCs w:val="24"/>
          <w:rtl/>
        </w:rPr>
        <w:t xml:space="preserve"> מה תלמוד לומר</w:t>
      </w:r>
      <w:r>
        <w:rPr>
          <w:rFonts w:hint="cs"/>
          <w:sz w:val="24"/>
          <w:szCs w:val="24"/>
          <w:rtl/>
        </w:rPr>
        <w:t>?</w:t>
      </w:r>
      <w:r w:rsidRPr="004344B4">
        <w:rPr>
          <w:sz w:val="24"/>
          <w:szCs w:val="24"/>
          <w:rtl/>
        </w:rPr>
        <w:t xml:space="preserve"> לפי שנאמר </w:t>
      </w:r>
      <w:r>
        <w:rPr>
          <w:rFonts w:hint="cs"/>
          <w:sz w:val="24"/>
          <w:szCs w:val="24"/>
          <w:rtl/>
        </w:rPr>
        <w:t>'</w:t>
      </w:r>
      <w:r w:rsidRPr="004344B4">
        <w:rPr>
          <w:sz w:val="24"/>
          <w:szCs w:val="24"/>
          <w:rtl/>
        </w:rPr>
        <w:t>שבעת ימים ילבשם הכהן תחתיו מבניו</w:t>
      </w:r>
      <w:r>
        <w:rPr>
          <w:rFonts w:hint="cs"/>
          <w:sz w:val="24"/>
          <w:szCs w:val="24"/>
          <w:rtl/>
        </w:rPr>
        <w:t>',</w:t>
      </w:r>
      <w:r w:rsidRPr="004344B4">
        <w:rPr>
          <w:sz w:val="24"/>
          <w:szCs w:val="24"/>
          <w:rtl/>
        </w:rPr>
        <w:t xml:space="preserve"> אין לי אלא נתרבה שבעה ונמשח שבעה</w:t>
      </w:r>
      <w:r>
        <w:rPr>
          <w:rFonts w:hint="cs"/>
          <w:sz w:val="24"/>
          <w:szCs w:val="24"/>
          <w:rtl/>
        </w:rPr>
        <w:t>,</w:t>
      </w:r>
      <w:r w:rsidRPr="004344B4">
        <w:rPr>
          <w:sz w:val="24"/>
          <w:szCs w:val="24"/>
          <w:rtl/>
        </w:rPr>
        <w:t xml:space="preserve"> נתרבה שבעה ונמשח יום אחד</w:t>
      </w:r>
      <w:r>
        <w:rPr>
          <w:rFonts w:hint="cs"/>
          <w:rtl/>
        </w:rPr>
        <w:t>,</w:t>
      </w:r>
      <w:r w:rsidRPr="004344B4">
        <w:rPr>
          <w:rtl/>
        </w:rPr>
        <w:t xml:space="preserve"> </w:t>
      </w:r>
      <w:r w:rsidRPr="004344B4">
        <w:rPr>
          <w:sz w:val="24"/>
          <w:szCs w:val="24"/>
          <w:rtl/>
        </w:rPr>
        <w:t>נתרבה יום אחד ונמשח שבעה מניין</w:t>
      </w:r>
      <w:r>
        <w:rPr>
          <w:rFonts w:hint="cs"/>
          <w:sz w:val="24"/>
          <w:szCs w:val="24"/>
          <w:rtl/>
        </w:rPr>
        <w:t>?</w:t>
      </w:r>
      <w:r w:rsidRPr="004344B4">
        <w:rPr>
          <w:sz w:val="24"/>
          <w:szCs w:val="24"/>
          <w:rtl/>
        </w:rPr>
        <w:t xml:space="preserve"> תלמוד לומר </w:t>
      </w:r>
      <w:r>
        <w:rPr>
          <w:rFonts w:hint="cs"/>
          <w:sz w:val="24"/>
          <w:szCs w:val="24"/>
          <w:rtl/>
        </w:rPr>
        <w:t>'</w:t>
      </w:r>
      <w:r w:rsidRPr="004344B4">
        <w:rPr>
          <w:sz w:val="24"/>
          <w:szCs w:val="24"/>
          <w:rtl/>
        </w:rPr>
        <w:t>אשר ימשח אותו ואשר ימלא את ידו</w:t>
      </w:r>
      <w:r>
        <w:rPr>
          <w:rFonts w:hint="cs"/>
          <w:sz w:val="24"/>
          <w:szCs w:val="24"/>
          <w:rtl/>
        </w:rPr>
        <w:t>'</w:t>
      </w:r>
      <w:r w:rsidRPr="004344B4">
        <w:rPr>
          <w:sz w:val="24"/>
          <w:szCs w:val="24"/>
          <w:rtl/>
        </w:rPr>
        <w:t xml:space="preserve"> מכל מקום</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ה.]</w:t>
      </w:r>
    </w:p>
    <w:p w:rsidR="00E064B4" w:rsidRDefault="00E064B4" w:rsidP="00E064B4">
      <w:pPr>
        <w:spacing w:line="276" w:lineRule="exact"/>
        <w:ind w:firstLine="227"/>
        <w:rPr>
          <w:sz w:val="24"/>
          <w:szCs w:val="24"/>
          <w:rtl/>
        </w:rPr>
      </w:pPr>
      <w:r>
        <w:rPr>
          <w:rFonts w:hint="cs"/>
          <w:sz w:val="24"/>
          <w:szCs w:val="24"/>
          <w:rtl/>
        </w:rPr>
        <w:t xml:space="preserve">מברייתא זו עולה כי לכתחילה מינוי הכהן הגדול נעשה על ידי ש"נתרבה שבעה ונמשח שבעה" </w:t>
      </w:r>
      <w:r>
        <w:rPr>
          <w:sz w:val="24"/>
          <w:szCs w:val="24"/>
          <w:rtl/>
        </w:rPr>
        <w:t>–</w:t>
      </w:r>
      <w:r>
        <w:rPr>
          <w:rFonts w:hint="cs"/>
          <w:sz w:val="24"/>
          <w:szCs w:val="24"/>
          <w:rtl/>
        </w:rPr>
        <w:t xml:space="preserve"> שבעה ימים שבהם הוא לובש בגדי כהן גדול ובהם הוא נמשח בשמן המשחה. עם זאת, בדיעבד, די שימשח וילבש את בגדי הכהן הגדול יום אחד בלבד. </w:t>
      </w:r>
    </w:p>
    <w:p w:rsidR="00E064B4" w:rsidRDefault="00E064B4" w:rsidP="00E064B4">
      <w:pPr>
        <w:spacing w:line="276" w:lineRule="exact"/>
        <w:ind w:firstLine="227"/>
        <w:rPr>
          <w:sz w:val="24"/>
          <w:szCs w:val="24"/>
          <w:rtl/>
        </w:rPr>
      </w:pPr>
      <w:r>
        <w:rPr>
          <w:rFonts w:hint="cs"/>
          <w:sz w:val="24"/>
          <w:szCs w:val="24"/>
          <w:rtl/>
        </w:rPr>
        <w:t xml:space="preserve">לכאורה, יש ללמוד מברייתא זו, כי לדורות מינוי כהן גדול צריך להיעשות לכתחילה על פי הדגם העקרוני של מינוי אהרן הכהן ובניו ב'שבעת ימי המילואים' </w:t>
      </w:r>
      <w:r>
        <w:rPr>
          <w:sz w:val="24"/>
          <w:szCs w:val="24"/>
          <w:rtl/>
        </w:rPr>
        <w:t>–</w:t>
      </w:r>
      <w:r>
        <w:rPr>
          <w:rFonts w:hint="cs"/>
          <w:sz w:val="24"/>
          <w:szCs w:val="24"/>
          <w:rtl/>
        </w:rPr>
        <w:t xml:space="preserve"> שבעת ימי 'ריבוי ומשיחה'. אמנם, הדבר תלוי במחלוקת הראשונים הקיימת בעניין זה.</w:t>
      </w:r>
    </w:p>
    <w:p w:rsidR="00E064B4" w:rsidRDefault="00E064B4" w:rsidP="00E064B4">
      <w:pPr>
        <w:spacing w:line="276" w:lineRule="exact"/>
        <w:ind w:firstLine="227"/>
        <w:rPr>
          <w:sz w:val="24"/>
          <w:szCs w:val="24"/>
          <w:rtl/>
        </w:rPr>
      </w:pPr>
      <w:r>
        <w:rPr>
          <w:rFonts w:hint="cs"/>
          <w:sz w:val="24"/>
          <w:szCs w:val="24"/>
          <w:rtl/>
        </w:rPr>
        <w:t>הרמב"ם מביא ברייתא זו בהלכות כלי המקדש והעובדים בו:</w:t>
      </w:r>
    </w:p>
    <w:p w:rsidR="00E064B4" w:rsidRPr="00CF330A" w:rsidRDefault="00E064B4" w:rsidP="00E064B4">
      <w:pPr>
        <w:spacing w:line="276" w:lineRule="exact"/>
        <w:ind w:left="720"/>
        <w:rPr>
          <w:sz w:val="20"/>
          <w:szCs w:val="20"/>
          <w:rtl/>
        </w:rPr>
      </w:pPr>
      <w:r>
        <w:rPr>
          <w:sz w:val="24"/>
          <w:szCs w:val="24"/>
          <w:rtl/>
        </w:rPr>
        <w:t>וממנין כ</w:t>
      </w:r>
      <w:r>
        <w:rPr>
          <w:rFonts w:hint="cs"/>
          <w:sz w:val="24"/>
          <w:szCs w:val="24"/>
          <w:rtl/>
        </w:rPr>
        <w:t>הן גדול,</w:t>
      </w:r>
      <w:r w:rsidRPr="00CF330A">
        <w:rPr>
          <w:sz w:val="24"/>
          <w:szCs w:val="24"/>
          <w:rtl/>
        </w:rPr>
        <w:t xml:space="preserve"> הוא ראש לכל הכהנים, ומושחין אותו בשמן המשחה, ומלבישין אותו בגדי כהונה גדולה</w:t>
      </w:r>
      <w:r>
        <w:rPr>
          <w:rFonts w:hint="cs"/>
          <w:sz w:val="24"/>
          <w:szCs w:val="24"/>
          <w:rtl/>
        </w:rPr>
        <w:t>...</w:t>
      </w:r>
      <w:r w:rsidRPr="00CF330A">
        <w:rPr>
          <w:sz w:val="24"/>
          <w:szCs w:val="24"/>
          <w:rtl/>
        </w:rPr>
        <w:t xml:space="preserve"> ואם אין שם שמן המשחה מרבין אותו בבגדי כהונה גדולה בלבד</w:t>
      </w:r>
      <w:r>
        <w:rPr>
          <w:rFonts w:hint="cs"/>
          <w:sz w:val="24"/>
          <w:szCs w:val="24"/>
          <w:rtl/>
        </w:rPr>
        <w:t xml:space="preserve">... </w:t>
      </w:r>
      <w:r>
        <w:rPr>
          <w:sz w:val="24"/>
          <w:szCs w:val="24"/>
          <w:rtl/>
        </w:rPr>
        <w:t>כיצד מרבין אותו בבגדים</w:t>
      </w:r>
      <w:r>
        <w:rPr>
          <w:rFonts w:hint="cs"/>
          <w:sz w:val="24"/>
          <w:szCs w:val="24"/>
          <w:rtl/>
        </w:rPr>
        <w:t>?</w:t>
      </w:r>
      <w:r w:rsidRPr="00CF330A">
        <w:rPr>
          <w:sz w:val="24"/>
          <w:szCs w:val="24"/>
          <w:rtl/>
        </w:rPr>
        <w:t xml:space="preserve"> לובש שמנה בגדים ופושטן וחוזר ולובשן למחר שבעת ימים יום אחר יום</w:t>
      </w:r>
      <w:r>
        <w:rPr>
          <w:rFonts w:hint="cs"/>
          <w:sz w:val="24"/>
          <w:szCs w:val="24"/>
          <w:rtl/>
        </w:rPr>
        <w:t>,</w:t>
      </w:r>
      <w:r w:rsidRPr="00CF330A">
        <w:rPr>
          <w:sz w:val="24"/>
          <w:szCs w:val="24"/>
          <w:rtl/>
        </w:rPr>
        <w:t xml:space="preserve"> שנאמר </w:t>
      </w:r>
      <w:r>
        <w:rPr>
          <w:rFonts w:hint="cs"/>
          <w:sz w:val="24"/>
          <w:szCs w:val="24"/>
          <w:rtl/>
        </w:rPr>
        <w:t>'</w:t>
      </w:r>
      <w:r w:rsidRPr="00CF330A">
        <w:rPr>
          <w:sz w:val="24"/>
          <w:szCs w:val="24"/>
          <w:rtl/>
        </w:rPr>
        <w:t>שבעת ימים ילבשם הכהן תחתיו מבניו</w:t>
      </w:r>
      <w:r>
        <w:rPr>
          <w:rFonts w:hint="cs"/>
          <w:sz w:val="24"/>
          <w:szCs w:val="24"/>
          <w:rtl/>
        </w:rPr>
        <w:t>'</w:t>
      </w:r>
      <w:r w:rsidRPr="00CF330A">
        <w:rPr>
          <w:sz w:val="24"/>
          <w:szCs w:val="24"/>
          <w:rtl/>
        </w:rPr>
        <w:t>, וכשם שר</w:t>
      </w:r>
      <w:r>
        <w:rPr>
          <w:rFonts w:hint="cs"/>
          <w:sz w:val="24"/>
          <w:szCs w:val="24"/>
          <w:rtl/>
        </w:rPr>
        <w:t>י</w:t>
      </w:r>
      <w:r>
        <w:rPr>
          <w:sz w:val="24"/>
          <w:szCs w:val="24"/>
          <w:rtl/>
        </w:rPr>
        <w:t xml:space="preserve">בוי בגדים </w:t>
      </w:r>
      <w:r>
        <w:rPr>
          <w:rFonts w:hint="cs"/>
          <w:sz w:val="24"/>
          <w:szCs w:val="24"/>
          <w:rtl/>
        </w:rPr>
        <w:t>שבעה</w:t>
      </w:r>
      <w:r>
        <w:rPr>
          <w:sz w:val="24"/>
          <w:szCs w:val="24"/>
          <w:rtl/>
        </w:rPr>
        <w:t xml:space="preserve"> כך משיחה בשמן שבעה יום אחר יום</w:t>
      </w:r>
      <w:r>
        <w:rPr>
          <w:rFonts w:hint="cs"/>
          <w:sz w:val="24"/>
          <w:szCs w:val="24"/>
          <w:rtl/>
        </w:rPr>
        <w:t>.</w:t>
      </w:r>
      <w:r w:rsidRPr="00CF330A">
        <w:rPr>
          <w:sz w:val="24"/>
          <w:szCs w:val="24"/>
          <w:rtl/>
        </w:rPr>
        <w:t xml:space="preserve"> ואם עבד קודם שיתרבה בבגדים כל שבעה, או קודם שימשח כל שבעה עבודתו כשירה, הואיל</w:t>
      </w:r>
      <w:r>
        <w:rPr>
          <w:sz w:val="24"/>
          <w:szCs w:val="24"/>
          <w:rtl/>
        </w:rPr>
        <w:t xml:space="preserve"> ונתרבה או נמשח פעם אחת נעשה כ</w:t>
      </w:r>
      <w:r>
        <w:rPr>
          <w:rFonts w:hint="cs"/>
          <w:sz w:val="24"/>
          <w:szCs w:val="24"/>
          <w:rtl/>
        </w:rPr>
        <w:t>הן גדול</w:t>
      </w:r>
      <w:r>
        <w:rPr>
          <w:sz w:val="24"/>
          <w:szCs w:val="24"/>
          <w:rtl/>
        </w:rPr>
        <w:t xml:space="preserve"> לכל דבר</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[הל' כלי המקדש והעובדים בו פ"ד הי"ב-יג]</w:t>
      </w:r>
    </w:p>
    <w:p w:rsidR="00E064B4" w:rsidRDefault="00E064B4" w:rsidP="00E064B4">
      <w:pPr>
        <w:spacing w:line="276" w:lineRule="exact"/>
        <w:ind w:firstLine="227"/>
        <w:rPr>
          <w:sz w:val="24"/>
          <w:szCs w:val="24"/>
          <w:rtl/>
        </w:rPr>
      </w:pPr>
      <w:r>
        <w:rPr>
          <w:rFonts w:hint="cs"/>
          <w:sz w:val="24"/>
          <w:szCs w:val="24"/>
          <w:rtl/>
        </w:rPr>
        <w:t>מדברי הרמב"ם עולה שלכתחילה הכהן הגדול אינו עובד בשבעת ימי 'הריבוי והמשיחה', ורק לאחריהם, כאשר נשלם מינויו לכהן הגדול, הוא מתחיל לעבוד את עבודת המקדש.</w:t>
      </w:r>
    </w:p>
    <w:p w:rsidR="00E064B4" w:rsidRDefault="00E064B4" w:rsidP="00E064B4">
      <w:pPr>
        <w:spacing w:line="276" w:lineRule="exact"/>
        <w:ind w:firstLine="227"/>
        <w:rPr>
          <w:sz w:val="24"/>
          <w:szCs w:val="24"/>
          <w:rtl/>
        </w:rPr>
      </w:pPr>
      <w:r>
        <w:rPr>
          <w:rFonts w:hint="cs"/>
          <w:sz w:val="24"/>
          <w:szCs w:val="24"/>
          <w:rtl/>
        </w:rPr>
        <w:t>הראב"ד עומד על דיוק זה בדברי הרמב"ם וחולק על כך:</w:t>
      </w:r>
    </w:p>
    <w:p w:rsidR="00E064B4" w:rsidRPr="00CF330A" w:rsidRDefault="00E064B4" w:rsidP="00E064B4">
      <w:pPr>
        <w:spacing w:line="276" w:lineRule="exact"/>
        <w:ind w:left="720"/>
        <w:rPr>
          <w:sz w:val="20"/>
          <w:szCs w:val="20"/>
          <w:rtl/>
        </w:rPr>
      </w:pPr>
      <w:r w:rsidRPr="00CF330A">
        <w:rPr>
          <w:sz w:val="24"/>
          <w:szCs w:val="24"/>
          <w:rtl/>
        </w:rPr>
        <w:t>נראה מדבריו ימים שהיה בהם המשיחה לא היה עובד</w:t>
      </w:r>
      <w:r>
        <w:rPr>
          <w:rFonts w:hint="cs"/>
          <w:sz w:val="24"/>
          <w:szCs w:val="24"/>
          <w:rtl/>
        </w:rPr>
        <w:t>.</w:t>
      </w:r>
      <w:r w:rsidRPr="00CF330A">
        <w:rPr>
          <w:sz w:val="24"/>
          <w:szCs w:val="24"/>
          <w:rtl/>
        </w:rPr>
        <w:t xml:space="preserve"> ואין זה מן החכמה</w:t>
      </w:r>
      <w:r>
        <w:rPr>
          <w:rFonts w:hint="cs"/>
          <w:sz w:val="24"/>
          <w:szCs w:val="24"/>
          <w:rtl/>
        </w:rPr>
        <w:t>,</w:t>
      </w:r>
      <w:r w:rsidRPr="00CF330A">
        <w:rPr>
          <w:sz w:val="24"/>
          <w:szCs w:val="24"/>
          <w:rtl/>
        </w:rPr>
        <w:t xml:space="preserve"> אלא כשאמרו </w:t>
      </w:r>
      <w:r>
        <w:rPr>
          <w:rFonts w:hint="cs"/>
          <w:sz w:val="24"/>
          <w:szCs w:val="24"/>
          <w:rtl/>
        </w:rPr>
        <w:t>'</w:t>
      </w:r>
      <w:r w:rsidRPr="00CF330A">
        <w:rPr>
          <w:sz w:val="24"/>
          <w:szCs w:val="24"/>
          <w:rtl/>
        </w:rPr>
        <w:t>נתרבה שבעה ונמשח שבעה</w:t>
      </w:r>
      <w:r>
        <w:rPr>
          <w:rFonts w:hint="cs"/>
          <w:sz w:val="24"/>
          <w:szCs w:val="24"/>
          <w:rtl/>
        </w:rPr>
        <w:t>'</w:t>
      </w:r>
      <w:r w:rsidRPr="00CF330A">
        <w:rPr>
          <w:sz w:val="24"/>
          <w:szCs w:val="24"/>
          <w:rtl/>
        </w:rPr>
        <w:t xml:space="preserve"> דבעינן שבעה לכתחלה</w:t>
      </w:r>
      <w:r>
        <w:rPr>
          <w:rFonts w:hint="cs"/>
          <w:sz w:val="24"/>
          <w:szCs w:val="24"/>
          <w:rtl/>
        </w:rPr>
        <w:t>, הני מילי</w:t>
      </w:r>
      <w:r>
        <w:rPr>
          <w:sz w:val="24"/>
          <w:szCs w:val="24"/>
          <w:rtl/>
        </w:rPr>
        <w:t xml:space="preserve"> לעבודת י</w:t>
      </w:r>
      <w:r>
        <w:rPr>
          <w:rFonts w:hint="cs"/>
          <w:sz w:val="24"/>
          <w:szCs w:val="24"/>
          <w:rtl/>
        </w:rPr>
        <w:t>ום הכיפורים,</w:t>
      </w:r>
      <w:r w:rsidRPr="00CF330A">
        <w:rPr>
          <w:sz w:val="24"/>
          <w:szCs w:val="24"/>
          <w:rtl/>
        </w:rPr>
        <w:t xml:space="preserve"> אבל לעבודת אותן הימים</w:t>
      </w:r>
      <w:r>
        <w:rPr>
          <w:rFonts w:hint="cs"/>
          <w:sz w:val="24"/>
          <w:szCs w:val="24"/>
          <w:rtl/>
        </w:rPr>
        <w:t xml:space="preserve"> </w:t>
      </w:r>
      <w:r>
        <w:rPr>
          <w:sz w:val="24"/>
          <w:szCs w:val="24"/>
          <w:rtl/>
        </w:rPr>
        <w:t>–</w:t>
      </w:r>
      <w:r w:rsidRPr="00CF330A">
        <w:rPr>
          <w:sz w:val="24"/>
          <w:szCs w:val="24"/>
          <w:rtl/>
        </w:rPr>
        <w:t xml:space="preserve"> בכל יום עובד בשמונה בגדים.</w:t>
      </w:r>
      <w:r>
        <w:rPr>
          <w:rFonts w:hint="cs"/>
          <w:sz w:val="24"/>
          <w:szCs w:val="24"/>
          <w:rtl/>
        </w:rPr>
        <w:t xml:space="preserve"> </w:t>
      </w:r>
      <w:r>
        <w:rPr>
          <w:sz w:val="20"/>
          <w:szCs w:val="20"/>
          <w:rtl/>
        </w:rPr>
        <w:tab/>
      </w:r>
      <w:r>
        <w:rPr>
          <w:rFonts w:hint="cs"/>
          <w:sz w:val="20"/>
          <w:szCs w:val="20"/>
          <w:rtl/>
        </w:rPr>
        <w:t xml:space="preserve">            [השגות הראב"ד שם, הי"ג]</w:t>
      </w:r>
    </w:p>
    <w:p w:rsidR="00E064B4" w:rsidRDefault="00E064B4" w:rsidP="00E064B4">
      <w:pPr>
        <w:spacing w:line="276" w:lineRule="exact"/>
        <w:ind w:firstLine="227"/>
        <w:rPr>
          <w:sz w:val="24"/>
          <w:szCs w:val="24"/>
          <w:rtl/>
        </w:rPr>
      </w:pPr>
      <w:r>
        <w:rPr>
          <w:rFonts w:hint="cs"/>
          <w:sz w:val="24"/>
          <w:szCs w:val="24"/>
          <w:rtl/>
        </w:rPr>
        <w:lastRenderedPageBreak/>
        <w:t>לטענת הראב"ד, דברי הברייתא ש'הריבוי והמשיחה' נעשים שבעה ימים ורק לאחריהם הכהן הגדול מתחיל בעבודה, אמורים ביחס לעבודת יום הכיפורים בלבד. לעומת זאת, את עבודות שאר הימים הכהן הגדול יכול לעשות גם במשך שבעת ימי 'הריבוי והמשיחה'.</w:t>
      </w:r>
    </w:p>
    <w:p w:rsidR="00E064B4" w:rsidRDefault="00E064B4" w:rsidP="00E064B4">
      <w:pPr>
        <w:spacing w:line="276" w:lineRule="exact"/>
        <w:ind w:firstLine="227"/>
        <w:rPr>
          <w:sz w:val="24"/>
          <w:szCs w:val="24"/>
          <w:rtl/>
        </w:rPr>
      </w:pPr>
      <w:r>
        <w:rPr>
          <w:rFonts w:hint="cs"/>
          <w:sz w:val="24"/>
          <w:szCs w:val="24"/>
          <w:rtl/>
        </w:rPr>
        <w:t>מסברה, שיטת הרמב"ם מובנת, שכן, כאמור, 'שבעת ימי הריבוי והמשיחה' מקבילים ל'שבעת ימי המילואים'. בהתאם לכך, כשם שב'שבעת ימי המילואים' עבד משה ורק לאחריהם אהרן ובניו נכנסו לעבודת הכהונה, כך לדורות הכהן הגדול נכנס לעבודתו רק לאחר 'שבעת ימי הריבוי והמשיחה'. לעומתה, שיטת הראב"ד טעונה ביאור: מהו יסוד החילוק בין מינוי כהן גדול לכל השנה למינויו לעבודת יום הכיפורים? מדוע דווקא כדי להכשירו לעבודת יום הכיפורים נדרשים 'שבעת ימי ריבוי ומשיחה', אך הוא מוכשר לעבוד ככהן גדול בשאר ימות השנה עוד קודם לכן?</w:t>
      </w:r>
    </w:p>
    <w:p w:rsidR="00E064B4" w:rsidRDefault="00E064B4" w:rsidP="00E064B4">
      <w:pPr>
        <w:spacing w:line="276" w:lineRule="exact"/>
        <w:ind w:firstLine="227"/>
        <w:rPr>
          <w:sz w:val="24"/>
          <w:szCs w:val="24"/>
          <w:rtl/>
        </w:rPr>
      </w:pPr>
      <w:r>
        <w:rPr>
          <w:rFonts w:hint="cs"/>
          <w:sz w:val="24"/>
          <w:szCs w:val="24"/>
          <w:rtl/>
        </w:rPr>
        <w:t>רבנו חיים הלוי מבריסק כותב בביאור שיטת הראב"ד:</w:t>
      </w:r>
    </w:p>
    <w:p w:rsidR="00E064B4" w:rsidRPr="00332280" w:rsidRDefault="00E064B4" w:rsidP="00E064B4">
      <w:pPr>
        <w:ind w:left="720"/>
        <w:rPr>
          <w:sz w:val="20"/>
          <w:szCs w:val="20"/>
          <w:rtl/>
        </w:rPr>
      </w:pPr>
      <w:r w:rsidRPr="00332280">
        <w:rPr>
          <w:sz w:val="24"/>
          <w:szCs w:val="24"/>
          <w:rtl/>
        </w:rPr>
        <w:t>ויש לבאר</w:t>
      </w:r>
      <w:r>
        <w:rPr>
          <w:rFonts w:hint="cs"/>
          <w:sz w:val="24"/>
          <w:szCs w:val="24"/>
          <w:rtl/>
        </w:rPr>
        <w:t>,</w:t>
      </w:r>
      <w:r>
        <w:rPr>
          <w:sz w:val="24"/>
          <w:szCs w:val="24"/>
          <w:rtl/>
        </w:rPr>
        <w:t xml:space="preserve"> דהנה בעבודת יו</w:t>
      </w:r>
      <w:r>
        <w:rPr>
          <w:rFonts w:hint="cs"/>
          <w:sz w:val="24"/>
          <w:szCs w:val="24"/>
          <w:rtl/>
        </w:rPr>
        <w:t>ם הכיפורים</w:t>
      </w:r>
      <w:r>
        <w:rPr>
          <w:sz w:val="24"/>
          <w:szCs w:val="24"/>
          <w:rtl/>
        </w:rPr>
        <w:t xml:space="preserve"> בעינן כה</w:t>
      </w:r>
      <w:r>
        <w:rPr>
          <w:rFonts w:hint="cs"/>
          <w:sz w:val="24"/>
          <w:szCs w:val="24"/>
          <w:rtl/>
        </w:rPr>
        <w:t>ן גדול</w:t>
      </w:r>
      <w:r w:rsidRPr="00332280">
        <w:rPr>
          <w:sz w:val="24"/>
          <w:szCs w:val="24"/>
          <w:rtl/>
        </w:rPr>
        <w:t>, אבל גבי עבודת כל השנה א</w:t>
      </w:r>
      <w:r>
        <w:rPr>
          <w:rFonts w:hint="cs"/>
          <w:sz w:val="24"/>
          <w:szCs w:val="24"/>
          <w:rtl/>
        </w:rPr>
        <w:t>ין צריך</w:t>
      </w:r>
      <w:r>
        <w:rPr>
          <w:sz w:val="24"/>
          <w:szCs w:val="24"/>
          <w:rtl/>
        </w:rPr>
        <w:t xml:space="preserve"> דוקא כה</w:t>
      </w:r>
      <w:r>
        <w:rPr>
          <w:rFonts w:hint="cs"/>
          <w:sz w:val="24"/>
          <w:szCs w:val="24"/>
          <w:rtl/>
        </w:rPr>
        <w:t>ן גדול</w:t>
      </w:r>
      <w:r w:rsidRPr="00332280">
        <w:rPr>
          <w:sz w:val="24"/>
          <w:szCs w:val="24"/>
          <w:rtl/>
        </w:rPr>
        <w:t xml:space="preserve"> </w:t>
      </w:r>
      <w:r>
        <w:rPr>
          <w:sz w:val="24"/>
          <w:szCs w:val="24"/>
          <w:rtl/>
        </w:rPr>
        <w:t>ודי לנו בכהן הדיוט, מ</w:t>
      </w:r>
      <w:r>
        <w:rPr>
          <w:rFonts w:hint="cs"/>
          <w:sz w:val="24"/>
          <w:szCs w:val="24"/>
          <w:rtl/>
        </w:rPr>
        <w:t>כל מקום</w:t>
      </w:r>
      <w:r w:rsidRPr="00332280">
        <w:rPr>
          <w:sz w:val="24"/>
          <w:szCs w:val="24"/>
          <w:rtl/>
        </w:rPr>
        <w:t xml:space="preserve"> אם עבד כהן הדיוט בח' בגדים הוי ליה יתור בגדים, אבל לו יצויר דלא להוי גביה יתור בגדים היה יכול לעבוד בהם והיתה עבודתו כשרה</w:t>
      </w:r>
      <w:r>
        <w:rPr>
          <w:rFonts w:hint="cs"/>
          <w:sz w:val="24"/>
          <w:szCs w:val="24"/>
          <w:rtl/>
        </w:rPr>
        <w:t>.</w:t>
      </w:r>
      <w:r>
        <w:rPr>
          <w:sz w:val="24"/>
          <w:szCs w:val="24"/>
          <w:rtl/>
        </w:rPr>
        <w:t xml:space="preserve"> א</w:t>
      </w:r>
      <w:r>
        <w:rPr>
          <w:rFonts w:hint="cs"/>
          <w:sz w:val="24"/>
          <w:szCs w:val="24"/>
          <w:rtl/>
        </w:rPr>
        <w:t>ם כן,</w:t>
      </w:r>
      <w:r w:rsidRPr="00332280">
        <w:rPr>
          <w:sz w:val="24"/>
          <w:szCs w:val="24"/>
          <w:rtl/>
        </w:rPr>
        <w:t xml:space="preserve"> הכא דנמשח או נתרבה פעם אחת תו לא הוי גביה יתור בגדים</w:t>
      </w:r>
      <w:r>
        <w:rPr>
          <w:rFonts w:hint="cs"/>
          <w:sz w:val="24"/>
          <w:szCs w:val="24"/>
          <w:rtl/>
        </w:rPr>
        <w:t>,</w:t>
      </w:r>
      <w:r>
        <w:rPr>
          <w:sz w:val="24"/>
          <w:szCs w:val="24"/>
          <w:rtl/>
        </w:rPr>
        <w:t xml:space="preserve"> דדין בגדיו הוי ח', וא</w:t>
      </w:r>
      <w:r>
        <w:rPr>
          <w:rFonts w:hint="cs"/>
          <w:sz w:val="24"/>
          <w:szCs w:val="24"/>
          <w:rtl/>
        </w:rPr>
        <w:t>ם כן</w:t>
      </w:r>
      <w:r w:rsidRPr="00332280">
        <w:rPr>
          <w:sz w:val="24"/>
          <w:szCs w:val="24"/>
          <w:rtl/>
        </w:rPr>
        <w:t xml:space="preserve"> שפיר כתב הראב"ד דלא שייך שיהיה לעבודתו כל השנה דין לכתחילה דבעי ריבוי שבעה, כיון דבגדיו הם ח' </w:t>
      </w:r>
      <w:r>
        <w:rPr>
          <w:sz w:val="24"/>
          <w:szCs w:val="24"/>
          <w:rtl/>
        </w:rPr>
        <w:t>ולא הוי ליה יתור בגדים גביה, א</w:t>
      </w:r>
      <w:r>
        <w:rPr>
          <w:rFonts w:hint="cs"/>
          <w:sz w:val="24"/>
          <w:szCs w:val="24"/>
          <w:rtl/>
        </w:rPr>
        <w:t>ם כן</w:t>
      </w:r>
      <w:r w:rsidRPr="00332280">
        <w:rPr>
          <w:sz w:val="24"/>
          <w:szCs w:val="24"/>
          <w:rtl/>
        </w:rPr>
        <w:t xml:space="preserve"> כשר אפילו לכתחילה לעבוד בלא נמשח ונתרבה בבגדיו שבעה, דלא בעינן לבגדיו דין כהן ג</w:t>
      </w:r>
      <w:r>
        <w:rPr>
          <w:sz w:val="24"/>
          <w:szCs w:val="24"/>
          <w:rtl/>
        </w:rPr>
        <w:t>דול רק דלא להוי גביה יתור בגדים</w:t>
      </w:r>
      <w:r>
        <w:rPr>
          <w:rFonts w:hint="cs"/>
          <w:sz w:val="24"/>
          <w:szCs w:val="24"/>
          <w:rtl/>
        </w:rPr>
        <w:t>.</w:t>
      </w:r>
      <w:r w:rsidRPr="00332280">
        <w:rPr>
          <w:sz w:val="24"/>
          <w:szCs w:val="24"/>
          <w:rtl/>
        </w:rPr>
        <w:t xml:space="preserve"> וכל </w:t>
      </w:r>
      <w:r>
        <w:rPr>
          <w:sz w:val="24"/>
          <w:szCs w:val="24"/>
          <w:rtl/>
        </w:rPr>
        <w:t>זה לעבודת כל השנה דלא בעינן כה</w:t>
      </w:r>
      <w:r>
        <w:rPr>
          <w:rFonts w:hint="cs"/>
          <w:sz w:val="24"/>
          <w:szCs w:val="24"/>
          <w:rtl/>
        </w:rPr>
        <w:t>ן גדול</w:t>
      </w:r>
      <w:r w:rsidRPr="00332280">
        <w:rPr>
          <w:sz w:val="24"/>
          <w:szCs w:val="24"/>
          <w:rtl/>
        </w:rPr>
        <w:t>, אבל גבי</w:t>
      </w:r>
      <w:r>
        <w:rPr>
          <w:sz w:val="24"/>
          <w:szCs w:val="24"/>
          <w:rtl/>
        </w:rPr>
        <w:t xml:space="preserve"> יו</w:t>
      </w:r>
      <w:r>
        <w:rPr>
          <w:rFonts w:hint="cs"/>
          <w:sz w:val="24"/>
          <w:szCs w:val="24"/>
          <w:rtl/>
        </w:rPr>
        <w:t>ם הכיפורים</w:t>
      </w:r>
      <w:r>
        <w:rPr>
          <w:sz w:val="24"/>
          <w:szCs w:val="24"/>
          <w:rtl/>
        </w:rPr>
        <w:t xml:space="preserve"> דבעינן דין כה</w:t>
      </w:r>
      <w:r>
        <w:rPr>
          <w:rFonts w:hint="cs"/>
          <w:sz w:val="24"/>
          <w:szCs w:val="24"/>
          <w:rtl/>
        </w:rPr>
        <w:t>ן גדול</w:t>
      </w:r>
      <w:r>
        <w:rPr>
          <w:sz w:val="24"/>
          <w:szCs w:val="24"/>
          <w:rtl/>
        </w:rPr>
        <w:t>, ע</w:t>
      </w:r>
      <w:r>
        <w:rPr>
          <w:rFonts w:hint="cs"/>
          <w:sz w:val="24"/>
          <w:szCs w:val="24"/>
          <w:rtl/>
        </w:rPr>
        <w:t xml:space="preserve">ל זה </w:t>
      </w:r>
      <w:r w:rsidRPr="00332280">
        <w:rPr>
          <w:sz w:val="24"/>
          <w:szCs w:val="24"/>
          <w:rtl/>
        </w:rPr>
        <w:t>אמרינן דלמצוה בעינן ריבוי שבעה.</w:t>
      </w:r>
      <w:r>
        <w:rPr>
          <w:sz w:val="24"/>
          <w:szCs w:val="24"/>
          <w:rtl/>
        </w:rPr>
        <w:tab/>
      </w:r>
      <w:r>
        <w:rPr>
          <w:rFonts w:hint="cs"/>
          <w:sz w:val="24"/>
          <w:szCs w:val="24"/>
          <w:rtl/>
        </w:rPr>
        <w:t xml:space="preserve">   </w:t>
      </w:r>
      <w:r>
        <w:rPr>
          <w:rFonts w:hint="cs"/>
          <w:sz w:val="20"/>
          <w:szCs w:val="20"/>
          <w:rtl/>
        </w:rPr>
        <w:t>[חידושי הגר"ח על הש"ס יומא ב.]</w:t>
      </w:r>
    </w:p>
    <w:p w:rsidR="00E064B4" w:rsidRDefault="00E064B4" w:rsidP="00E064B4">
      <w:pPr>
        <w:spacing w:line="276" w:lineRule="exact"/>
        <w:ind w:firstLine="227"/>
        <w:rPr>
          <w:sz w:val="24"/>
          <w:szCs w:val="24"/>
          <w:rtl/>
        </w:rPr>
      </w:pPr>
      <w:r>
        <w:rPr>
          <w:rFonts w:hint="cs"/>
          <w:sz w:val="24"/>
          <w:szCs w:val="24"/>
          <w:rtl/>
        </w:rPr>
        <w:t xml:space="preserve">לפי דבריו, הראב"ד אינו חולק באופן עקרוני על הרמב"ם, וגם לשיטתו הכהן הגדול מתמנה ומקבל את מעמדו רק לאחר 'שבעת ימי הריבוי והמשיחה'. עם זאת, הראב"ד סבור שהואיל ובשבעת ימים אלו הכהן המתמנה אמור ללבוש את שמונת בגדי הכהן הגדול </w:t>
      </w:r>
      <w:r>
        <w:rPr>
          <w:sz w:val="24"/>
          <w:szCs w:val="24"/>
          <w:rtl/>
        </w:rPr>
        <w:t>–</w:t>
      </w:r>
      <w:r>
        <w:rPr>
          <w:rFonts w:hint="cs"/>
          <w:sz w:val="24"/>
          <w:szCs w:val="24"/>
          <w:rtl/>
        </w:rPr>
        <w:t xml:space="preserve"> הוא יכול לעבוד בבגדי כהן גדול ואין בכך משום 'יתור בגדים', על אף שהוא עדיין נחשב לכהן הדיוט. בשל כך, אין מניעה שהכהן יעבוד בשבעת ימים אלו בכל ימות השנה, בהם אין חובה שהעבודה תיעשה על ידי כהן גדול; רק ביום הכיפורים, בו יש חובה שהעבודה תיעשה על ידי הכהן הגדול, לכתחילה אין לו לעבוד עד שישלם מינויו לכהן גדול </w:t>
      </w:r>
      <w:r>
        <w:rPr>
          <w:sz w:val="24"/>
          <w:szCs w:val="24"/>
          <w:rtl/>
        </w:rPr>
        <w:t>–</w:t>
      </w:r>
      <w:r>
        <w:rPr>
          <w:rFonts w:hint="cs"/>
          <w:sz w:val="24"/>
          <w:szCs w:val="24"/>
          <w:rtl/>
        </w:rPr>
        <w:t xml:space="preserve"> לאחר סיום 'שבעת ימי הריבוי והמשיחה'.</w:t>
      </w:r>
    </w:p>
    <w:p w:rsidR="00E064B4" w:rsidRDefault="00E064B4" w:rsidP="00E064B4">
      <w:pPr>
        <w:spacing w:line="276" w:lineRule="exact"/>
        <w:ind w:firstLine="227"/>
        <w:rPr>
          <w:sz w:val="24"/>
          <w:szCs w:val="24"/>
          <w:rtl/>
        </w:rPr>
      </w:pPr>
      <w:r>
        <w:rPr>
          <w:rFonts w:hint="cs"/>
          <w:sz w:val="24"/>
          <w:szCs w:val="24"/>
          <w:rtl/>
        </w:rPr>
        <w:t>מדברי הרדב"ז עולה הבנה אחרת בטעמו של הראב"ד:</w:t>
      </w:r>
    </w:p>
    <w:p w:rsidR="00E064B4" w:rsidRDefault="00E064B4" w:rsidP="00E064B4">
      <w:pPr>
        <w:spacing w:line="276" w:lineRule="exact"/>
        <w:ind w:left="720"/>
        <w:rPr>
          <w:sz w:val="24"/>
          <w:szCs w:val="24"/>
          <w:rtl/>
        </w:rPr>
      </w:pPr>
      <w:r>
        <w:rPr>
          <w:rFonts w:hint="cs"/>
          <w:sz w:val="24"/>
          <w:szCs w:val="24"/>
          <w:rtl/>
        </w:rPr>
        <w:t xml:space="preserve">כיון דילפינן מהאי קרא, והאי קרא מיירי ביום הכיפורים, משמע דוקא ביום הכיפורים בעינן לכתחילה נתרבה שבעה ונמשח שבעה, אבל בימי המילואים בכל יום עובד בשמונה בגדים לכתחילה, ומשום חומרת יום הכיפורים בעינן לכתחילה שנתרבה תחילה שבעה ונמשח שבעה. </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[רדב"ז, שם]</w:t>
      </w:r>
    </w:p>
    <w:p w:rsidR="00E064B4" w:rsidRDefault="00E064B4" w:rsidP="00E064B4">
      <w:pPr>
        <w:spacing w:line="276" w:lineRule="exact"/>
        <w:ind w:firstLine="227"/>
        <w:rPr>
          <w:sz w:val="24"/>
          <w:szCs w:val="24"/>
          <w:rtl/>
        </w:rPr>
      </w:pPr>
      <w:r>
        <w:rPr>
          <w:rFonts w:hint="cs"/>
          <w:sz w:val="24"/>
          <w:szCs w:val="24"/>
          <w:rtl/>
        </w:rPr>
        <w:t xml:space="preserve">הרדב"ז טוען, כי לשיטת הראב"ד דין התורה של 'שבעת ימי ריבוי ומשיחה' התחדש ביחס לעבודת יום הכיפורים בלבד </w:t>
      </w:r>
      <w:r>
        <w:rPr>
          <w:sz w:val="24"/>
          <w:szCs w:val="24"/>
          <w:rtl/>
        </w:rPr>
        <w:t>–</w:t>
      </w:r>
      <w:r>
        <w:rPr>
          <w:rFonts w:hint="cs"/>
          <w:sz w:val="24"/>
          <w:szCs w:val="24"/>
          <w:rtl/>
        </w:rPr>
        <w:t xml:space="preserve"> "משום חומרת יום הכיפורים" </w:t>
      </w:r>
      <w:r>
        <w:rPr>
          <w:sz w:val="24"/>
          <w:szCs w:val="24"/>
          <w:rtl/>
        </w:rPr>
        <w:t>–</w:t>
      </w:r>
      <w:r>
        <w:rPr>
          <w:rFonts w:hint="cs"/>
          <w:sz w:val="24"/>
          <w:szCs w:val="24"/>
          <w:rtl/>
        </w:rPr>
        <w:t xml:space="preserve"> אך לשאר העניינים כהן גדול מתמנה וקונה את מעמדו ב'ריבוי ומשיחה' פעם אחת. </w:t>
      </w:r>
    </w:p>
    <w:p w:rsidR="00E064B4" w:rsidRDefault="00E064B4" w:rsidP="00E064B4">
      <w:pPr>
        <w:spacing w:line="276" w:lineRule="exact"/>
        <w:ind w:firstLine="227"/>
        <w:rPr>
          <w:sz w:val="24"/>
          <w:szCs w:val="24"/>
          <w:rtl/>
        </w:rPr>
      </w:pPr>
      <w:r>
        <w:rPr>
          <w:rFonts w:hint="cs"/>
          <w:sz w:val="24"/>
          <w:szCs w:val="24"/>
          <w:rtl/>
        </w:rPr>
        <w:t>מדברי הרדב"ז מתחדשים שני חידושים:</w:t>
      </w:r>
    </w:p>
    <w:p w:rsidR="00E064B4" w:rsidRDefault="00E064B4" w:rsidP="00E064B4">
      <w:pPr>
        <w:pStyle w:val="a8"/>
        <w:numPr>
          <w:ilvl w:val="0"/>
          <w:numId w:val="2"/>
        </w:numPr>
        <w:spacing w:line="276" w:lineRule="exact"/>
        <w:rPr>
          <w:sz w:val="24"/>
          <w:szCs w:val="24"/>
        </w:rPr>
      </w:pPr>
      <w:r>
        <w:rPr>
          <w:rFonts w:hint="cs"/>
          <w:sz w:val="24"/>
          <w:szCs w:val="24"/>
          <w:rtl/>
        </w:rPr>
        <w:t>מלבד המינוי לכהן גדול, יש צורך במינוי מיוחד לעבודת יום הכיפורים. ובהתאם לכך, ייתכן שיהיה כהן גדול שהתמנה כדין, אך אינו ראוי לעבוד ביום הכיפורים</w:t>
      </w:r>
      <w:r>
        <w:rPr>
          <w:rStyle w:val="a7"/>
          <w:sz w:val="24"/>
          <w:szCs w:val="24"/>
          <w:rtl/>
        </w:rPr>
        <w:footnoteReference w:id="13"/>
      </w:r>
      <w:r>
        <w:rPr>
          <w:rFonts w:hint="cs"/>
          <w:sz w:val="24"/>
          <w:szCs w:val="24"/>
          <w:rtl/>
        </w:rPr>
        <w:t xml:space="preserve">. </w:t>
      </w:r>
    </w:p>
    <w:p w:rsidR="00E064B4" w:rsidRDefault="00E064B4" w:rsidP="00E064B4">
      <w:pPr>
        <w:pStyle w:val="a8"/>
        <w:numPr>
          <w:ilvl w:val="0"/>
          <w:numId w:val="2"/>
        </w:numPr>
        <w:spacing w:line="276" w:lineRule="exact"/>
        <w:rPr>
          <w:sz w:val="24"/>
          <w:szCs w:val="24"/>
        </w:rPr>
      </w:pPr>
      <w:r>
        <w:rPr>
          <w:rFonts w:hint="cs"/>
          <w:sz w:val="24"/>
          <w:szCs w:val="24"/>
          <w:rtl/>
        </w:rPr>
        <w:lastRenderedPageBreak/>
        <w:t xml:space="preserve">מינוי כהן גדול לדורות אינו צריך להיעשות על פי הדגם של 'שבעת ימי המילואים', אך המינוי לעבודת יום הכיפורים צריך להיעשות על פי דגם זה </w:t>
      </w:r>
      <w:r>
        <w:rPr>
          <w:sz w:val="24"/>
          <w:szCs w:val="24"/>
          <w:rtl/>
        </w:rPr>
        <w:t>–</w:t>
      </w:r>
      <w:r>
        <w:rPr>
          <w:rFonts w:hint="cs"/>
          <w:sz w:val="24"/>
          <w:szCs w:val="24"/>
          <w:rtl/>
        </w:rPr>
        <w:t xml:space="preserve"> 'שבעת ימי ריבוי ומשיחה' כדי להכשירו לעבודת יום הכיפורים. </w:t>
      </w:r>
    </w:p>
    <w:p w:rsidR="00E064B4" w:rsidRDefault="00E064B4" w:rsidP="00E064B4">
      <w:pPr>
        <w:spacing w:line="276" w:lineRule="exact"/>
        <w:ind w:firstLine="227"/>
        <w:rPr>
          <w:sz w:val="24"/>
          <w:szCs w:val="24"/>
          <w:rtl/>
        </w:rPr>
      </w:pPr>
      <w:r>
        <w:rPr>
          <w:rFonts w:hint="cs"/>
          <w:sz w:val="24"/>
          <w:szCs w:val="24"/>
          <w:rtl/>
        </w:rPr>
        <w:t xml:space="preserve">נראה שדברים אלו מתבארים על פי הדמיון העמוק הקיים </w:t>
      </w:r>
      <w:r>
        <w:rPr>
          <w:sz w:val="24"/>
          <w:szCs w:val="24"/>
          <w:rtl/>
        </w:rPr>
        <w:t>–</w:t>
      </w:r>
      <w:r>
        <w:rPr>
          <w:rFonts w:hint="cs"/>
          <w:sz w:val="24"/>
          <w:szCs w:val="24"/>
          <w:rtl/>
        </w:rPr>
        <w:t xml:space="preserve"> בו עסקנו בהרחבה בשיעור הקודם </w:t>
      </w:r>
      <w:r>
        <w:rPr>
          <w:sz w:val="24"/>
          <w:szCs w:val="24"/>
          <w:rtl/>
        </w:rPr>
        <w:t>–</w:t>
      </w:r>
      <w:r>
        <w:rPr>
          <w:rFonts w:hint="cs"/>
          <w:sz w:val="24"/>
          <w:szCs w:val="24"/>
          <w:rtl/>
        </w:rPr>
        <w:t xml:space="preserve"> בין יום הכיפורים ליום השמיני למילואים. בהתאם לכך, דרשת הברייתא דלעיל מלמדת כי כשם שנדרשו שבעה ימים למינוי הכהנים לעבודות חנוכת המשכן ביום השמיני, כך נדרשים שבעה ימים למינוי הכהן הגדול לעבודת יום הכיפורים</w:t>
      </w:r>
      <w:r>
        <w:rPr>
          <w:rStyle w:val="a7"/>
          <w:sz w:val="24"/>
          <w:szCs w:val="24"/>
          <w:rtl/>
        </w:rPr>
        <w:footnoteReference w:id="14"/>
      </w:r>
      <w:r>
        <w:rPr>
          <w:rFonts w:hint="cs"/>
          <w:sz w:val="24"/>
          <w:szCs w:val="24"/>
          <w:rtl/>
        </w:rPr>
        <w:t xml:space="preserve">. </w:t>
      </w:r>
    </w:p>
    <w:p w:rsidR="00E064B4" w:rsidRDefault="00E064B4" w:rsidP="00E064B4">
      <w:pPr>
        <w:spacing w:line="276" w:lineRule="exact"/>
        <w:rPr>
          <w:sz w:val="24"/>
          <w:szCs w:val="24"/>
          <w:rtl/>
        </w:rPr>
      </w:pPr>
    </w:p>
    <w:p w:rsidR="00E064B4" w:rsidRDefault="00E064B4" w:rsidP="00E064B4">
      <w:pPr>
        <w:spacing w:line="276" w:lineRule="exact"/>
        <w:ind w:firstLine="227"/>
        <w:rPr>
          <w:sz w:val="24"/>
          <w:szCs w:val="24"/>
          <w:rtl/>
        </w:rPr>
      </w:pPr>
      <w:r>
        <w:rPr>
          <w:rFonts w:hint="cs"/>
          <w:sz w:val="24"/>
          <w:szCs w:val="24"/>
          <w:rtl/>
        </w:rPr>
        <w:t>עד כה עסקנו ביסוד הצורך ב'שבעת ימי משיחה וריבוי'. בחלקו האחרון של השיעור נבחן את מחלוקת הראשונים כיצד נעשה ה'ריבוי'.</w:t>
      </w:r>
    </w:p>
    <w:p w:rsidR="00E064B4" w:rsidRDefault="00E064B4" w:rsidP="00E064B4">
      <w:pPr>
        <w:spacing w:line="276" w:lineRule="exact"/>
        <w:ind w:firstLine="227"/>
        <w:rPr>
          <w:sz w:val="24"/>
          <w:szCs w:val="24"/>
          <w:rtl/>
        </w:rPr>
      </w:pPr>
      <w:r>
        <w:rPr>
          <w:rFonts w:hint="cs"/>
          <w:sz w:val="24"/>
          <w:szCs w:val="24"/>
          <w:rtl/>
        </w:rPr>
        <w:t>כאמור, הרמב"ם כותב:</w:t>
      </w:r>
    </w:p>
    <w:p w:rsidR="00E064B4" w:rsidRDefault="00E064B4" w:rsidP="00E064B4">
      <w:pPr>
        <w:spacing w:line="276" w:lineRule="exact"/>
        <w:ind w:left="720"/>
        <w:rPr>
          <w:sz w:val="20"/>
          <w:szCs w:val="20"/>
          <w:rtl/>
        </w:rPr>
      </w:pPr>
      <w:r>
        <w:rPr>
          <w:sz w:val="24"/>
          <w:szCs w:val="24"/>
          <w:rtl/>
        </w:rPr>
        <w:t>כיצד מרבין אותו בבגדים</w:t>
      </w:r>
      <w:r>
        <w:rPr>
          <w:rFonts w:hint="cs"/>
          <w:sz w:val="24"/>
          <w:szCs w:val="24"/>
          <w:rtl/>
        </w:rPr>
        <w:t>?</w:t>
      </w:r>
      <w:r w:rsidRPr="00CF330A">
        <w:rPr>
          <w:sz w:val="24"/>
          <w:szCs w:val="24"/>
          <w:rtl/>
        </w:rPr>
        <w:t xml:space="preserve"> לובש שמנה בגדים ופושטן וחוזר ולובשן למחר שבעת ימים יום אחר יום</w:t>
      </w:r>
      <w:r>
        <w:rPr>
          <w:rFonts w:hint="cs"/>
          <w:sz w:val="24"/>
          <w:szCs w:val="24"/>
          <w:rtl/>
        </w:rPr>
        <w:t>,</w:t>
      </w:r>
      <w:r w:rsidRPr="00CF330A">
        <w:rPr>
          <w:sz w:val="24"/>
          <w:szCs w:val="24"/>
          <w:rtl/>
        </w:rPr>
        <w:t xml:space="preserve"> שנאמר </w:t>
      </w:r>
      <w:r>
        <w:rPr>
          <w:rFonts w:hint="cs"/>
          <w:sz w:val="24"/>
          <w:szCs w:val="24"/>
          <w:rtl/>
        </w:rPr>
        <w:t>'</w:t>
      </w:r>
      <w:r w:rsidRPr="00CF330A">
        <w:rPr>
          <w:sz w:val="24"/>
          <w:szCs w:val="24"/>
          <w:rtl/>
        </w:rPr>
        <w:t>שבעת ימים ילבשם הכהן תחתיו מבניו</w:t>
      </w:r>
      <w:r>
        <w:rPr>
          <w:rFonts w:hint="cs"/>
          <w:sz w:val="24"/>
          <w:szCs w:val="24"/>
          <w:rtl/>
        </w:rPr>
        <w:t>'...</w:t>
      </w:r>
      <w:r w:rsidRPr="00CF330A">
        <w:rPr>
          <w:sz w:val="24"/>
          <w:szCs w:val="24"/>
          <w:rtl/>
        </w:rPr>
        <w:t xml:space="preserve"> ואם עבד קודם שיתרבה בבגדים כל שבעה, או קודם שימשח כל שבעה עבודתו כשירה</w:t>
      </w:r>
      <w:r>
        <w:rPr>
          <w:rFonts w:hint="cs"/>
          <w:sz w:val="24"/>
          <w:szCs w:val="24"/>
          <w:rtl/>
        </w:rPr>
        <w:t xml:space="preserve">. </w:t>
      </w:r>
    </w:p>
    <w:p w:rsidR="00E064B4" w:rsidRPr="00F31DFC" w:rsidRDefault="00E064B4" w:rsidP="00E064B4">
      <w:pPr>
        <w:spacing w:line="276" w:lineRule="exact"/>
        <w:ind w:left="720"/>
        <w:jc w:val="right"/>
        <w:rPr>
          <w:sz w:val="20"/>
          <w:szCs w:val="20"/>
        </w:rPr>
      </w:pPr>
      <w:r>
        <w:rPr>
          <w:rFonts w:hint="cs"/>
          <w:sz w:val="20"/>
          <w:szCs w:val="20"/>
          <w:rtl/>
        </w:rPr>
        <w:t>[הל' כלי המקדש והעובדים בו פ"ד הי"ג]</w:t>
      </w:r>
    </w:p>
    <w:p w:rsidR="00E064B4" w:rsidRDefault="00E064B4" w:rsidP="00E064B4">
      <w:pPr>
        <w:spacing w:line="276" w:lineRule="exact"/>
        <w:ind w:firstLine="227"/>
        <w:rPr>
          <w:sz w:val="24"/>
          <w:szCs w:val="24"/>
          <w:rtl/>
        </w:rPr>
      </w:pPr>
      <w:r>
        <w:rPr>
          <w:rFonts w:hint="cs"/>
          <w:sz w:val="24"/>
          <w:szCs w:val="24"/>
          <w:rtl/>
        </w:rPr>
        <w:t>בדברי הרמב"ם מבואר כי ה'ריבוי' נעשה על ידי לבישת בגדים בלבד, ולכתחילה אין לכהן לעבוד בימים אלו.</w:t>
      </w:r>
    </w:p>
    <w:p w:rsidR="00E064B4" w:rsidRDefault="00E064B4" w:rsidP="00E064B4">
      <w:pPr>
        <w:spacing w:line="276" w:lineRule="exact"/>
        <w:ind w:firstLine="266"/>
        <w:rPr>
          <w:sz w:val="24"/>
          <w:szCs w:val="24"/>
          <w:rtl/>
        </w:rPr>
      </w:pPr>
      <w:r>
        <w:rPr>
          <w:rFonts w:hint="cs"/>
          <w:sz w:val="24"/>
          <w:szCs w:val="24"/>
          <w:rtl/>
        </w:rPr>
        <w:t xml:space="preserve">הגבורת ארי </w:t>
      </w:r>
      <w:r>
        <w:rPr>
          <w:rFonts w:hint="cs"/>
          <w:sz w:val="20"/>
          <w:szCs w:val="20"/>
          <w:rtl/>
        </w:rPr>
        <w:t>[ה. ד"ה ריבוי שבעה]</w:t>
      </w:r>
      <w:r>
        <w:rPr>
          <w:rFonts w:hint="cs"/>
          <w:sz w:val="24"/>
          <w:szCs w:val="24"/>
          <w:rtl/>
        </w:rPr>
        <w:t xml:space="preserve"> מקשה על הרמב"ם מסוגיית הגמרא הדנה כיצד מחנכים את הכהן שנכנס תחת הכהן הגדול אם ארע בו פסול:</w:t>
      </w:r>
    </w:p>
    <w:p w:rsidR="00E064B4" w:rsidRPr="00DA5FDA" w:rsidRDefault="00E064B4" w:rsidP="00E064B4">
      <w:pPr>
        <w:spacing w:line="276" w:lineRule="exact"/>
        <w:ind w:left="720"/>
        <w:rPr>
          <w:sz w:val="20"/>
          <w:szCs w:val="20"/>
          <w:rtl/>
        </w:rPr>
      </w:pPr>
      <w:r w:rsidRPr="00DA5FDA">
        <w:rPr>
          <w:sz w:val="24"/>
          <w:szCs w:val="24"/>
          <w:rtl/>
        </w:rPr>
        <w:t>פשיטא אירע בו פסול קודם תמיד של שחר מחנכין אותו בתמיד של שחר</w:t>
      </w:r>
      <w:r>
        <w:rPr>
          <w:rFonts w:hint="cs"/>
          <w:sz w:val="24"/>
          <w:szCs w:val="24"/>
          <w:rtl/>
        </w:rPr>
        <w:t>,</w:t>
      </w:r>
      <w:r w:rsidRPr="00DA5FDA">
        <w:rPr>
          <w:sz w:val="24"/>
          <w:szCs w:val="24"/>
          <w:rtl/>
        </w:rPr>
        <w:t xml:space="preserve"> אלא אירע בו פסול אחר תמיד של שחר במה מחנכין אותו</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יב:]</w:t>
      </w:r>
    </w:p>
    <w:p w:rsidR="00E064B4" w:rsidRDefault="00E064B4" w:rsidP="00E064B4">
      <w:pPr>
        <w:spacing w:line="276" w:lineRule="exact"/>
        <w:ind w:firstLine="266"/>
        <w:rPr>
          <w:sz w:val="24"/>
          <w:szCs w:val="24"/>
          <w:rtl/>
        </w:rPr>
      </w:pPr>
      <w:r>
        <w:rPr>
          <w:rFonts w:hint="cs"/>
          <w:sz w:val="24"/>
          <w:szCs w:val="24"/>
          <w:rtl/>
        </w:rPr>
        <w:t xml:space="preserve">הגמרא שואלת כיצד מחנכים כהן גדול הנכנס לעבודה לאחר שכבר הוקרב תמיד של שחר, כך שהעבודה הבאה צריכה להיעשות בבגדי לבן. קושיה זו מבוססת על הנחה שהחינוך צריך להיעשות על ידי עבודה, ולכאורה סוגיה זו עומדת בניגוד לדברי הרמב"ם דלעיל, שה'ריבוי' נעשה על ידי לבישת הבגדים ללא עבודה. </w:t>
      </w:r>
    </w:p>
    <w:p w:rsidR="00E064B4" w:rsidRDefault="00E064B4" w:rsidP="00E064B4">
      <w:pPr>
        <w:spacing w:line="276" w:lineRule="exact"/>
        <w:ind w:firstLine="227"/>
        <w:rPr>
          <w:sz w:val="24"/>
          <w:szCs w:val="24"/>
          <w:rtl/>
        </w:rPr>
      </w:pPr>
      <w:r>
        <w:rPr>
          <w:rFonts w:hint="cs"/>
          <w:sz w:val="24"/>
          <w:szCs w:val="24"/>
          <w:rtl/>
        </w:rPr>
        <w:t>הרב יחיאל מיכל פיינשטיין כותב ביישוב שיטת הרמב"ם:</w:t>
      </w:r>
    </w:p>
    <w:p w:rsidR="00E064B4" w:rsidRPr="00B96945" w:rsidRDefault="00E064B4" w:rsidP="00E064B4">
      <w:pPr>
        <w:spacing w:line="276" w:lineRule="exact"/>
        <w:ind w:left="720"/>
        <w:rPr>
          <w:sz w:val="20"/>
          <w:szCs w:val="20"/>
          <w:rtl/>
        </w:rPr>
      </w:pPr>
      <w:r>
        <w:rPr>
          <w:rFonts w:hint="cs"/>
          <w:sz w:val="24"/>
          <w:szCs w:val="24"/>
          <w:rtl/>
        </w:rPr>
        <w:t>דהרמב"ם מפרש כל הגמרא דיומא לא לעניין דין ריבוי כהן גדול, דבודאי ברור לשיטת הרמב"ם דהריבוי נגמר ונעשה כהן גדול בלבישה לחודא. אלא דהא אפילו אחר שכבר נתרבה לכהן גדול, מכל מקום זקוק הוא לחינוך, ואסור לו לעבוד עד שיתחנך. ואם כן מפרש דשאלת הגמרא, במה יתחנך לכהן גדול, דכל זמן שלא נתחנך לכהן גדול אסור לו לשמש בכהונה גדולה ואיך יעשה עבודת היום דיום הכיפורים.</w:t>
      </w:r>
      <w:r>
        <w:rPr>
          <w:sz w:val="24"/>
          <w:szCs w:val="24"/>
          <w:rtl/>
        </w:rPr>
        <w:tab/>
      </w:r>
      <w:r w:rsidRPr="00B96945">
        <w:rPr>
          <w:sz w:val="24"/>
          <w:szCs w:val="24"/>
          <w:rtl/>
        </w:rPr>
        <w:tab/>
      </w:r>
      <w:r w:rsidRPr="00B96945">
        <w:rPr>
          <w:sz w:val="24"/>
          <w:szCs w:val="24"/>
          <w:rtl/>
        </w:rPr>
        <w:tab/>
      </w:r>
      <w:r w:rsidRPr="00B96945">
        <w:rPr>
          <w:rFonts w:hint="cs"/>
          <w:sz w:val="20"/>
          <w:szCs w:val="20"/>
          <w:rtl/>
        </w:rPr>
        <w:t>[חדושי מרן הגרי"מ סי' ח]</w:t>
      </w:r>
    </w:p>
    <w:p w:rsidR="00E064B4" w:rsidRDefault="00E064B4" w:rsidP="00E064B4">
      <w:pPr>
        <w:spacing w:line="276" w:lineRule="exact"/>
        <w:ind w:firstLine="227"/>
        <w:rPr>
          <w:sz w:val="24"/>
          <w:szCs w:val="24"/>
          <w:rtl/>
        </w:rPr>
      </w:pPr>
      <w:r w:rsidRPr="00B96945">
        <w:rPr>
          <w:rFonts w:hint="cs"/>
          <w:sz w:val="24"/>
          <w:szCs w:val="24"/>
          <w:rtl/>
        </w:rPr>
        <w:t>על פי דבריו, הרמב"ם מבחין בין שני מושגים שונים: 'ריבו</w:t>
      </w:r>
      <w:r>
        <w:rPr>
          <w:rFonts w:hint="cs"/>
          <w:sz w:val="24"/>
          <w:szCs w:val="24"/>
          <w:rtl/>
        </w:rPr>
        <w:t xml:space="preserve">י' וחינוך. 'ריבוי' הוא עצם המינוי לכהן גדול, וחינוך הוא תחילת העבודה מבחינה מעשית. בשל כך, אמנם ה'ריבוי' נעשה בעצם לבישת הבגדים, אך מלבד זאת עליו 'להתחנך' </w:t>
      </w:r>
      <w:r>
        <w:rPr>
          <w:sz w:val="24"/>
          <w:szCs w:val="24"/>
          <w:rtl/>
        </w:rPr>
        <w:t>–</w:t>
      </w:r>
      <w:r>
        <w:rPr>
          <w:rFonts w:hint="cs"/>
          <w:sz w:val="24"/>
          <w:szCs w:val="24"/>
          <w:rtl/>
        </w:rPr>
        <w:t xml:space="preserve"> להתחיל לעבוד באופן מעשי ככהן גדול עם שמונת בגדיו</w:t>
      </w:r>
      <w:r>
        <w:rPr>
          <w:rStyle w:val="a7"/>
          <w:sz w:val="24"/>
          <w:szCs w:val="24"/>
          <w:rtl/>
        </w:rPr>
        <w:footnoteReference w:id="15"/>
      </w:r>
      <w:r>
        <w:rPr>
          <w:rFonts w:hint="cs"/>
          <w:sz w:val="24"/>
          <w:szCs w:val="24"/>
          <w:rtl/>
        </w:rPr>
        <w:t>.</w:t>
      </w:r>
    </w:p>
    <w:p w:rsidR="00E064B4" w:rsidRDefault="00E064B4" w:rsidP="00E064B4">
      <w:pPr>
        <w:spacing w:line="276" w:lineRule="exact"/>
        <w:ind w:firstLine="227"/>
        <w:rPr>
          <w:sz w:val="24"/>
          <w:szCs w:val="24"/>
          <w:rtl/>
        </w:rPr>
      </w:pPr>
      <w:r>
        <w:rPr>
          <w:rFonts w:hint="cs"/>
          <w:sz w:val="24"/>
          <w:szCs w:val="24"/>
          <w:rtl/>
        </w:rPr>
        <w:t>בניגוד לשיטת הרמב"ם, רש"י כותב בביאור המושג 'ריבוי':</w:t>
      </w:r>
    </w:p>
    <w:p w:rsidR="00E064B4" w:rsidRDefault="00E064B4" w:rsidP="00E064B4">
      <w:pPr>
        <w:spacing w:line="276" w:lineRule="exact"/>
        <w:ind w:left="720"/>
        <w:rPr>
          <w:sz w:val="24"/>
          <w:szCs w:val="24"/>
          <w:rtl/>
        </w:rPr>
      </w:pPr>
      <w:r>
        <w:rPr>
          <w:sz w:val="24"/>
          <w:szCs w:val="24"/>
          <w:rtl/>
        </w:rPr>
        <w:lastRenderedPageBreak/>
        <w:t>ריבוי שבעה –</w:t>
      </w:r>
      <w:r>
        <w:rPr>
          <w:rFonts w:hint="cs"/>
          <w:sz w:val="24"/>
          <w:szCs w:val="24"/>
          <w:rtl/>
        </w:rPr>
        <w:t xml:space="preserve"> </w:t>
      </w:r>
      <w:r w:rsidRPr="00F31DFC">
        <w:rPr>
          <w:sz w:val="24"/>
          <w:szCs w:val="24"/>
          <w:rtl/>
        </w:rPr>
        <w:t>שישמש כהן גדול שבעה ימים רצופים כשממנין אותו בכהונה גדולה, וילבש שמונה בגדים בשעת עבודה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[רש"י ה: ד"ה ריבוי שבעה]</w:t>
      </w:r>
    </w:p>
    <w:p w:rsidR="00E064B4" w:rsidRDefault="00E064B4" w:rsidP="00E064B4">
      <w:pPr>
        <w:spacing w:line="276" w:lineRule="exact"/>
        <w:ind w:firstLine="227"/>
        <w:rPr>
          <w:sz w:val="24"/>
          <w:szCs w:val="24"/>
          <w:rtl/>
        </w:rPr>
      </w:pPr>
      <w:r>
        <w:rPr>
          <w:rFonts w:hint="cs"/>
          <w:sz w:val="24"/>
          <w:szCs w:val="24"/>
          <w:rtl/>
        </w:rPr>
        <w:t>מדברי רש"י עולה, כי לא די במעשה לבישת הבגדים בלבד, אלא על הכהן לעבוד עם הבגדים בשבעת ימים אלו. נראה מכך כי רש"י אינו מבחין בין שני המושגים דלעיל, ולדידו 'ריבוי' וחינוך אלו מושגים זהים, ולכן הוא מבאר את סוגייתנו העוסקת בדין 'ריבוי' על פי הסוגיה דלהלן, בה מבואר שהחינוך נעשה על ידי שהכהן הגדול עובד עם בגדיו.</w:t>
      </w:r>
    </w:p>
    <w:p w:rsidR="00E064B4" w:rsidRDefault="00E064B4" w:rsidP="00E064B4">
      <w:pPr>
        <w:spacing w:line="276" w:lineRule="exact"/>
        <w:ind w:firstLine="227"/>
        <w:rPr>
          <w:sz w:val="24"/>
          <w:szCs w:val="24"/>
          <w:rtl/>
        </w:rPr>
      </w:pPr>
      <w:r>
        <w:rPr>
          <w:rFonts w:hint="cs"/>
          <w:sz w:val="24"/>
          <w:szCs w:val="24"/>
          <w:rtl/>
        </w:rPr>
        <w:t xml:space="preserve">הרב יחיאל מיכל פיינשטיין מקשה על שיטת רש"י מכיוון אחר: </w:t>
      </w:r>
    </w:p>
    <w:p w:rsidR="00E064B4" w:rsidRDefault="00E064B4" w:rsidP="00E064B4">
      <w:pPr>
        <w:spacing w:line="276" w:lineRule="exact"/>
        <w:ind w:left="720"/>
        <w:rPr>
          <w:sz w:val="24"/>
          <w:szCs w:val="24"/>
          <w:rtl/>
        </w:rPr>
      </w:pPr>
      <w:r>
        <w:rPr>
          <w:rFonts w:hint="cs"/>
          <w:sz w:val="24"/>
          <w:szCs w:val="24"/>
          <w:rtl/>
        </w:rPr>
        <w:t>הנה צריך עיון, דאיך נאמר דכל שבעה דלובש הבגדים עובד בהם, הא כיון דעדיין לא נעשה כהן גדול הוי ליה יתור בגדים. ובשלמא לפי המסקנא דנתרבה דלגבי דיעבד אפילו ביום אחד סגי ובפעם אחת שלובש הבגדים נעשה כהן גדול לגבי דיעבד, הנה נוכל לומר דבזה שיטת רש"י כהראב"ד, דכל שבדיעבד דין כהן גדול בו מישך שייכא הבגדים אליו ואין זה יתור בגדים אף לגבי לכתחילה... אמנם לפי ההווה אמינא, מקודם דנתרבה מקרא דביום אחד נעשה כהן גדול לגבי דיעבד, וסבירא ליה דאפילו לגבי דיעבד אינו נעשה כהן גדול אלא בריבוי כל שבעה דוקא, קשה, דאם כן הרי עצמם הדין סותר את עצמו, דאיך נאמר דלובשם כל שבעה וישמש בהם כל שבעה, הא כיון שעדיין אינו כהן גדול אפילו לגבי דיעבד, הרי אסור לשמש בח' בגדים ועבודתו פסולה משום יתור בגדים.</w:t>
      </w:r>
      <w:r>
        <w:rPr>
          <w:sz w:val="24"/>
          <w:szCs w:val="24"/>
          <w:rtl/>
        </w:rPr>
        <w:tab/>
      </w:r>
      <w:r>
        <w:rPr>
          <w:sz w:val="24"/>
          <w:szCs w:val="24"/>
          <w:rtl/>
        </w:rPr>
        <w:tab/>
      </w:r>
      <w:r>
        <w:rPr>
          <w:rFonts w:hint="cs"/>
          <w:sz w:val="24"/>
          <w:szCs w:val="24"/>
          <w:rtl/>
        </w:rPr>
        <w:t xml:space="preserve"> </w:t>
      </w:r>
      <w:r w:rsidRPr="00B96945">
        <w:rPr>
          <w:rFonts w:hint="cs"/>
          <w:sz w:val="20"/>
          <w:szCs w:val="20"/>
          <w:rtl/>
        </w:rPr>
        <w:t>[חדושי מרן הגרי"מ, שם]</w:t>
      </w:r>
    </w:p>
    <w:p w:rsidR="00E064B4" w:rsidRDefault="00E064B4" w:rsidP="00E064B4">
      <w:pPr>
        <w:spacing w:line="276" w:lineRule="exact"/>
        <w:ind w:firstLine="227"/>
        <w:rPr>
          <w:sz w:val="24"/>
          <w:szCs w:val="24"/>
          <w:rtl/>
        </w:rPr>
      </w:pPr>
      <w:r>
        <w:rPr>
          <w:rFonts w:hint="cs"/>
          <w:sz w:val="24"/>
          <w:szCs w:val="24"/>
          <w:rtl/>
        </w:rPr>
        <w:t>הרי"מ פינשטיין מקשה על שיטת רש"י מהווה אמינא של הגמרא, ש'ריבוי ומשיחה שבעה' הם לעיכובא. לכאורה לפי זה הכהן הגדול מתמנה רק לאחר שבעת הימים, אם כן כיצד לשיטת רש"י הוא עובד בימים אלו בשמונה בגדים, והרי הוא עדיין אינו כהן גדול!</w:t>
      </w:r>
    </w:p>
    <w:p w:rsidR="00E064B4" w:rsidRDefault="00E064B4" w:rsidP="00E064B4">
      <w:pPr>
        <w:spacing w:line="276" w:lineRule="exact"/>
        <w:ind w:firstLine="227"/>
        <w:rPr>
          <w:sz w:val="24"/>
          <w:szCs w:val="24"/>
          <w:rtl/>
        </w:rPr>
      </w:pPr>
      <w:r>
        <w:rPr>
          <w:rFonts w:hint="cs"/>
          <w:sz w:val="24"/>
          <w:szCs w:val="24"/>
          <w:rtl/>
        </w:rPr>
        <w:t>הרב יחיאל מיכל פיינשטיין מיישב תמיהה זו על פי ההבנה שהובאה לעיל, שדין 'ריבוי ומשיחה שבעה' נאמר לגבי עבודת יום הכיפורים בלבד:</w:t>
      </w:r>
    </w:p>
    <w:p w:rsidR="00E064B4" w:rsidRDefault="00E064B4" w:rsidP="00E064B4">
      <w:pPr>
        <w:spacing w:line="276" w:lineRule="exact"/>
        <w:ind w:left="720"/>
        <w:rPr>
          <w:sz w:val="24"/>
          <w:szCs w:val="24"/>
          <w:rtl/>
        </w:rPr>
      </w:pPr>
      <w:r>
        <w:rPr>
          <w:rFonts w:hint="cs"/>
          <w:sz w:val="24"/>
          <w:szCs w:val="24"/>
          <w:rtl/>
        </w:rPr>
        <w:t>ואם כן נראה דשיטת רש"י היא, דהנה כל מה שרצה לומר... היינו רק לגבי לחול בו דין תורת כהן גדול לגבי יום הכיפורים להיכנס לפני ולפנים. אבל לדין כהן גדול של כל השנה פשיטא ליה אף לפי ההווה אמינא דלא בעי ריבוי שבעה לגבי דיעבד. ולכן שפיר ליתי לקושיין כלל, דודאי יכול ללבוש ולשמש בח' בגדים כל שבעה, דלגבי כל השנה נעשה כהן גדול לגבי דיעבד לפחות ביום אחד, ורק לעניין יום הכיפורים הוא דבעי ריבוי שבעה לעכב אפילו דיעבד.</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[שם]</w:t>
      </w:r>
    </w:p>
    <w:p w:rsidR="00E064B4" w:rsidRDefault="00E064B4" w:rsidP="00E064B4">
      <w:pPr>
        <w:spacing w:line="276" w:lineRule="exact"/>
        <w:ind w:firstLine="227"/>
        <w:rPr>
          <w:sz w:val="24"/>
          <w:szCs w:val="24"/>
          <w:rtl/>
        </w:rPr>
      </w:pPr>
      <w:r>
        <w:rPr>
          <w:rFonts w:hint="cs"/>
          <w:sz w:val="24"/>
          <w:szCs w:val="24"/>
          <w:rtl/>
        </w:rPr>
        <w:t>לפי דבריו, רש"י מבחין בין המינוי לכהן גדול למינוי לעבוד ביום הכיפורים. בהתאם לכך, לשיטתו דברי הגמרא שיש צורך ב'ריבוי ומשיחה שבעה' אמורים רק כדי למנותו לכהן גדול שראוי לעבוד ביום הכיפורים, אך הוא מוגדר ככהן גדול באופן מידי, ולכן הוא יכול לעבוד מיד ככהן גדול.</w:t>
      </w:r>
    </w:p>
    <w:p w:rsidR="00E064B4" w:rsidRDefault="00E064B4" w:rsidP="00E064B4">
      <w:pPr>
        <w:spacing w:line="276" w:lineRule="exact"/>
        <w:ind w:firstLine="227"/>
        <w:rPr>
          <w:sz w:val="24"/>
          <w:szCs w:val="24"/>
          <w:rtl/>
        </w:rPr>
      </w:pPr>
      <w:r>
        <w:rPr>
          <w:rFonts w:hint="cs"/>
          <w:sz w:val="24"/>
          <w:szCs w:val="24"/>
          <w:rtl/>
        </w:rPr>
        <w:t>בכך יש מקור נוסף להבנה העולה מביאורו של הרדב"ז לשיטת הראב"ד, כי לעבודת יום הכיפורים לא די להיות כהן גדול, אלא נדרש מינוי מיוחד לכך</w:t>
      </w:r>
      <w:r>
        <w:rPr>
          <w:rStyle w:val="a7"/>
          <w:sz w:val="24"/>
          <w:szCs w:val="24"/>
          <w:rtl/>
        </w:rPr>
        <w:footnoteReference w:id="16"/>
      </w:r>
      <w:r>
        <w:rPr>
          <w:rFonts w:hint="cs"/>
          <w:sz w:val="24"/>
          <w:szCs w:val="24"/>
          <w:rtl/>
        </w:rPr>
        <w:t>.</w:t>
      </w:r>
    </w:p>
    <w:p w:rsidR="00E064B4" w:rsidRPr="00B14382" w:rsidRDefault="00E064B4" w:rsidP="00E064B4">
      <w:pPr>
        <w:spacing w:after="0" w:line="276" w:lineRule="exact"/>
        <w:ind w:firstLine="227"/>
        <w:rPr>
          <w:sz w:val="2"/>
          <w:szCs w:val="2"/>
          <w:rtl/>
        </w:rPr>
      </w:pPr>
    </w:p>
    <w:p w:rsidR="00E064B4" w:rsidRPr="00B14382" w:rsidRDefault="00E064B4" w:rsidP="00E064B4">
      <w:pPr>
        <w:spacing w:line="276" w:lineRule="exact"/>
        <w:ind w:firstLine="227"/>
        <w:rPr>
          <w:sz w:val="2"/>
          <w:szCs w:val="2"/>
          <w:rtl/>
        </w:rPr>
      </w:pPr>
      <w:r>
        <w:rPr>
          <w:rFonts w:hint="cs"/>
          <w:sz w:val="24"/>
          <w:szCs w:val="24"/>
          <w:rtl/>
        </w:rPr>
        <w:t>בעזרת ה' בשיעור הבא נעסוק בדין "ומתקינין לו כהן אחר תחתיו שמא יארע בו פסול".</w:t>
      </w:r>
    </w:p>
    <w:p w:rsidR="00E064B4" w:rsidRPr="00B14382" w:rsidRDefault="00E064B4" w:rsidP="00E064B4">
      <w:pPr>
        <w:spacing w:before="120" w:after="0" w:line="276" w:lineRule="exact"/>
        <w:ind w:firstLine="227"/>
        <w:jc w:val="right"/>
        <w:rPr>
          <w:sz w:val="2"/>
          <w:szCs w:val="2"/>
          <w:u w:val="single"/>
          <w:rtl/>
        </w:rPr>
      </w:pPr>
    </w:p>
    <w:p w:rsidR="00E064B4" w:rsidRPr="00220833" w:rsidRDefault="00E064B4" w:rsidP="00E064B4">
      <w:pPr>
        <w:spacing w:before="120" w:line="276" w:lineRule="exact"/>
        <w:ind w:firstLine="227"/>
        <w:jc w:val="right"/>
        <w:rPr>
          <w:sz w:val="24"/>
          <w:szCs w:val="24"/>
        </w:rPr>
      </w:pPr>
      <w:r w:rsidRPr="00220833">
        <w:rPr>
          <w:rFonts w:hint="cs"/>
          <w:sz w:val="24"/>
          <w:szCs w:val="24"/>
          <w:u w:val="single"/>
          <w:rtl/>
        </w:rPr>
        <w:t>להערות ולתגובות</w:t>
      </w:r>
      <w:r w:rsidRPr="00220833">
        <w:rPr>
          <w:rFonts w:hint="cs"/>
          <w:sz w:val="24"/>
          <w:szCs w:val="24"/>
          <w:rtl/>
        </w:rPr>
        <w:t>: שלמה ליפשיץ</w:t>
      </w:r>
    </w:p>
    <w:p w:rsidR="00E064B4" w:rsidRDefault="00E064B4" w:rsidP="00E064B4">
      <w:pPr>
        <w:spacing w:line="276" w:lineRule="exact"/>
        <w:ind w:firstLine="227"/>
        <w:jc w:val="right"/>
        <w:rPr>
          <w:rtl/>
        </w:rPr>
      </w:pPr>
      <w:hyperlink r:id="rId10" w:history="1">
        <w:r w:rsidRPr="00220833">
          <w:rPr>
            <w:rStyle w:val="Hyperlink"/>
            <w:sz w:val="24"/>
            <w:szCs w:val="24"/>
          </w:rPr>
          <w:t>lshlomo26@gmail.com</w:t>
        </w:r>
      </w:hyperlink>
    </w:p>
    <w:p w:rsidR="00E064B4" w:rsidRDefault="00E064B4">
      <w:pPr>
        <w:spacing w:after="0" w:line="240" w:lineRule="auto"/>
        <w:rPr>
          <w:rFonts w:hint="cs"/>
          <w:rtl/>
        </w:rPr>
      </w:pPr>
      <w:r>
        <w:rPr>
          <w:rtl/>
        </w:rPr>
        <w:br w:type="page"/>
      </w:r>
    </w:p>
    <w:p w:rsidR="009337C2" w:rsidRPr="00CF5152" w:rsidRDefault="009337C2" w:rsidP="009337C2">
      <w:pPr>
        <w:keepNext/>
        <w:keepLines/>
        <w:spacing w:before="240" w:after="0" w:line="276" w:lineRule="exact"/>
        <w:jc w:val="center"/>
        <w:outlineLvl w:val="0"/>
        <w:rPr>
          <w:rFonts w:asciiTheme="majorHAnsi" w:eastAsiaTheme="majorEastAsia" w:hAnsiTheme="majorHAnsi"/>
          <w:bCs/>
          <w:sz w:val="36"/>
          <w:szCs w:val="36"/>
          <w:rtl/>
        </w:rPr>
      </w:pPr>
      <w:bookmarkStart w:id="22" w:name="_Toc76718399"/>
      <w:bookmarkStart w:id="23" w:name="_Toc76718804"/>
      <w:bookmarkStart w:id="24" w:name="_Toc76719144"/>
      <w:r w:rsidRPr="00CF5152">
        <w:rPr>
          <w:rFonts w:asciiTheme="majorHAnsi" w:eastAsiaTheme="majorEastAsia" w:hAnsiTheme="majorHAnsi" w:hint="cs"/>
          <w:bCs/>
          <w:sz w:val="40"/>
          <w:szCs w:val="40"/>
          <w:rtl/>
        </w:rPr>
        <w:lastRenderedPageBreak/>
        <w:t>יסודות יומא</w:t>
      </w:r>
      <w:bookmarkEnd w:id="22"/>
      <w:bookmarkEnd w:id="23"/>
      <w:bookmarkEnd w:id="24"/>
    </w:p>
    <w:p w:rsidR="009337C2" w:rsidRPr="00CF5152" w:rsidRDefault="009337C2" w:rsidP="009337C2">
      <w:pPr>
        <w:keepNext/>
        <w:keepLines/>
        <w:spacing w:before="240" w:after="0" w:line="276" w:lineRule="exact"/>
        <w:jc w:val="center"/>
        <w:outlineLvl w:val="0"/>
        <w:rPr>
          <w:rFonts w:asciiTheme="majorHAnsi" w:eastAsiaTheme="majorEastAsia" w:hAnsiTheme="majorHAnsi"/>
          <w:b/>
          <w:sz w:val="32"/>
          <w:szCs w:val="32"/>
          <w:rtl/>
        </w:rPr>
      </w:pPr>
      <w:bookmarkStart w:id="25" w:name="_Toc76719145"/>
      <w:r w:rsidRPr="00CF5152">
        <w:rPr>
          <w:rFonts w:asciiTheme="majorHAnsi" w:eastAsiaTheme="majorEastAsia" w:hAnsiTheme="majorHAnsi" w:hint="cs"/>
          <w:b/>
          <w:sz w:val="32"/>
          <w:szCs w:val="32"/>
          <w:rtl/>
        </w:rPr>
        <w:t>שיעור רביעי</w:t>
      </w:r>
      <w:bookmarkEnd w:id="25"/>
    </w:p>
    <w:p w:rsidR="009337C2" w:rsidRPr="00CF5152" w:rsidRDefault="009337C2" w:rsidP="009337C2">
      <w:pPr>
        <w:keepNext/>
        <w:keepLines/>
        <w:spacing w:before="240" w:after="0" w:line="276" w:lineRule="exact"/>
        <w:jc w:val="center"/>
        <w:outlineLvl w:val="0"/>
        <w:rPr>
          <w:rFonts w:asciiTheme="majorHAnsi" w:eastAsiaTheme="majorEastAsia" w:hAnsiTheme="majorHAnsi"/>
          <w:bCs/>
          <w:sz w:val="32"/>
          <w:szCs w:val="32"/>
          <w:rtl/>
        </w:rPr>
      </w:pPr>
      <w:bookmarkStart w:id="26" w:name="_Toc76718401"/>
      <w:bookmarkStart w:id="27" w:name="_Toc76718806"/>
      <w:bookmarkStart w:id="28" w:name="_Toc76719146"/>
      <w:r w:rsidRPr="00CF5152">
        <w:rPr>
          <w:rFonts w:asciiTheme="majorHAnsi" w:eastAsiaTheme="majorEastAsia" w:hAnsiTheme="majorHAnsi" w:hint="cs"/>
          <w:bCs/>
          <w:sz w:val="36"/>
          <w:szCs w:val="36"/>
          <w:rtl/>
        </w:rPr>
        <w:t>"ומתק</w:t>
      </w:r>
      <w:r>
        <w:rPr>
          <w:rFonts w:asciiTheme="majorHAnsi" w:eastAsiaTheme="majorEastAsia" w:hAnsiTheme="majorHAnsi" w:hint="cs"/>
          <w:bCs/>
          <w:sz w:val="36"/>
          <w:szCs w:val="36"/>
          <w:rtl/>
        </w:rPr>
        <w:t>י</w:t>
      </w:r>
      <w:r w:rsidRPr="00CF5152">
        <w:rPr>
          <w:rFonts w:asciiTheme="majorHAnsi" w:eastAsiaTheme="majorEastAsia" w:hAnsiTheme="majorHAnsi" w:hint="cs"/>
          <w:bCs/>
          <w:sz w:val="36"/>
          <w:szCs w:val="36"/>
          <w:rtl/>
        </w:rPr>
        <w:t>נין כהן אחר תחתיו"</w:t>
      </w:r>
      <w:bookmarkEnd w:id="26"/>
      <w:bookmarkEnd w:id="27"/>
      <w:bookmarkEnd w:id="28"/>
    </w:p>
    <w:p w:rsidR="009337C2" w:rsidRPr="00CF5152" w:rsidRDefault="009337C2" w:rsidP="009337C2">
      <w:pPr>
        <w:spacing w:line="276" w:lineRule="exact"/>
        <w:rPr>
          <w:highlight w:val="green"/>
          <w:rtl/>
        </w:rPr>
      </w:pPr>
      <w:r w:rsidRPr="00CF5152">
        <w:rPr>
          <w:noProof/>
          <w:highlight w:val="green"/>
          <w:rtl/>
        </w:rPr>
        <mc:AlternateContent>
          <mc:Choice Requires="wps">
            <w:drawing>
              <wp:anchor distT="0" distB="0" distL="114300" distR="114300" simplePos="0" relativeHeight="251668480" behindDoc="1" locked="0" layoutInCell="1" allowOverlap="1" wp14:anchorId="2F7EB724" wp14:editId="2B44A53D">
                <wp:simplePos x="0" y="0"/>
                <wp:positionH relativeFrom="column">
                  <wp:posOffset>-259080</wp:posOffset>
                </wp:positionH>
                <wp:positionV relativeFrom="paragraph">
                  <wp:posOffset>228600</wp:posOffset>
                </wp:positionV>
                <wp:extent cx="5765800" cy="7650480"/>
                <wp:effectExtent l="0" t="0" r="25400" b="26670"/>
                <wp:wrapNone/>
                <wp:docPr id="7" name="מלבן 7"/>
                <wp:cNvGraphicFramePr/>
                <a:graphic xmlns:a="http://schemas.openxmlformats.org/drawingml/2006/main">
                  <a:graphicData uri="http://schemas.microsoft.com/office/word/2010/wordprocessingShape">
                    <wps:wsp>
                      <wps:cNvSpPr/>
                      <wps:spPr>
                        <a:xfrm>
                          <a:off x="0" y="0"/>
                          <a:ext cx="5765800" cy="765048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DD698" id="מלבן 7" o:spid="_x0000_s1026" style="position:absolute;left:0;text-align:left;margin-left:-20.4pt;margin-top:18pt;width:454pt;height:60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ClhgIAAAEFAAAOAAAAZHJzL2Uyb0RvYy54bWysVEtu2zAQ3RfoHQjuG9mGHCdC5MBw4KJA&#10;kARIiqxpirIE8FeStuzeovuiPZav00dacT7NqqgW1AxnOJ/HN7y43CpJNsL51uiSDk8GlAjNTdXq&#10;VUm/Piw+nVHiA9MVk0aLku6Ep5fTjx8uOluIkWmMrIQjCKJ90dmSNiHYIss8b4Ri/sRYoWGsjVMs&#10;QHWrrHKsQ3Qls9FgcJp1xlXWGS68x+7VwUinKX5dCx5u69qLQGRJUVtIq0vrMq7Z9IIVK8ds0/K+&#10;DPYPVSjWaiQ9hrpigZG1a/8KpVrujDd1OOFGZaauWy5SD+hmOHjTzX3DrEi9ABxvjzD5/xeW32zu&#10;HGmrkk4o0Uzhiva/9j/3P/a/ySSi01lfwOne3rle8xBjq9vaqfhHE2SbEN0dERXbQDg2x5PT8dkA&#10;wHPYIA/ys4R59nzcOh8+C6NIFErqcGUJSba59gEp4frkErN5I9tq0UqZlJ2fS0c2DLcLUlSmo0Qy&#10;H7BZ0kX6Yg8I8eqY1KQDWc8H41gZA+1qyQJEZQGE1ytKmFyBzzy4VMur096tlseseT4ZzfP3ksSi&#10;r5hvDtWlCNGNFaoNoLxsVUkBDb7+tNTRKhJp+9Yj+Ae4o7Q01Q6X5cyBxd7yRYsk12j4jjnQFt1g&#10;FMMtlloatGh6iZLGuO/v7Ud/sAlWSjqMAdr/tmZOAMcvGjw7H+Z5nJuk5OPJCIp7aVm+tOi1mhvc&#10;xRBDb3kSo3+QT7u1M+oREzuLWWFimiP3AehemYfDeGLmuZjNkhtmxbJwre8tj8EjThHeh+0jc7Yn&#10;TgDnbszTyLDiDX8OvvGkNrN1MHWbyPWMK2gSFcxZIkz/JsRBfqknr+eXa/oHAAD//wMAUEsDBBQA&#10;BgAIAAAAIQCP+jnz3wAAAAsBAAAPAAAAZHJzL2Rvd25yZXYueG1sTI/BTsMwEETvSPyDtUjcWrsB&#10;hSrEqSgSAg5UtCDObrw4EfE6xG4T/p7tCY6reZp9U64m34kjDrENpGExVyCQ6mBbchre3x5mSxAx&#10;GbKmC4QafjDCqjo/K01hw0hbPO6SE1xCsTAampT6QspYN+hNnIceibPPMHiT+ByctIMZudx3MlMq&#10;l960xB8a0+N9g/XX7uA1PK/d98eTW2xz372Oa3pUm5egtL68mO5uQSSc0h8MJ31Wh4qd9uFANopO&#10;w+xasXrScJXzJgaW+U0GYs9kdopkVcr/G6pfAAAA//8DAFBLAQItABQABgAIAAAAIQC2gziS/gAA&#10;AOEBAAATAAAAAAAAAAAAAAAAAAAAAABbQ29udGVudF9UeXBlc10ueG1sUEsBAi0AFAAGAAgAAAAh&#10;ADj9If/WAAAAlAEAAAsAAAAAAAAAAAAAAAAALwEAAF9yZWxzLy5yZWxzUEsBAi0AFAAGAAgAAAAh&#10;AEbLoKWGAgAAAQUAAA4AAAAAAAAAAAAAAAAALgIAAGRycy9lMm9Eb2MueG1sUEsBAi0AFAAGAAgA&#10;AAAhAI/6OfPfAAAACwEAAA8AAAAAAAAAAAAAAAAA4AQAAGRycy9kb3ducmV2LnhtbFBLBQYAAAAA&#10;BAAEAPMAAADsBQAAAAA=&#10;" fillcolor="window" strokecolor="#4472c4" strokeweight="1.5pt"/>
            </w:pict>
          </mc:Fallback>
        </mc:AlternateContent>
      </w:r>
    </w:p>
    <w:p w:rsidR="009337C2" w:rsidRPr="00640287" w:rsidRDefault="009337C2" w:rsidP="009337C2">
      <w:pPr>
        <w:spacing w:line="276" w:lineRule="exact"/>
        <w:jc w:val="center"/>
        <w:rPr>
          <w:b/>
          <w:bCs/>
          <w:sz w:val="24"/>
          <w:szCs w:val="24"/>
          <w:rtl/>
        </w:rPr>
      </w:pPr>
      <w:r w:rsidRPr="00640287">
        <w:rPr>
          <w:rFonts w:hint="cs"/>
          <w:b/>
          <w:bCs/>
          <w:sz w:val="24"/>
          <w:szCs w:val="24"/>
          <w:rtl/>
        </w:rPr>
        <w:t>מקורות</w:t>
      </w:r>
    </w:p>
    <w:p w:rsidR="009337C2" w:rsidRDefault="009337C2" w:rsidP="009337C2">
      <w:pPr>
        <w:spacing w:line="276" w:lineRule="exact"/>
        <w:rPr>
          <w:sz w:val="24"/>
          <w:szCs w:val="24"/>
          <w:rtl/>
        </w:rPr>
      </w:pPr>
      <w:r w:rsidRPr="00640287">
        <w:rPr>
          <w:rFonts w:hint="cs"/>
          <w:sz w:val="24"/>
          <w:szCs w:val="24"/>
          <w:rtl/>
        </w:rPr>
        <w:t>א. משנה ב.</w:t>
      </w:r>
    </w:p>
    <w:p w:rsidR="009337C2" w:rsidRDefault="009337C2" w:rsidP="009337C2">
      <w:pPr>
        <w:spacing w:line="276" w:lineRule="exact"/>
        <w:rPr>
          <w:sz w:val="24"/>
          <w:szCs w:val="24"/>
          <w:rtl/>
        </w:rPr>
      </w:pPr>
      <w:r>
        <w:rPr>
          <w:rFonts w:hint="cs"/>
          <w:sz w:val="24"/>
          <w:szCs w:val="24"/>
          <w:rtl/>
        </w:rPr>
        <w:t>ב. גמ' יב.-: "ומתקינין לו... הכא נמי עבודתו מחנכתו"</w:t>
      </w:r>
    </w:p>
    <w:p w:rsidR="009337C2" w:rsidRDefault="009337C2" w:rsidP="009337C2">
      <w:pPr>
        <w:spacing w:line="276" w:lineRule="exact"/>
        <w:rPr>
          <w:sz w:val="24"/>
          <w:szCs w:val="24"/>
          <w:rtl/>
        </w:rPr>
      </w:pPr>
      <w:r>
        <w:rPr>
          <w:rFonts w:hint="cs"/>
          <w:sz w:val="24"/>
          <w:szCs w:val="24"/>
          <w:rtl/>
        </w:rPr>
        <w:t>ג. ירושלמי מגילה פ"א ה"י "וכפר הכהן... שממנין זקנים בפה"</w:t>
      </w:r>
    </w:p>
    <w:p w:rsidR="009337C2" w:rsidRDefault="009337C2" w:rsidP="009337C2">
      <w:pPr>
        <w:spacing w:line="276" w:lineRule="exact"/>
        <w:rPr>
          <w:sz w:val="24"/>
          <w:szCs w:val="24"/>
          <w:rtl/>
        </w:rPr>
      </w:pPr>
      <w:r>
        <w:rPr>
          <w:rFonts w:hint="cs"/>
          <w:sz w:val="24"/>
          <w:szCs w:val="24"/>
          <w:rtl/>
        </w:rPr>
        <w:t>ד. ביאור הראב"ד לספרא אחרי מות פרק ח הל' ד ד"ה מנין לרבות לו</w:t>
      </w:r>
    </w:p>
    <w:p w:rsidR="009337C2" w:rsidRDefault="009337C2" w:rsidP="009337C2">
      <w:pPr>
        <w:spacing w:line="276" w:lineRule="exact"/>
        <w:rPr>
          <w:sz w:val="24"/>
          <w:szCs w:val="24"/>
          <w:rtl/>
        </w:rPr>
      </w:pPr>
      <w:r>
        <w:rPr>
          <w:rFonts w:hint="cs"/>
          <w:sz w:val="24"/>
          <w:szCs w:val="24"/>
          <w:rtl/>
        </w:rPr>
        <w:t>[ה. תוס' ישנים יב: ד"ה שני]</w:t>
      </w:r>
    </w:p>
    <w:p w:rsidR="009337C2" w:rsidRDefault="009337C2" w:rsidP="009337C2">
      <w:pPr>
        <w:spacing w:line="276" w:lineRule="exact"/>
        <w:rPr>
          <w:sz w:val="24"/>
          <w:szCs w:val="24"/>
          <w:rtl/>
        </w:rPr>
      </w:pPr>
      <w:r>
        <w:rPr>
          <w:rFonts w:hint="cs"/>
          <w:sz w:val="24"/>
          <w:szCs w:val="24"/>
          <w:rtl/>
        </w:rPr>
        <w:t>ו. רש"ש יב. ד"ה פשיטא</w:t>
      </w:r>
    </w:p>
    <w:p w:rsidR="009337C2" w:rsidRDefault="009337C2" w:rsidP="009337C2">
      <w:pPr>
        <w:spacing w:line="276" w:lineRule="exact"/>
        <w:rPr>
          <w:sz w:val="24"/>
          <w:szCs w:val="24"/>
          <w:rtl/>
        </w:rPr>
      </w:pPr>
      <w:r>
        <w:rPr>
          <w:rFonts w:hint="cs"/>
          <w:sz w:val="24"/>
          <w:szCs w:val="24"/>
          <w:rtl/>
        </w:rPr>
        <w:t>ז. תוס' יב: ד"ה כהן גדול; חידושי הגר"ח יומא יב: 'בענין מינוי כהן גדול וסילוקו'</w:t>
      </w:r>
    </w:p>
    <w:p w:rsidR="009337C2" w:rsidRPr="00640287" w:rsidRDefault="009337C2" w:rsidP="009337C2">
      <w:pPr>
        <w:spacing w:line="276" w:lineRule="exact"/>
        <w:rPr>
          <w:b/>
          <w:bCs/>
          <w:sz w:val="24"/>
          <w:szCs w:val="24"/>
          <w:highlight w:val="green"/>
          <w:rtl/>
        </w:rPr>
      </w:pPr>
    </w:p>
    <w:p w:rsidR="009337C2" w:rsidRDefault="009337C2" w:rsidP="009337C2">
      <w:pPr>
        <w:spacing w:line="276" w:lineRule="exact"/>
        <w:rPr>
          <w:rFonts w:ascii="FrankRuehl" w:hAnsi="FrankRuehl" w:cs="FrankRuehl"/>
          <w:b/>
          <w:bCs/>
          <w:sz w:val="24"/>
          <w:szCs w:val="24"/>
          <w:rtl/>
        </w:rPr>
      </w:pPr>
      <w:r>
        <w:rPr>
          <w:rFonts w:ascii="FrankRuehl" w:hAnsi="FrankRuehl" w:cs="FrankRuehl" w:hint="cs"/>
          <w:b/>
          <w:bCs/>
          <w:sz w:val="24"/>
          <w:szCs w:val="24"/>
          <w:rtl/>
        </w:rPr>
        <w:t>ירושלמי מגילה פ"א ה"י</w:t>
      </w:r>
    </w:p>
    <w:p w:rsidR="009337C2" w:rsidRDefault="009337C2" w:rsidP="009337C2">
      <w:pPr>
        <w:spacing w:line="276" w:lineRule="exact"/>
        <w:rPr>
          <w:rFonts w:ascii="FrankRuehl" w:hAnsi="FrankRuehl" w:cs="FrankRuehl"/>
          <w:sz w:val="24"/>
          <w:szCs w:val="24"/>
          <w:rtl/>
        </w:rPr>
      </w:pPr>
      <w:r w:rsidRPr="00640287">
        <w:rPr>
          <w:rFonts w:ascii="FrankRuehl" w:hAnsi="FrankRuehl" w:cs="FrankRuehl"/>
          <w:sz w:val="24"/>
          <w:szCs w:val="24"/>
          <w:rtl/>
        </w:rPr>
        <w:t xml:space="preserve">וכפר הכהן אשר ימשח אותו </w:t>
      </w:r>
      <w:r>
        <w:rPr>
          <w:rFonts w:ascii="FrankRuehl" w:hAnsi="FrankRuehl" w:cs="FrankRuehl" w:hint="cs"/>
          <w:sz w:val="24"/>
          <w:szCs w:val="24"/>
          <w:rtl/>
        </w:rPr>
        <w:t xml:space="preserve">- </w:t>
      </w:r>
      <w:r>
        <w:rPr>
          <w:rFonts w:ascii="FrankRuehl" w:hAnsi="FrankRuehl" w:cs="FrankRuehl"/>
          <w:sz w:val="24"/>
          <w:szCs w:val="24"/>
          <w:rtl/>
        </w:rPr>
        <w:t>מה ת</w:t>
      </w:r>
      <w:r>
        <w:rPr>
          <w:rFonts w:ascii="FrankRuehl" w:hAnsi="FrankRuehl" w:cs="FrankRuehl" w:hint="cs"/>
          <w:sz w:val="24"/>
          <w:szCs w:val="24"/>
          <w:rtl/>
        </w:rPr>
        <w:t>למוד לומר?</w:t>
      </w:r>
      <w:r w:rsidRPr="00640287">
        <w:rPr>
          <w:rFonts w:ascii="FrankRuehl" w:hAnsi="FrankRuehl" w:cs="FrankRuehl"/>
          <w:sz w:val="24"/>
          <w:szCs w:val="24"/>
          <w:rtl/>
        </w:rPr>
        <w:t xml:space="preserve"> לפי שכל הפרשה אמורה באהרן</w:t>
      </w:r>
      <w:r>
        <w:rPr>
          <w:rFonts w:ascii="FrankRuehl" w:hAnsi="FrankRuehl" w:cs="FrankRuehl" w:hint="cs"/>
          <w:sz w:val="24"/>
          <w:szCs w:val="24"/>
          <w:rtl/>
        </w:rPr>
        <w:t>,</w:t>
      </w:r>
      <w:r w:rsidRPr="00640287">
        <w:rPr>
          <w:rFonts w:ascii="FrankRuehl" w:hAnsi="FrankRuehl" w:cs="FrankRuehl"/>
          <w:sz w:val="24"/>
          <w:szCs w:val="24"/>
          <w:rtl/>
        </w:rPr>
        <w:t xml:space="preserve"> אין לי אלא אהרן עצמו</w:t>
      </w:r>
      <w:r>
        <w:rPr>
          <w:rFonts w:ascii="FrankRuehl" w:hAnsi="FrankRuehl" w:cs="FrankRuehl" w:hint="cs"/>
          <w:sz w:val="24"/>
          <w:szCs w:val="24"/>
          <w:rtl/>
        </w:rPr>
        <w:t>,</w:t>
      </w:r>
      <w:r w:rsidRPr="00640287">
        <w:rPr>
          <w:rFonts w:ascii="FrankRuehl" w:hAnsi="FrankRuehl" w:cs="FrankRuehl"/>
          <w:sz w:val="24"/>
          <w:szCs w:val="24"/>
          <w:rtl/>
        </w:rPr>
        <w:t xml:space="preserve"> מניין לרבות כהן אחר</w:t>
      </w:r>
      <w:r>
        <w:rPr>
          <w:rFonts w:ascii="FrankRuehl" w:hAnsi="FrankRuehl" w:cs="FrankRuehl" w:hint="cs"/>
          <w:sz w:val="24"/>
          <w:szCs w:val="24"/>
          <w:rtl/>
        </w:rPr>
        <w:t>?</w:t>
      </w:r>
      <w:r>
        <w:rPr>
          <w:rFonts w:ascii="FrankRuehl" w:hAnsi="FrankRuehl" w:cs="FrankRuehl"/>
          <w:sz w:val="24"/>
          <w:szCs w:val="24"/>
          <w:rtl/>
        </w:rPr>
        <w:t xml:space="preserve"> תלמוד לומר </w:t>
      </w:r>
      <w:r>
        <w:rPr>
          <w:rFonts w:ascii="FrankRuehl" w:hAnsi="FrankRuehl" w:cs="FrankRuehl" w:hint="cs"/>
          <w:sz w:val="24"/>
          <w:szCs w:val="24"/>
          <w:rtl/>
        </w:rPr>
        <w:t>'</w:t>
      </w:r>
      <w:r w:rsidRPr="00640287">
        <w:rPr>
          <w:rFonts w:ascii="FrankRuehl" w:hAnsi="FrankRuehl" w:cs="FrankRuehl"/>
          <w:sz w:val="24"/>
          <w:szCs w:val="24"/>
          <w:rtl/>
        </w:rPr>
        <w:t>אשר ימשח אותו</w:t>
      </w:r>
      <w:r>
        <w:rPr>
          <w:rFonts w:ascii="FrankRuehl" w:hAnsi="FrankRuehl" w:cs="FrankRuehl" w:hint="cs"/>
          <w:sz w:val="24"/>
          <w:szCs w:val="24"/>
          <w:rtl/>
        </w:rPr>
        <w:t>'.</w:t>
      </w:r>
      <w:r w:rsidRPr="00640287">
        <w:rPr>
          <w:rFonts w:ascii="FrankRuehl" w:hAnsi="FrankRuehl" w:cs="FrankRuehl"/>
          <w:sz w:val="24"/>
          <w:szCs w:val="24"/>
          <w:rtl/>
        </w:rPr>
        <w:t xml:space="preserve"> אין לי אלא משוח בשמן המשחה</w:t>
      </w:r>
      <w:r>
        <w:rPr>
          <w:rFonts w:ascii="FrankRuehl" w:hAnsi="FrankRuehl" w:cs="FrankRuehl" w:hint="cs"/>
          <w:sz w:val="24"/>
          <w:szCs w:val="24"/>
          <w:rtl/>
        </w:rPr>
        <w:t>,</w:t>
      </w:r>
      <w:r w:rsidRPr="00640287">
        <w:rPr>
          <w:rFonts w:ascii="FrankRuehl" w:hAnsi="FrankRuehl" w:cs="FrankRuehl"/>
          <w:sz w:val="24"/>
          <w:szCs w:val="24"/>
          <w:rtl/>
        </w:rPr>
        <w:t xml:space="preserve"> המרובה בגדים מניין</w:t>
      </w:r>
      <w:r>
        <w:rPr>
          <w:rFonts w:ascii="FrankRuehl" w:hAnsi="FrankRuehl" w:cs="FrankRuehl" w:hint="cs"/>
          <w:sz w:val="24"/>
          <w:szCs w:val="24"/>
          <w:rtl/>
        </w:rPr>
        <w:t>?</w:t>
      </w:r>
      <w:r>
        <w:rPr>
          <w:rFonts w:ascii="FrankRuehl" w:hAnsi="FrankRuehl" w:cs="FrankRuehl"/>
          <w:sz w:val="24"/>
          <w:szCs w:val="24"/>
          <w:rtl/>
        </w:rPr>
        <w:t xml:space="preserve"> תלמוד לומר </w:t>
      </w:r>
      <w:r>
        <w:rPr>
          <w:rFonts w:ascii="FrankRuehl" w:hAnsi="FrankRuehl" w:cs="FrankRuehl" w:hint="cs"/>
          <w:sz w:val="24"/>
          <w:szCs w:val="24"/>
          <w:rtl/>
        </w:rPr>
        <w:t>'</w:t>
      </w:r>
      <w:r w:rsidRPr="00640287">
        <w:rPr>
          <w:rFonts w:ascii="FrankRuehl" w:hAnsi="FrankRuehl" w:cs="FrankRuehl"/>
          <w:sz w:val="24"/>
          <w:szCs w:val="24"/>
          <w:rtl/>
        </w:rPr>
        <w:t>ואשר ימלא את ידו</w:t>
      </w:r>
      <w:r>
        <w:rPr>
          <w:rFonts w:ascii="FrankRuehl" w:hAnsi="FrankRuehl" w:cs="FrankRuehl" w:hint="cs"/>
          <w:sz w:val="24"/>
          <w:szCs w:val="24"/>
          <w:rtl/>
        </w:rPr>
        <w:t>'.</w:t>
      </w:r>
      <w:r w:rsidRPr="00640287">
        <w:rPr>
          <w:rFonts w:ascii="FrankRuehl" w:hAnsi="FrankRuehl" w:cs="FrankRuehl"/>
          <w:sz w:val="24"/>
          <w:szCs w:val="24"/>
          <w:rtl/>
        </w:rPr>
        <w:t xml:space="preserve"> מניין לרבות כהן המתמנה</w:t>
      </w:r>
      <w:r>
        <w:rPr>
          <w:rFonts w:ascii="FrankRuehl" w:hAnsi="FrankRuehl" w:cs="FrankRuehl" w:hint="cs"/>
          <w:sz w:val="24"/>
          <w:szCs w:val="24"/>
          <w:rtl/>
        </w:rPr>
        <w:t>?</w:t>
      </w:r>
      <w:r>
        <w:rPr>
          <w:rFonts w:ascii="FrankRuehl" w:hAnsi="FrankRuehl" w:cs="FrankRuehl"/>
          <w:sz w:val="24"/>
          <w:szCs w:val="24"/>
          <w:rtl/>
        </w:rPr>
        <w:t xml:space="preserve"> ת</w:t>
      </w:r>
      <w:r>
        <w:rPr>
          <w:rFonts w:ascii="FrankRuehl" w:hAnsi="FrankRuehl" w:cs="FrankRuehl" w:hint="cs"/>
          <w:sz w:val="24"/>
          <w:szCs w:val="24"/>
          <w:rtl/>
        </w:rPr>
        <w:t>למוד לומר</w:t>
      </w:r>
      <w:r w:rsidRPr="00640287">
        <w:rPr>
          <w:rFonts w:ascii="FrankRuehl" w:hAnsi="FrankRuehl" w:cs="FrankRuehl"/>
          <w:sz w:val="24"/>
          <w:szCs w:val="24"/>
          <w:rtl/>
        </w:rPr>
        <w:t xml:space="preserve"> </w:t>
      </w:r>
      <w:r>
        <w:rPr>
          <w:rFonts w:ascii="FrankRuehl" w:hAnsi="FrankRuehl" w:cs="FrankRuehl" w:hint="cs"/>
          <w:sz w:val="24"/>
          <w:szCs w:val="24"/>
          <w:rtl/>
        </w:rPr>
        <w:t>'</w:t>
      </w:r>
      <w:r w:rsidRPr="00640287">
        <w:rPr>
          <w:rFonts w:ascii="FrankRuehl" w:hAnsi="FrankRuehl" w:cs="FrankRuehl"/>
          <w:sz w:val="24"/>
          <w:szCs w:val="24"/>
          <w:rtl/>
        </w:rPr>
        <w:t>וכפר הכהן</w:t>
      </w:r>
      <w:r>
        <w:rPr>
          <w:rFonts w:ascii="FrankRuehl" w:hAnsi="FrankRuehl" w:cs="FrankRuehl" w:hint="cs"/>
          <w:sz w:val="24"/>
          <w:szCs w:val="24"/>
          <w:rtl/>
        </w:rPr>
        <w:t>'.</w:t>
      </w:r>
      <w:r w:rsidRPr="00640287">
        <w:rPr>
          <w:rFonts w:ascii="FrankRuehl" w:hAnsi="FrankRuehl" w:cs="FrankRuehl"/>
          <w:sz w:val="24"/>
          <w:szCs w:val="24"/>
          <w:rtl/>
        </w:rPr>
        <w:t xml:space="preserve"> במה הוא מתמנה</w:t>
      </w:r>
      <w:r>
        <w:rPr>
          <w:rFonts w:ascii="FrankRuehl" w:hAnsi="FrankRuehl" w:cs="FrankRuehl" w:hint="cs"/>
          <w:sz w:val="24"/>
          <w:szCs w:val="24"/>
          <w:rtl/>
        </w:rPr>
        <w:t>?</w:t>
      </w:r>
      <w:r>
        <w:rPr>
          <w:rFonts w:ascii="FrankRuehl" w:hAnsi="FrankRuehl" w:cs="FrankRuehl"/>
          <w:sz w:val="24"/>
          <w:szCs w:val="24"/>
          <w:rtl/>
        </w:rPr>
        <w:t xml:space="preserve"> רבנן דקיסרין בשם ר</w:t>
      </w:r>
      <w:r>
        <w:rPr>
          <w:rFonts w:ascii="FrankRuehl" w:hAnsi="FrankRuehl" w:cs="FrankRuehl" w:hint="cs"/>
          <w:sz w:val="24"/>
          <w:szCs w:val="24"/>
          <w:rtl/>
        </w:rPr>
        <w:t>בי</w:t>
      </w:r>
      <w:r w:rsidRPr="00640287">
        <w:rPr>
          <w:rFonts w:ascii="FrankRuehl" w:hAnsi="FrankRuehl" w:cs="FrankRuehl"/>
          <w:sz w:val="24"/>
          <w:szCs w:val="24"/>
          <w:rtl/>
        </w:rPr>
        <w:t xml:space="preserve"> חייא בר יוסף</w:t>
      </w:r>
      <w:r>
        <w:rPr>
          <w:rFonts w:ascii="FrankRuehl" w:hAnsi="FrankRuehl" w:cs="FrankRuehl" w:hint="cs"/>
          <w:sz w:val="24"/>
          <w:szCs w:val="24"/>
          <w:rtl/>
        </w:rPr>
        <w:t>:</w:t>
      </w:r>
      <w:r w:rsidRPr="00640287">
        <w:rPr>
          <w:rFonts w:ascii="FrankRuehl" w:hAnsi="FrankRuehl" w:cs="FrankRuehl"/>
          <w:sz w:val="24"/>
          <w:szCs w:val="24"/>
          <w:rtl/>
        </w:rPr>
        <w:t xml:space="preserve"> בפה</w:t>
      </w:r>
      <w:r>
        <w:rPr>
          <w:rFonts w:ascii="FrankRuehl" w:hAnsi="FrankRuehl" w:cs="FrankRuehl" w:hint="cs"/>
          <w:sz w:val="24"/>
          <w:szCs w:val="24"/>
          <w:rtl/>
        </w:rPr>
        <w:t>.</w:t>
      </w:r>
      <w:r>
        <w:rPr>
          <w:rFonts w:ascii="FrankRuehl" w:hAnsi="FrankRuehl" w:cs="FrankRuehl"/>
          <w:sz w:val="24"/>
          <w:szCs w:val="24"/>
          <w:rtl/>
        </w:rPr>
        <w:t xml:space="preserve"> אמר ר</w:t>
      </w:r>
      <w:r>
        <w:rPr>
          <w:rFonts w:ascii="FrankRuehl" w:hAnsi="FrankRuehl" w:cs="FrankRuehl" w:hint="cs"/>
          <w:sz w:val="24"/>
          <w:szCs w:val="24"/>
          <w:rtl/>
        </w:rPr>
        <w:t>בי</w:t>
      </w:r>
      <w:r w:rsidRPr="00640287">
        <w:rPr>
          <w:rFonts w:ascii="FrankRuehl" w:hAnsi="FrankRuehl" w:cs="FrankRuehl"/>
          <w:sz w:val="24"/>
          <w:szCs w:val="24"/>
          <w:rtl/>
        </w:rPr>
        <w:t xml:space="preserve"> זעירה</w:t>
      </w:r>
      <w:r>
        <w:rPr>
          <w:rFonts w:ascii="FrankRuehl" w:hAnsi="FrankRuehl" w:cs="FrankRuehl" w:hint="cs"/>
          <w:sz w:val="24"/>
          <w:szCs w:val="24"/>
          <w:rtl/>
        </w:rPr>
        <w:t>:</w:t>
      </w:r>
      <w:r w:rsidRPr="00640287">
        <w:rPr>
          <w:rFonts w:ascii="FrankRuehl" w:hAnsi="FrankRuehl" w:cs="FrankRuehl"/>
          <w:sz w:val="24"/>
          <w:szCs w:val="24"/>
          <w:rtl/>
        </w:rPr>
        <w:t xml:space="preserve"> הדא אמרה שממנין זקנים בפה</w:t>
      </w:r>
      <w:r>
        <w:rPr>
          <w:rFonts w:ascii="FrankRuehl" w:hAnsi="FrankRuehl" w:cs="FrankRuehl" w:hint="cs"/>
          <w:sz w:val="24"/>
          <w:szCs w:val="24"/>
          <w:rtl/>
        </w:rPr>
        <w:t>.</w:t>
      </w:r>
    </w:p>
    <w:p w:rsidR="009337C2" w:rsidRDefault="009337C2" w:rsidP="009337C2">
      <w:pPr>
        <w:spacing w:line="276" w:lineRule="exact"/>
        <w:rPr>
          <w:rFonts w:ascii="FrankRuehl" w:hAnsi="FrankRuehl" w:cs="FrankRuehl"/>
          <w:sz w:val="24"/>
          <w:szCs w:val="24"/>
          <w:rtl/>
        </w:rPr>
      </w:pPr>
    </w:p>
    <w:p w:rsidR="009337C2" w:rsidRPr="00640287" w:rsidRDefault="009337C2" w:rsidP="009337C2">
      <w:pPr>
        <w:spacing w:line="276" w:lineRule="exact"/>
        <w:rPr>
          <w:rFonts w:ascii="FrankRuehl" w:hAnsi="FrankRuehl" w:cs="FrankRuehl"/>
          <w:b/>
          <w:bCs/>
          <w:sz w:val="24"/>
          <w:szCs w:val="24"/>
          <w:rtl/>
        </w:rPr>
      </w:pPr>
      <w:r>
        <w:rPr>
          <w:rFonts w:ascii="FrankRuehl" w:hAnsi="FrankRuehl" w:cs="FrankRuehl" w:hint="cs"/>
          <w:b/>
          <w:bCs/>
          <w:sz w:val="24"/>
          <w:szCs w:val="24"/>
          <w:rtl/>
        </w:rPr>
        <w:t>פירוש הראב"ד לספרא אחרי מות פרק ח הל' ד</w:t>
      </w:r>
    </w:p>
    <w:p w:rsidR="009337C2" w:rsidRDefault="009337C2" w:rsidP="009337C2">
      <w:pPr>
        <w:spacing w:line="276" w:lineRule="exact"/>
        <w:rPr>
          <w:rFonts w:ascii="FrankRuehl" w:hAnsi="FrankRuehl" w:cs="FrankRuehl"/>
          <w:sz w:val="24"/>
          <w:szCs w:val="24"/>
          <w:rtl/>
        </w:rPr>
      </w:pPr>
      <w:r w:rsidRPr="00640287">
        <w:rPr>
          <w:rFonts w:ascii="FrankRuehl" w:hAnsi="FrankRuehl" w:cs="FrankRuehl"/>
          <w:sz w:val="24"/>
          <w:szCs w:val="24"/>
          <w:rtl/>
        </w:rPr>
        <w:t>מנין לרבות לו כהן אחר הממונה? תלמוד לומר 'וכפר הכהן' – מנין שצריכים אנו להתקין לו כהן אחר שמא יארע בו פסול, וזו התקנה תהא במקום משיחה או ריבוי בגדים שצריך להיות בכהן גדול קודם יום הכפורים. ולפי שאי איפשר לו למשחו קודם לכן או להלבישו שמונה בגדים, לפי שאין ממנין שני כהנים גדולים אחד משום איבה, התקנה הזו היא במקום משיחה וריבוי בגדים.</w:t>
      </w:r>
    </w:p>
    <w:p w:rsidR="009337C2" w:rsidRDefault="009337C2" w:rsidP="009337C2">
      <w:pPr>
        <w:spacing w:line="276" w:lineRule="exact"/>
        <w:rPr>
          <w:rFonts w:ascii="FrankRuehl" w:hAnsi="FrankRuehl" w:cs="FrankRuehl"/>
          <w:sz w:val="24"/>
          <w:szCs w:val="24"/>
          <w:rtl/>
        </w:rPr>
      </w:pPr>
    </w:p>
    <w:p w:rsidR="009337C2" w:rsidRDefault="009337C2" w:rsidP="009337C2">
      <w:pPr>
        <w:spacing w:line="276" w:lineRule="exact"/>
        <w:rPr>
          <w:rFonts w:ascii="FrankRuehl" w:hAnsi="FrankRuehl" w:cs="FrankRuehl"/>
          <w:b/>
          <w:bCs/>
          <w:sz w:val="24"/>
          <w:szCs w:val="24"/>
          <w:rtl/>
        </w:rPr>
      </w:pPr>
      <w:r>
        <w:rPr>
          <w:rFonts w:ascii="FrankRuehl" w:hAnsi="FrankRuehl" w:cs="FrankRuehl" w:hint="cs"/>
          <w:b/>
          <w:bCs/>
          <w:sz w:val="24"/>
          <w:szCs w:val="24"/>
          <w:rtl/>
        </w:rPr>
        <w:t>חידושי הגר"ח יומא יב: 'בענין מינוי כהן גדול וסילוקו'</w:t>
      </w:r>
    </w:p>
    <w:p w:rsidR="009337C2" w:rsidRPr="002F0B5C" w:rsidRDefault="009337C2" w:rsidP="009337C2">
      <w:pPr>
        <w:spacing w:line="276" w:lineRule="exact"/>
        <w:rPr>
          <w:rFonts w:ascii="FrankRuehl" w:hAnsi="FrankRuehl" w:cs="FrankRuehl"/>
          <w:sz w:val="24"/>
          <w:szCs w:val="24"/>
          <w:rtl/>
        </w:rPr>
      </w:pPr>
      <w:r w:rsidRPr="002F0B5C">
        <w:rPr>
          <w:rFonts w:ascii="FrankRuehl" w:hAnsi="FrankRuehl" w:cs="FrankRuehl"/>
          <w:sz w:val="24"/>
          <w:szCs w:val="24"/>
          <w:rtl/>
        </w:rPr>
        <w:t xml:space="preserve">ובתוס' הקשו דמדקאמר טעמא משום </w:t>
      </w:r>
      <w:r>
        <w:rPr>
          <w:rFonts w:ascii="FrankRuehl" w:hAnsi="FrankRuehl" w:cs="FrankRuehl"/>
          <w:sz w:val="24"/>
          <w:szCs w:val="24"/>
          <w:rtl/>
        </w:rPr>
        <w:t>איבה, משמע דמדינא ראוי להיות כה</w:t>
      </w:r>
      <w:r>
        <w:rPr>
          <w:rFonts w:ascii="FrankRuehl" w:hAnsi="FrankRuehl" w:cs="FrankRuehl" w:hint="cs"/>
          <w:sz w:val="24"/>
          <w:szCs w:val="24"/>
          <w:rtl/>
        </w:rPr>
        <w:t>ן גדול</w:t>
      </w:r>
      <w:r w:rsidRPr="002F0B5C">
        <w:rPr>
          <w:rFonts w:ascii="FrankRuehl" w:hAnsi="FrankRuehl" w:cs="FrankRuehl"/>
          <w:sz w:val="24"/>
          <w:szCs w:val="24"/>
          <w:rtl/>
        </w:rPr>
        <w:t xml:space="preserve"> מדאורייתא אלא גזרו ביה רבנן משום איבה, וא"כ תימה אמאי איצ</w:t>
      </w:r>
      <w:r>
        <w:rPr>
          <w:rFonts w:ascii="FrankRuehl" w:hAnsi="FrankRuehl" w:cs="FrankRuehl"/>
          <w:sz w:val="24"/>
          <w:szCs w:val="24"/>
          <w:rtl/>
        </w:rPr>
        <w:t>טריך לפרושי טעמא דאין משמש בכה</w:t>
      </w:r>
      <w:r>
        <w:rPr>
          <w:rFonts w:ascii="FrankRuehl" w:hAnsi="FrankRuehl" w:cs="FrankRuehl" w:hint="cs"/>
          <w:sz w:val="24"/>
          <w:szCs w:val="24"/>
          <w:rtl/>
        </w:rPr>
        <w:t>ן הדיוט</w:t>
      </w:r>
      <w:r w:rsidRPr="002F0B5C">
        <w:rPr>
          <w:rFonts w:ascii="FrankRuehl" w:hAnsi="FrankRuehl" w:cs="FrankRuehl"/>
          <w:sz w:val="24"/>
          <w:szCs w:val="24"/>
          <w:rtl/>
        </w:rPr>
        <w:t xml:space="preserve"> משום </w:t>
      </w:r>
      <w:r>
        <w:rPr>
          <w:rFonts w:ascii="FrankRuehl" w:hAnsi="FrankRuehl" w:cs="FrankRuehl"/>
          <w:sz w:val="24"/>
          <w:szCs w:val="24"/>
          <w:rtl/>
        </w:rPr>
        <w:t>דמעלין בקודש ואין מורידין תיפו</w:t>
      </w:r>
      <w:r>
        <w:rPr>
          <w:rFonts w:ascii="FrankRuehl" w:hAnsi="FrankRuehl" w:cs="FrankRuehl" w:hint="cs"/>
          <w:sz w:val="24"/>
          <w:szCs w:val="24"/>
          <w:rtl/>
        </w:rPr>
        <w:t>ק ליה</w:t>
      </w:r>
      <w:r w:rsidRPr="002F0B5C">
        <w:rPr>
          <w:rFonts w:ascii="FrankRuehl" w:hAnsi="FrankRuehl" w:cs="FrankRuehl"/>
          <w:sz w:val="24"/>
          <w:szCs w:val="24"/>
          <w:rtl/>
        </w:rPr>
        <w:t xml:space="preserve"> דהוי</w:t>
      </w:r>
      <w:r>
        <w:rPr>
          <w:rFonts w:ascii="FrankRuehl" w:hAnsi="FrankRuehl" w:cs="FrankRuehl"/>
          <w:sz w:val="24"/>
          <w:szCs w:val="24"/>
          <w:rtl/>
        </w:rPr>
        <w:t xml:space="preserve"> מחוסר בגדים ועבודתו פסולה, דכ</w:t>
      </w:r>
      <w:r>
        <w:rPr>
          <w:rFonts w:ascii="FrankRuehl" w:hAnsi="FrankRuehl" w:cs="FrankRuehl" w:hint="cs"/>
          <w:sz w:val="24"/>
          <w:szCs w:val="24"/>
          <w:rtl/>
        </w:rPr>
        <w:t>הן גדול</w:t>
      </w:r>
      <w:r w:rsidRPr="002F0B5C">
        <w:rPr>
          <w:rFonts w:ascii="FrankRuehl" w:hAnsi="FrankRuehl" w:cs="FrankRuehl"/>
          <w:sz w:val="24"/>
          <w:szCs w:val="24"/>
          <w:rtl/>
        </w:rPr>
        <w:t xml:space="preserve"> </w:t>
      </w:r>
      <w:r>
        <w:rPr>
          <w:rFonts w:ascii="FrankRuehl" w:hAnsi="FrankRuehl" w:cs="FrankRuehl"/>
          <w:sz w:val="24"/>
          <w:szCs w:val="24"/>
          <w:rtl/>
        </w:rPr>
        <w:t>ששימש בד' בגדים הוי מחוסר בגדים</w:t>
      </w:r>
      <w:r>
        <w:rPr>
          <w:rFonts w:ascii="FrankRuehl" w:hAnsi="FrankRuehl" w:cs="FrankRuehl" w:hint="cs"/>
          <w:sz w:val="24"/>
          <w:szCs w:val="24"/>
          <w:rtl/>
        </w:rPr>
        <w:t>.</w:t>
      </w:r>
      <w:r w:rsidRPr="002F0B5C">
        <w:rPr>
          <w:rFonts w:ascii="FrankRuehl" w:hAnsi="FrankRuehl" w:cs="FrankRuehl"/>
          <w:sz w:val="24"/>
          <w:szCs w:val="24"/>
          <w:rtl/>
        </w:rPr>
        <w:t xml:space="preserve"> ותירצו</w:t>
      </w:r>
      <w:r>
        <w:rPr>
          <w:rFonts w:ascii="FrankRuehl" w:hAnsi="FrankRuehl" w:cs="FrankRuehl" w:hint="cs"/>
          <w:sz w:val="24"/>
          <w:szCs w:val="24"/>
          <w:rtl/>
        </w:rPr>
        <w:t>,</w:t>
      </w:r>
      <w:r w:rsidRPr="002F0B5C">
        <w:rPr>
          <w:rFonts w:ascii="FrankRuehl" w:hAnsi="FrankRuehl" w:cs="FrankRuehl"/>
          <w:sz w:val="24"/>
          <w:szCs w:val="24"/>
          <w:rtl/>
        </w:rPr>
        <w:t xml:space="preserve"> דכהן גדול מתמנה בפה ומסתלק בפה</w:t>
      </w:r>
      <w:r>
        <w:rPr>
          <w:rFonts w:ascii="FrankRuehl" w:hAnsi="FrankRuehl" w:cs="FrankRuehl" w:hint="cs"/>
          <w:sz w:val="24"/>
          <w:szCs w:val="24"/>
          <w:rtl/>
        </w:rPr>
        <w:t>,</w:t>
      </w:r>
      <w:r w:rsidRPr="002F0B5C">
        <w:rPr>
          <w:rFonts w:ascii="FrankRuehl" w:hAnsi="FrankRuehl" w:cs="FrankRuehl"/>
          <w:sz w:val="24"/>
          <w:szCs w:val="24"/>
          <w:rtl/>
        </w:rPr>
        <w:t xml:space="preserve"> ובירושלמי דריש לה מקרא ע"ש, וכ"כ התוס' בזבחים יח ע"א.</w:t>
      </w:r>
    </w:p>
    <w:p w:rsidR="009337C2" w:rsidRPr="002F0B5C" w:rsidRDefault="009337C2" w:rsidP="009337C2">
      <w:pPr>
        <w:spacing w:line="276" w:lineRule="exact"/>
        <w:rPr>
          <w:rFonts w:ascii="FrankRuehl" w:hAnsi="FrankRuehl" w:cs="FrankRuehl"/>
          <w:sz w:val="24"/>
          <w:szCs w:val="24"/>
          <w:rtl/>
        </w:rPr>
      </w:pPr>
      <w:r>
        <w:rPr>
          <w:rFonts w:ascii="FrankRuehl" w:hAnsi="FrankRuehl" w:cs="FrankRuehl"/>
          <w:sz w:val="24"/>
          <w:szCs w:val="24"/>
          <w:rtl/>
        </w:rPr>
        <w:t>ופי</w:t>
      </w:r>
      <w:r>
        <w:rPr>
          <w:rFonts w:ascii="FrankRuehl" w:hAnsi="FrankRuehl" w:cs="FrankRuehl" w:hint="cs"/>
          <w:sz w:val="24"/>
          <w:szCs w:val="24"/>
          <w:rtl/>
        </w:rPr>
        <w:t xml:space="preserve">רש </w:t>
      </w:r>
      <w:r>
        <w:rPr>
          <w:rFonts w:ascii="FrankRuehl" w:hAnsi="FrankRuehl" w:cs="FrankRuehl"/>
          <w:sz w:val="24"/>
          <w:szCs w:val="24"/>
          <w:rtl/>
        </w:rPr>
        <w:t>הגבו</w:t>
      </w:r>
      <w:r>
        <w:rPr>
          <w:rFonts w:ascii="FrankRuehl" w:hAnsi="FrankRuehl" w:cs="FrankRuehl" w:hint="cs"/>
          <w:sz w:val="24"/>
          <w:szCs w:val="24"/>
          <w:rtl/>
        </w:rPr>
        <w:t>רת ארי,</w:t>
      </w:r>
      <w:r w:rsidRPr="002F0B5C">
        <w:rPr>
          <w:rFonts w:ascii="FrankRuehl" w:hAnsi="FrankRuehl" w:cs="FrankRuehl"/>
          <w:sz w:val="24"/>
          <w:szCs w:val="24"/>
          <w:rtl/>
        </w:rPr>
        <w:t xml:space="preserve"> דכוונ</w:t>
      </w:r>
      <w:r>
        <w:rPr>
          <w:rFonts w:ascii="FrankRuehl" w:hAnsi="FrankRuehl" w:cs="FrankRuehl"/>
          <w:sz w:val="24"/>
          <w:szCs w:val="24"/>
          <w:rtl/>
        </w:rPr>
        <w:t>ת התוס' דמסלקין אותו מלהיות כה</w:t>
      </w:r>
      <w:r>
        <w:rPr>
          <w:rFonts w:ascii="FrankRuehl" w:hAnsi="FrankRuehl" w:cs="FrankRuehl" w:hint="cs"/>
          <w:sz w:val="24"/>
          <w:szCs w:val="24"/>
          <w:rtl/>
        </w:rPr>
        <w:t>ן גדול</w:t>
      </w:r>
      <w:r w:rsidRPr="002F0B5C">
        <w:rPr>
          <w:rFonts w:ascii="FrankRuehl" w:hAnsi="FrankRuehl" w:cs="FrankRuehl"/>
          <w:sz w:val="24"/>
          <w:szCs w:val="24"/>
          <w:rtl/>
        </w:rPr>
        <w:t xml:space="preserve"> וממ</w:t>
      </w:r>
      <w:r>
        <w:rPr>
          <w:rFonts w:ascii="FrankRuehl" w:hAnsi="FrankRuehl" w:cs="FrankRuehl"/>
          <w:sz w:val="24"/>
          <w:szCs w:val="24"/>
          <w:rtl/>
        </w:rPr>
        <w:t>ילא דינו ככ</w:t>
      </w:r>
      <w:r>
        <w:rPr>
          <w:rFonts w:ascii="FrankRuehl" w:hAnsi="FrankRuehl" w:cs="FrankRuehl" w:hint="cs"/>
          <w:sz w:val="24"/>
          <w:szCs w:val="24"/>
          <w:rtl/>
        </w:rPr>
        <w:t>הן הדיוט,</w:t>
      </w:r>
      <w:r>
        <w:rPr>
          <w:rFonts w:ascii="FrankRuehl" w:hAnsi="FrankRuehl" w:cs="FrankRuehl"/>
          <w:sz w:val="24"/>
          <w:szCs w:val="24"/>
          <w:rtl/>
        </w:rPr>
        <w:t xml:space="preserve"> וע</w:t>
      </w:r>
      <w:r>
        <w:rPr>
          <w:rFonts w:ascii="FrankRuehl" w:hAnsi="FrankRuehl" w:cs="FrankRuehl" w:hint="cs"/>
          <w:sz w:val="24"/>
          <w:szCs w:val="24"/>
          <w:rtl/>
        </w:rPr>
        <w:t>ל כן</w:t>
      </w:r>
      <w:r w:rsidRPr="002F0B5C">
        <w:rPr>
          <w:rFonts w:ascii="FrankRuehl" w:hAnsi="FrankRuehl" w:cs="FrankRuehl"/>
          <w:sz w:val="24"/>
          <w:szCs w:val="24"/>
          <w:rtl/>
        </w:rPr>
        <w:t xml:space="preserve"> לא חשיב מחוסר בגדים אם עבד בד' בגדים, ורק משום דמעלין בקודש ואין מורידין</w:t>
      </w:r>
      <w:r>
        <w:rPr>
          <w:rFonts w:ascii="FrankRuehl" w:hAnsi="FrankRuehl" w:cs="FrankRuehl"/>
          <w:sz w:val="24"/>
          <w:szCs w:val="24"/>
          <w:rtl/>
        </w:rPr>
        <w:t xml:space="preserve"> אין מניחים אותו לשמש בד' בגדים</w:t>
      </w:r>
      <w:r>
        <w:rPr>
          <w:rFonts w:ascii="FrankRuehl" w:hAnsi="FrankRuehl" w:cs="FrankRuehl" w:hint="cs"/>
          <w:sz w:val="24"/>
          <w:szCs w:val="24"/>
          <w:rtl/>
        </w:rPr>
        <w:t>.</w:t>
      </w:r>
      <w:r>
        <w:rPr>
          <w:rFonts w:ascii="FrankRuehl" w:hAnsi="FrankRuehl" w:cs="FrankRuehl"/>
          <w:sz w:val="24"/>
          <w:szCs w:val="24"/>
          <w:rtl/>
        </w:rPr>
        <w:t xml:space="preserve"> והקשה הגבו</w:t>
      </w:r>
      <w:r>
        <w:rPr>
          <w:rFonts w:ascii="FrankRuehl" w:hAnsi="FrankRuehl" w:cs="FrankRuehl" w:hint="cs"/>
          <w:sz w:val="24"/>
          <w:szCs w:val="24"/>
          <w:rtl/>
        </w:rPr>
        <w:t>רת ארי</w:t>
      </w:r>
      <w:r>
        <w:rPr>
          <w:rFonts w:ascii="FrankRuehl" w:hAnsi="FrankRuehl" w:cs="FrankRuehl"/>
          <w:sz w:val="24"/>
          <w:szCs w:val="24"/>
          <w:rtl/>
        </w:rPr>
        <w:t xml:space="preserve"> מהא דמבואר בהוריות יב ע"ב דכה</w:t>
      </w:r>
      <w:r>
        <w:rPr>
          <w:rFonts w:ascii="FrankRuehl" w:hAnsi="FrankRuehl" w:cs="FrankRuehl" w:hint="cs"/>
          <w:sz w:val="24"/>
          <w:szCs w:val="24"/>
          <w:rtl/>
        </w:rPr>
        <w:t>ן גדול</w:t>
      </w:r>
      <w:r w:rsidRPr="002F0B5C">
        <w:rPr>
          <w:rFonts w:ascii="FrankRuehl" w:hAnsi="FrankRuehl" w:cs="FrankRuehl"/>
          <w:sz w:val="24"/>
          <w:szCs w:val="24"/>
          <w:rtl/>
        </w:rPr>
        <w:t xml:space="preserve"> שעבר ממשיחתו מחמת מומין או צרעת ד</w:t>
      </w:r>
      <w:r>
        <w:rPr>
          <w:rFonts w:ascii="FrankRuehl" w:hAnsi="FrankRuehl" w:cs="FrankRuehl"/>
          <w:sz w:val="24"/>
          <w:szCs w:val="24"/>
          <w:rtl/>
        </w:rPr>
        <w:t>אינו ראוי לעבודה כלל לעולם, אפ</w:t>
      </w:r>
      <w:r>
        <w:rPr>
          <w:rFonts w:ascii="FrankRuehl" w:hAnsi="FrankRuehl" w:cs="FrankRuehl" w:hint="cs"/>
          <w:sz w:val="24"/>
          <w:szCs w:val="24"/>
          <w:rtl/>
        </w:rPr>
        <w:t>ילו הכי</w:t>
      </w:r>
      <w:r w:rsidRPr="002F0B5C">
        <w:rPr>
          <w:rFonts w:ascii="FrankRuehl" w:hAnsi="FrankRuehl" w:cs="FrankRuehl"/>
          <w:sz w:val="24"/>
          <w:szCs w:val="24"/>
          <w:rtl/>
        </w:rPr>
        <w:t xml:space="preserve"> אסור באלמנה</w:t>
      </w:r>
      <w:r>
        <w:rPr>
          <w:rFonts w:ascii="FrankRuehl" w:hAnsi="FrankRuehl" w:cs="FrankRuehl" w:hint="cs"/>
          <w:sz w:val="24"/>
          <w:szCs w:val="24"/>
          <w:rtl/>
        </w:rPr>
        <w:t>,</w:t>
      </w:r>
      <w:r w:rsidRPr="002F0B5C">
        <w:rPr>
          <w:rFonts w:ascii="FrankRuehl" w:hAnsi="FrankRuehl" w:cs="FrankRuehl"/>
          <w:sz w:val="24"/>
          <w:szCs w:val="24"/>
          <w:rtl/>
        </w:rPr>
        <w:t xml:space="preserve"> ויליף לה</w:t>
      </w:r>
      <w:r>
        <w:rPr>
          <w:rFonts w:ascii="FrankRuehl" w:hAnsi="FrankRuehl" w:cs="FrankRuehl"/>
          <w:sz w:val="24"/>
          <w:szCs w:val="24"/>
          <w:rtl/>
        </w:rPr>
        <w:t xml:space="preserve"> מקרא, וא</w:t>
      </w:r>
      <w:r>
        <w:rPr>
          <w:rFonts w:ascii="FrankRuehl" w:hAnsi="FrankRuehl" w:cs="FrankRuehl" w:hint="cs"/>
          <w:sz w:val="24"/>
          <w:szCs w:val="24"/>
          <w:rtl/>
        </w:rPr>
        <w:t>ם כן</w:t>
      </w:r>
      <w:r>
        <w:rPr>
          <w:rFonts w:ascii="FrankRuehl" w:hAnsi="FrankRuehl" w:cs="FrankRuehl"/>
          <w:sz w:val="24"/>
          <w:szCs w:val="24"/>
          <w:rtl/>
        </w:rPr>
        <w:t xml:space="preserve"> חזי</w:t>
      </w:r>
      <w:r>
        <w:rPr>
          <w:rFonts w:ascii="FrankRuehl" w:hAnsi="FrankRuehl" w:cs="FrankRuehl" w:hint="cs"/>
          <w:sz w:val="24"/>
          <w:szCs w:val="24"/>
          <w:rtl/>
        </w:rPr>
        <w:t>נן</w:t>
      </w:r>
      <w:r w:rsidRPr="002F0B5C">
        <w:rPr>
          <w:rFonts w:ascii="FrankRuehl" w:hAnsi="FrankRuehl" w:cs="FrankRuehl"/>
          <w:sz w:val="24"/>
          <w:szCs w:val="24"/>
          <w:rtl/>
        </w:rPr>
        <w:t xml:space="preserve"> דאף שעבר עדיין הוא בקדושתו ולא פ</w:t>
      </w:r>
      <w:r>
        <w:rPr>
          <w:rFonts w:ascii="FrankRuehl" w:hAnsi="FrankRuehl" w:cs="FrankRuehl"/>
          <w:sz w:val="24"/>
          <w:szCs w:val="24"/>
          <w:rtl/>
        </w:rPr>
        <w:t>קע מיניה דיני תורת כהונה גדולה</w:t>
      </w:r>
      <w:r>
        <w:rPr>
          <w:rFonts w:ascii="FrankRuehl" w:hAnsi="FrankRuehl" w:cs="FrankRuehl" w:hint="cs"/>
          <w:sz w:val="24"/>
          <w:szCs w:val="24"/>
          <w:rtl/>
        </w:rPr>
        <w:t xml:space="preserve">. </w:t>
      </w:r>
      <w:r w:rsidRPr="002F0B5C">
        <w:rPr>
          <w:rFonts w:ascii="FrankRuehl" w:hAnsi="FrankRuehl" w:cs="FrankRuehl"/>
          <w:sz w:val="24"/>
          <w:szCs w:val="24"/>
          <w:rtl/>
        </w:rPr>
        <w:t>וכן הקשה מהא דתנן שם בד</w:t>
      </w:r>
      <w:r>
        <w:rPr>
          <w:rFonts w:ascii="FrankRuehl" w:hAnsi="FrankRuehl" w:cs="FrankRuehl"/>
          <w:sz w:val="24"/>
          <w:szCs w:val="24"/>
          <w:rtl/>
        </w:rPr>
        <w:t>ף ט ע"ב דמשוח שעבר ממשיחתו ואח</w:t>
      </w:r>
      <w:r>
        <w:rPr>
          <w:rFonts w:ascii="FrankRuehl" w:hAnsi="FrankRuehl" w:cs="FrankRuehl" w:hint="cs"/>
          <w:sz w:val="24"/>
          <w:szCs w:val="24"/>
          <w:rtl/>
        </w:rPr>
        <w:t>ר כך</w:t>
      </w:r>
      <w:r>
        <w:rPr>
          <w:rFonts w:ascii="FrankRuehl" w:hAnsi="FrankRuehl" w:cs="FrankRuehl"/>
          <w:sz w:val="24"/>
          <w:szCs w:val="24"/>
          <w:rtl/>
        </w:rPr>
        <w:t xml:space="preserve"> חטא דמביא פר כדין כה</w:t>
      </w:r>
      <w:r>
        <w:rPr>
          <w:rFonts w:ascii="FrankRuehl" w:hAnsi="FrankRuehl" w:cs="FrankRuehl" w:hint="cs"/>
          <w:sz w:val="24"/>
          <w:szCs w:val="24"/>
          <w:rtl/>
        </w:rPr>
        <w:t>ן גדול</w:t>
      </w:r>
      <w:r w:rsidRPr="002F0B5C">
        <w:rPr>
          <w:rFonts w:ascii="FrankRuehl" w:hAnsi="FrankRuehl" w:cs="FrankRuehl"/>
          <w:sz w:val="24"/>
          <w:szCs w:val="24"/>
          <w:rtl/>
        </w:rPr>
        <w:t>,</w:t>
      </w:r>
      <w:r>
        <w:rPr>
          <w:rFonts w:ascii="FrankRuehl" w:hAnsi="FrankRuehl" w:cs="FrankRuehl"/>
          <w:sz w:val="24"/>
          <w:szCs w:val="24"/>
          <w:rtl/>
        </w:rPr>
        <w:t xml:space="preserve"> הרי דאף שעבר עדיין הוא בקדושתו</w:t>
      </w:r>
      <w:r>
        <w:rPr>
          <w:rFonts w:ascii="FrankRuehl" w:hAnsi="FrankRuehl" w:cs="FrankRuehl" w:hint="cs"/>
          <w:sz w:val="24"/>
          <w:szCs w:val="24"/>
          <w:rtl/>
        </w:rPr>
        <w:t>.</w:t>
      </w:r>
      <w:r>
        <w:rPr>
          <w:rFonts w:ascii="FrankRuehl" w:hAnsi="FrankRuehl" w:cs="FrankRuehl"/>
          <w:sz w:val="24"/>
          <w:szCs w:val="24"/>
          <w:rtl/>
        </w:rPr>
        <w:t xml:space="preserve"> וכ</w:t>
      </w:r>
      <w:r>
        <w:rPr>
          <w:rFonts w:ascii="FrankRuehl" w:hAnsi="FrankRuehl" w:cs="FrankRuehl" w:hint="cs"/>
          <w:sz w:val="24"/>
          <w:szCs w:val="24"/>
          <w:rtl/>
        </w:rPr>
        <w:t>ן הוא בטורי אבן</w:t>
      </w:r>
      <w:r w:rsidRPr="002F0B5C">
        <w:rPr>
          <w:rFonts w:ascii="FrankRuehl" w:hAnsi="FrankRuehl" w:cs="FrankRuehl"/>
          <w:sz w:val="24"/>
          <w:szCs w:val="24"/>
          <w:rtl/>
        </w:rPr>
        <w:t xml:space="preserve"> מגילה דף ט ע"ב.</w:t>
      </w:r>
    </w:p>
    <w:p w:rsidR="009337C2" w:rsidRPr="002F0B5C" w:rsidRDefault="009337C2" w:rsidP="009337C2">
      <w:pPr>
        <w:spacing w:line="276" w:lineRule="exact"/>
        <w:rPr>
          <w:rFonts w:ascii="FrankRuehl" w:hAnsi="FrankRuehl" w:cs="FrankRuehl"/>
          <w:sz w:val="24"/>
          <w:szCs w:val="24"/>
          <w:rtl/>
        </w:rPr>
      </w:pPr>
      <w:r w:rsidRPr="00CF5152">
        <w:rPr>
          <w:noProof/>
          <w:highlight w:val="green"/>
          <w:rtl/>
        </w:rPr>
        <w:lastRenderedPageBreak/>
        <mc:AlternateContent>
          <mc:Choice Requires="wps">
            <w:drawing>
              <wp:anchor distT="0" distB="0" distL="114300" distR="114300" simplePos="0" relativeHeight="251669504" behindDoc="1" locked="0" layoutInCell="1" allowOverlap="1" wp14:anchorId="0383E1BE" wp14:editId="7577DB8F">
                <wp:simplePos x="0" y="0"/>
                <wp:positionH relativeFrom="margin">
                  <wp:align>center</wp:align>
                </wp:positionH>
                <wp:positionV relativeFrom="paragraph">
                  <wp:posOffset>-220980</wp:posOffset>
                </wp:positionV>
                <wp:extent cx="5765800" cy="2293620"/>
                <wp:effectExtent l="0" t="0" r="25400" b="11430"/>
                <wp:wrapNone/>
                <wp:docPr id="8" name="מלבן 8"/>
                <wp:cNvGraphicFramePr/>
                <a:graphic xmlns:a="http://schemas.openxmlformats.org/drawingml/2006/main">
                  <a:graphicData uri="http://schemas.microsoft.com/office/word/2010/wordprocessingShape">
                    <wps:wsp>
                      <wps:cNvSpPr/>
                      <wps:spPr>
                        <a:xfrm>
                          <a:off x="0" y="0"/>
                          <a:ext cx="5765800" cy="229362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8F1AF" id="מלבן 8" o:spid="_x0000_s1026" style="position:absolute;left:0;text-align:left;margin-left:0;margin-top:-17.4pt;width:454pt;height:180.6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4iiAIAAAEFAAAOAAAAZHJzL2Uyb0RvYy54bWysVMlu2zAQvRfoPxC8N5JdO4sQOTAcuCgQ&#10;JAGSImeaomwB3ErSlt2/6L1oPsu/00dKcZbmVNQHeoYznOXNG51fbJUkG+F8Y3RJB0c5JUJzUzV6&#10;WdJv9/NPp5T4wHTFpNGipDvh6cXk44fz1hZiaFZGVsIRBNG+aG1JVyHYIss8XwnF/JGxQsNYG6dY&#10;gOqWWeVYi+hKZsM8P85a4yrrDBfe4/ayM9JJil/XgoebuvYiEFlS1BbS6dK5iGc2OWfF0jG7anhf&#10;BvuHKhRrNJIeQl2ywMjaNX+FUg13xps6HHGjMlPXDRepB3QzyN90c7diVqReAI63B5j8/wvLrze3&#10;jjRVSTEozRRGtP+9/7X/uX8kpxGd1voCTnf21vWahxhb3dZOxX80QbYJ0d0BUbENhONyfHI8Ps0B&#10;PIdtODz7fDxMmGfPz63z4YswikShpA4jS0iyzZUPSAnXJ5eYzRvZVPNGyqTs/Ew6smGYLkhRmZYS&#10;yXzAZUnn6Rd7QIhXz6QmLch6lo9jZQy0qyULEJUFEF4vKWFyCT7z4FItr157t1wcso5GJ8PZ6L0k&#10;sehL5ldddSlCdGOFagIoLxsFzPP4619LHa0ikbZvPYLfwR2lhal2GJYzHYu95fMGSa7Q8C1zoC26&#10;wSqGGxy1NGjR9BIlK+N+vHcf/cEmWClpsQZo//uaOQEcv2rw7GwwGsW9ScpofILxEffSsnhp0Ws1&#10;M5jFAEtveRKjf5BPt7Uz6gEbO41ZYWKaI3cHdK/MQree2HkuptPkhl2xLFzpO8tj8IhThPd++8Cc&#10;7YkTwLlr87QyrHjDn843vtRmug6mbhK5nnEFTaKCPUuE6b8JcZFf6snr+cs1+QMAAP//AwBQSwME&#10;FAAGAAgAAAAhAJJYvKDeAAAACAEAAA8AAABkcnMvZG93bnJldi54bWxMj01PwzAMhu9I/IfISNy2&#10;ZB+qRtd0YkgIOIDYQDtnjWkrEqc02Vr+PeYER/u1Xj9PsRm9E2fsYxtIw2yqQCBVwbZUa3h/u5+s&#10;QMRkyBoXCDV8Y4RNeXlRmNyGgXZ43qdacAnF3GhoUupyKWPVoDdxGjokzj5C703isa+l7c3A5d7J&#10;uVKZ9KYl/tCYDu8arD73J6/haVt/HR7r2S7z7nXY0oN6eQ5K6+ur8XYNIuGY/o7hF5/RoWSmYziR&#10;jcJpYJGkYbJYsgDHN2rFm6OGxTxbgiwL+V+g/AEAAP//AwBQSwECLQAUAAYACAAAACEAtoM4kv4A&#10;AADhAQAAEwAAAAAAAAAAAAAAAAAAAAAAW0NvbnRlbnRfVHlwZXNdLnhtbFBLAQItABQABgAIAAAA&#10;IQA4/SH/1gAAAJQBAAALAAAAAAAAAAAAAAAAAC8BAABfcmVscy8ucmVsc1BLAQItABQABgAIAAAA&#10;IQBBB14iiAIAAAEFAAAOAAAAAAAAAAAAAAAAAC4CAABkcnMvZTJvRG9jLnhtbFBLAQItABQABgAI&#10;AAAAIQCSWLyg3gAAAAgBAAAPAAAAAAAAAAAAAAAAAOIEAABkcnMvZG93bnJldi54bWxQSwUGAAAA&#10;AAQABADzAAAA7QUAAAAA&#10;" fillcolor="window" strokecolor="#4472c4" strokeweight="1.5pt">
                <w10:wrap anchorx="margin"/>
              </v:rect>
            </w:pict>
          </mc:Fallback>
        </mc:AlternateContent>
      </w:r>
      <w:r w:rsidRPr="002F0B5C">
        <w:rPr>
          <w:rFonts w:ascii="FrankRuehl" w:hAnsi="FrankRuehl" w:cs="FrankRuehl"/>
          <w:sz w:val="24"/>
          <w:szCs w:val="24"/>
          <w:rtl/>
        </w:rPr>
        <w:t>הנה שמעתי על הקושיא הנ"ל</w:t>
      </w:r>
      <w:r>
        <w:rPr>
          <w:rFonts w:ascii="FrankRuehl" w:hAnsi="FrankRuehl" w:cs="FrankRuehl" w:hint="cs"/>
          <w:sz w:val="24"/>
          <w:szCs w:val="24"/>
          <w:rtl/>
        </w:rPr>
        <w:t xml:space="preserve"> </w:t>
      </w:r>
      <w:r>
        <w:rPr>
          <w:rFonts w:ascii="FrankRuehl" w:hAnsi="FrankRuehl" w:cs="FrankRuehl"/>
          <w:sz w:val="24"/>
          <w:szCs w:val="24"/>
          <w:rtl/>
        </w:rPr>
        <w:t>תירוץ</w:t>
      </w:r>
      <w:r>
        <w:rPr>
          <w:rFonts w:ascii="FrankRuehl" w:hAnsi="FrankRuehl" w:cs="FrankRuehl" w:hint="cs"/>
          <w:sz w:val="24"/>
          <w:szCs w:val="24"/>
          <w:rtl/>
        </w:rPr>
        <w:t xml:space="preserve"> אחר מהרב (שליט"א) זצ"ל </w:t>
      </w:r>
      <w:r w:rsidRPr="002F0B5C">
        <w:rPr>
          <w:rFonts w:ascii="FrankRuehl" w:hAnsi="FrankRuehl" w:cs="FrankRuehl"/>
          <w:sz w:val="24"/>
          <w:szCs w:val="24"/>
          <w:rtl/>
        </w:rPr>
        <w:t>בשם אביו הגר"ח הלוי זצ"ל, וזה תוכן דבריו: דלכאורה קשה עוד קושי</w:t>
      </w:r>
      <w:r>
        <w:rPr>
          <w:rFonts w:ascii="FrankRuehl" w:hAnsi="FrankRuehl" w:cs="FrankRuehl"/>
          <w:sz w:val="24"/>
          <w:szCs w:val="24"/>
          <w:rtl/>
        </w:rPr>
        <w:t>א אחרת, דאמאי מתמנה בפה, הא כה</w:t>
      </w:r>
      <w:r>
        <w:rPr>
          <w:rFonts w:ascii="FrankRuehl" w:hAnsi="FrankRuehl" w:cs="FrankRuehl" w:hint="cs"/>
          <w:sz w:val="24"/>
          <w:szCs w:val="24"/>
          <w:rtl/>
        </w:rPr>
        <w:t>ן גדול</w:t>
      </w:r>
      <w:r>
        <w:rPr>
          <w:rFonts w:ascii="FrankRuehl" w:hAnsi="FrankRuehl" w:cs="FrankRuehl"/>
          <w:sz w:val="24"/>
          <w:szCs w:val="24"/>
          <w:rtl/>
        </w:rPr>
        <w:t xml:space="preserve"> בעי משיחה, ותירץ, דבכה</w:t>
      </w:r>
      <w:r>
        <w:rPr>
          <w:rFonts w:ascii="FrankRuehl" w:hAnsi="FrankRuehl" w:cs="FrankRuehl" w:hint="cs"/>
          <w:sz w:val="24"/>
          <w:szCs w:val="24"/>
          <w:rtl/>
        </w:rPr>
        <w:t>ן גדול</w:t>
      </w:r>
      <w:r w:rsidRPr="002F0B5C">
        <w:rPr>
          <w:rFonts w:ascii="FrankRuehl" w:hAnsi="FrankRuehl" w:cs="FrankRuehl"/>
          <w:sz w:val="24"/>
          <w:szCs w:val="24"/>
          <w:rtl/>
        </w:rPr>
        <w:t xml:space="preserve"> יש ב' דינים א'</w:t>
      </w:r>
      <w:r>
        <w:rPr>
          <w:rFonts w:ascii="FrankRuehl" w:hAnsi="FrankRuehl" w:cs="FrankRuehl"/>
          <w:sz w:val="24"/>
          <w:szCs w:val="24"/>
          <w:rtl/>
        </w:rPr>
        <w:t xml:space="preserve"> דין משיחה, שבה הוא מתקדש לכה</w:t>
      </w:r>
      <w:r>
        <w:rPr>
          <w:rFonts w:ascii="FrankRuehl" w:hAnsi="FrankRuehl" w:cs="FrankRuehl" w:hint="cs"/>
          <w:sz w:val="24"/>
          <w:szCs w:val="24"/>
          <w:rtl/>
        </w:rPr>
        <w:t xml:space="preserve">ן גדול, </w:t>
      </w:r>
      <w:r w:rsidRPr="002F0B5C">
        <w:rPr>
          <w:rFonts w:ascii="FrankRuehl" w:hAnsi="FrankRuehl" w:cs="FrankRuehl"/>
          <w:sz w:val="24"/>
          <w:szCs w:val="24"/>
          <w:rtl/>
        </w:rPr>
        <w:t>וב' דין מינוי, שלבד המשיחה עוד</w:t>
      </w:r>
      <w:r>
        <w:rPr>
          <w:rFonts w:ascii="FrankRuehl" w:hAnsi="FrankRuehl" w:cs="FrankRuehl"/>
          <w:sz w:val="24"/>
          <w:szCs w:val="24"/>
          <w:rtl/>
        </w:rPr>
        <w:t xml:space="preserve"> יש לו דין אחר, שהוא נתמנה לכה</w:t>
      </w:r>
      <w:r>
        <w:rPr>
          <w:rFonts w:ascii="FrankRuehl" w:hAnsi="FrankRuehl" w:cs="FrankRuehl" w:hint="cs"/>
          <w:sz w:val="24"/>
          <w:szCs w:val="24"/>
          <w:rtl/>
        </w:rPr>
        <w:t>ן גדול.</w:t>
      </w:r>
      <w:r w:rsidRPr="002F0B5C">
        <w:rPr>
          <w:rFonts w:ascii="FrankRuehl" w:hAnsi="FrankRuehl" w:cs="FrankRuehl"/>
          <w:sz w:val="24"/>
          <w:szCs w:val="24"/>
          <w:rtl/>
        </w:rPr>
        <w:t xml:space="preserve"> ונמצא שדין משיחה שלו אינה בטלה לעולם, כמו כלי שרת שנמשח, שאין יכול לעולם להתבטל מקדושתו וליעשות חולין, דעל קדושת המשיחה אין שייך ביטול, אבל המינוי שלו יכול להתב</w:t>
      </w:r>
      <w:r>
        <w:rPr>
          <w:rFonts w:ascii="FrankRuehl" w:hAnsi="FrankRuehl" w:cs="FrankRuehl"/>
          <w:sz w:val="24"/>
          <w:szCs w:val="24"/>
          <w:rtl/>
        </w:rPr>
        <w:t>טל, דעל מינוי שייך ביטול וסילוק</w:t>
      </w:r>
      <w:r>
        <w:rPr>
          <w:rFonts w:ascii="FrankRuehl" w:hAnsi="FrankRuehl" w:cs="FrankRuehl" w:hint="cs"/>
          <w:sz w:val="24"/>
          <w:szCs w:val="24"/>
          <w:rtl/>
        </w:rPr>
        <w:t>.</w:t>
      </w:r>
      <w:r w:rsidRPr="002F0B5C">
        <w:rPr>
          <w:rFonts w:ascii="FrankRuehl" w:hAnsi="FrankRuehl" w:cs="FrankRuehl"/>
          <w:sz w:val="24"/>
          <w:szCs w:val="24"/>
          <w:rtl/>
        </w:rPr>
        <w:t xml:space="preserve"> וזה כוונת הירושלמי</w:t>
      </w:r>
      <w:r>
        <w:rPr>
          <w:rFonts w:ascii="FrankRuehl" w:hAnsi="FrankRuehl" w:cs="FrankRuehl" w:hint="cs"/>
          <w:sz w:val="24"/>
          <w:szCs w:val="24"/>
          <w:rtl/>
        </w:rPr>
        <w:t xml:space="preserve"> </w:t>
      </w:r>
      <w:r w:rsidRPr="0048697D">
        <w:rPr>
          <w:rFonts w:ascii="FrankRuehl" w:hAnsi="FrankRuehl" w:cs="FrankRuehl"/>
          <w:sz w:val="24"/>
          <w:szCs w:val="24"/>
          <w:rtl/>
        </w:rPr>
        <w:t>'כהן גדול מתמנה בפה', פירוש שלבד המשיחה עוד יש לו דין מינוי, ולפיכך 'מסתלק בפה', דעל מינוי שייך סילוק, אבל המשיחה אינה יכולה להתבטל לעולם, ואי לא היתה לו אלא משיחה לבדה לא היה יכול להסתלק לעולם, אבל עכשיו שיש לו דין מינוי, לפיכך יכול להסתלק. ונמצא לפי זה, שכהן גדול משוח שעבר אין לו דין מינוי, דהא נסתלק ועבר הוא מכהונתו, אבל דין המשיחה שלו יש לו, דאינה בטלה לעולם.</w:t>
      </w:r>
      <w:r w:rsidRPr="002F0B5C">
        <w:rPr>
          <w:rFonts w:ascii="FrankRuehl" w:hAnsi="FrankRuehl" w:cs="FrankRuehl"/>
          <w:sz w:val="24"/>
          <w:szCs w:val="24"/>
          <w:rtl/>
        </w:rPr>
        <w:t xml:space="preserve"> </w:t>
      </w:r>
    </w:p>
    <w:p w:rsidR="009337C2" w:rsidRPr="002F0B5C" w:rsidRDefault="009337C2" w:rsidP="009337C2">
      <w:pPr>
        <w:spacing w:line="276" w:lineRule="exact"/>
        <w:rPr>
          <w:rFonts w:ascii="FrankRuehl" w:hAnsi="FrankRuehl" w:cs="FrankRuehl"/>
          <w:sz w:val="24"/>
          <w:szCs w:val="24"/>
          <w:rtl/>
        </w:rPr>
      </w:pPr>
      <w:r>
        <w:rPr>
          <w:rFonts w:ascii="FrankRuehl" w:hAnsi="FrankRuehl" w:cs="FrankRuehl"/>
          <w:sz w:val="24"/>
          <w:szCs w:val="24"/>
          <w:rtl/>
        </w:rPr>
        <w:tab/>
      </w:r>
    </w:p>
    <w:p w:rsidR="009337C2" w:rsidRPr="00640287" w:rsidRDefault="009337C2" w:rsidP="009337C2">
      <w:pPr>
        <w:spacing w:line="276" w:lineRule="exact"/>
        <w:rPr>
          <w:rFonts w:ascii="FrankRuehl" w:hAnsi="FrankRuehl" w:cs="FrankRuehl"/>
          <w:sz w:val="24"/>
          <w:szCs w:val="24"/>
          <w:highlight w:val="green"/>
          <w:rtl/>
        </w:rPr>
      </w:pPr>
    </w:p>
    <w:p w:rsidR="009337C2" w:rsidRDefault="009337C2" w:rsidP="009337C2">
      <w:pPr>
        <w:spacing w:before="200" w:line="276" w:lineRule="exact"/>
        <w:ind w:firstLine="227"/>
        <w:rPr>
          <w:sz w:val="24"/>
          <w:szCs w:val="24"/>
          <w:rtl/>
        </w:rPr>
      </w:pPr>
      <w:r>
        <w:rPr>
          <w:rFonts w:hint="cs"/>
          <w:sz w:val="24"/>
          <w:szCs w:val="24"/>
          <w:rtl/>
        </w:rPr>
        <w:t>בשיעור שעבר עסקנו באופן מינוי וחינוך הכהן הגדול. בשיעור זה נשלים את העיסוק בעניין זה סביב דין הכהן החלופי שמתקינים תחת הכהן הגדול למקרה שיארע בו פסול.</w:t>
      </w:r>
    </w:p>
    <w:p w:rsidR="009337C2" w:rsidRDefault="009337C2" w:rsidP="009337C2">
      <w:pPr>
        <w:spacing w:before="200" w:line="276" w:lineRule="exact"/>
        <w:ind w:firstLine="227"/>
        <w:rPr>
          <w:sz w:val="24"/>
          <w:szCs w:val="24"/>
          <w:rtl/>
        </w:rPr>
      </w:pPr>
      <w:r>
        <w:rPr>
          <w:rFonts w:hint="cs"/>
          <w:sz w:val="24"/>
          <w:szCs w:val="24"/>
          <w:rtl/>
        </w:rPr>
        <w:t>מקור דין זה במשנה בתחילת המסכת:</w:t>
      </w:r>
    </w:p>
    <w:p w:rsidR="009337C2" w:rsidRPr="00CF5152" w:rsidRDefault="009337C2" w:rsidP="009337C2">
      <w:pPr>
        <w:spacing w:before="200" w:line="276" w:lineRule="exact"/>
        <w:ind w:left="720"/>
        <w:rPr>
          <w:sz w:val="20"/>
          <w:szCs w:val="20"/>
          <w:rtl/>
        </w:rPr>
      </w:pPr>
      <w:r w:rsidRPr="00CF5152">
        <w:rPr>
          <w:sz w:val="24"/>
          <w:szCs w:val="24"/>
          <w:rtl/>
        </w:rPr>
        <w:t>שבעת ימים קודם יום הכפורים מפרישין כהן גדול מביתו ללשכת פלהדרין</w:t>
      </w:r>
      <w:r>
        <w:rPr>
          <w:rFonts w:hint="cs"/>
          <w:sz w:val="24"/>
          <w:szCs w:val="24"/>
          <w:rtl/>
        </w:rPr>
        <w:t>,</w:t>
      </w:r>
      <w:r w:rsidRPr="00CF5152">
        <w:rPr>
          <w:sz w:val="24"/>
          <w:szCs w:val="24"/>
          <w:rtl/>
        </w:rPr>
        <w:t xml:space="preserve"> ומתקינין לו כהן אחר תחתיו שמא יארע בו פסול</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[משנה ב.]</w:t>
      </w:r>
    </w:p>
    <w:p w:rsidR="009337C2" w:rsidRDefault="009337C2" w:rsidP="009337C2">
      <w:pPr>
        <w:spacing w:before="200" w:line="276" w:lineRule="exact"/>
        <w:ind w:firstLine="227"/>
        <w:rPr>
          <w:sz w:val="24"/>
          <w:szCs w:val="24"/>
          <w:rtl/>
        </w:rPr>
      </w:pPr>
      <w:r w:rsidRPr="00CF5152">
        <w:rPr>
          <w:rFonts w:hint="cs"/>
          <w:sz w:val="24"/>
          <w:szCs w:val="24"/>
          <w:rtl/>
        </w:rPr>
        <w:t>ל</w:t>
      </w:r>
      <w:r>
        <w:rPr>
          <w:rFonts w:hint="cs"/>
          <w:sz w:val="24"/>
          <w:szCs w:val="24"/>
          <w:rtl/>
        </w:rPr>
        <w:t xml:space="preserve">אור דברי המשנה יש לדון </w:t>
      </w:r>
      <w:r>
        <w:rPr>
          <w:sz w:val="24"/>
          <w:szCs w:val="24"/>
          <w:rtl/>
        </w:rPr>
        <w:t>–</w:t>
      </w:r>
      <w:r>
        <w:rPr>
          <w:rFonts w:hint="cs"/>
          <w:sz w:val="24"/>
          <w:szCs w:val="24"/>
          <w:rtl/>
        </w:rPr>
        <w:t xml:space="preserve"> התקנה זו מה טיבה? האם זהו זימון בעלמא (שרק מגדיר מי יהיה הכהן הגדול בשעת הצורך), או שיש להתקנה משמעות הלכתית? האם באופן העקרוני הכהן החלופי הוא כהן הדיוט רגיל, או שהתקנתו לכהן גדול חלופי מגדירה אותו כבר בשעה זו, לכל הפחות לדברים מסוימים, ככהן גדול?</w:t>
      </w:r>
    </w:p>
    <w:p w:rsidR="009337C2" w:rsidRDefault="009337C2" w:rsidP="009337C2">
      <w:pPr>
        <w:spacing w:before="200" w:line="276" w:lineRule="exact"/>
        <w:ind w:firstLine="227"/>
        <w:rPr>
          <w:sz w:val="24"/>
          <w:szCs w:val="24"/>
          <w:rtl/>
        </w:rPr>
      </w:pPr>
      <w:r>
        <w:rPr>
          <w:rFonts w:hint="cs"/>
          <w:sz w:val="24"/>
          <w:szCs w:val="24"/>
          <w:rtl/>
        </w:rPr>
        <w:t>לכאורה, ספק זה נפשט מסוגיית הגמרא הדנה כיצד הכהן החלופי מתחנך ככהן גדול כאשר הכהן הגדול המקורי נפסל באמצע עבודת יום הכיפורים:</w:t>
      </w:r>
    </w:p>
    <w:p w:rsidR="009337C2" w:rsidRPr="00CF5152" w:rsidRDefault="009337C2" w:rsidP="009337C2">
      <w:pPr>
        <w:spacing w:before="200" w:line="276" w:lineRule="exact"/>
        <w:ind w:left="720"/>
        <w:rPr>
          <w:sz w:val="20"/>
          <w:szCs w:val="20"/>
          <w:rtl/>
        </w:rPr>
      </w:pPr>
      <w:r w:rsidRPr="00CF5152">
        <w:rPr>
          <w:sz w:val="24"/>
          <w:szCs w:val="24"/>
          <w:rtl/>
        </w:rPr>
        <w:t>פשיטא אירע בו פסול קודם תמיד של שחר מחנכין אותו בתמיד של שחר</w:t>
      </w:r>
      <w:r>
        <w:rPr>
          <w:rFonts w:hint="cs"/>
          <w:sz w:val="24"/>
          <w:szCs w:val="24"/>
          <w:rtl/>
        </w:rPr>
        <w:t>,</w:t>
      </w:r>
      <w:r w:rsidRPr="00CF5152">
        <w:rPr>
          <w:sz w:val="24"/>
          <w:szCs w:val="24"/>
          <w:rtl/>
        </w:rPr>
        <w:t xml:space="preserve"> אלא אירע בו פסול אחר תמיד של שחר במה מחנכין אותו</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יב.]</w:t>
      </w:r>
    </w:p>
    <w:p w:rsidR="009337C2" w:rsidRDefault="009337C2" w:rsidP="009337C2">
      <w:pPr>
        <w:spacing w:before="200" w:line="276" w:lineRule="exact"/>
        <w:ind w:firstLine="227"/>
        <w:rPr>
          <w:sz w:val="24"/>
          <w:szCs w:val="24"/>
          <w:rtl/>
        </w:rPr>
      </w:pPr>
      <w:r>
        <w:rPr>
          <w:rFonts w:hint="cs"/>
          <w:sz w:val="24"/>
          <w:szCs w:val="24"/>
          <w:rtl/>
        </w:rPr>
        <w:t>מדברי הגמרא עולה כי הכהן החלופי זקוק ל'חינוך' בשעת כניסתו לעבודה ככהן גדול, בדומה לכל כהן גדול חדש. נראה מכך שלהתקנתו לכהן גדול אין משמעות הלכתית, והוא נעשה לכהן גדול רק כאשר הוא ממלא באופן מעשי את מקומו של הכהן הגדול שנפסל.</w:t>
      </w:r>
    </w:p>
    <w:p w:rsidR="009337C2" w:rsidRDefault="009337C2" w:rsidP="009337C2">
      <w:pPr>
        <w:spacing w:before="200" w:line="276" w:lineRule="exact"/>
        <w:ind w:firstLine="227"/>
        <w:rPr>
          <w:sz w:val="24"/>
          <w:szCs w:val="24"/>
          <w:rtl/>
        </w:rPr>
      </w:pPr>
      <w:r>
        <w:rPr>
          <w:rFonts w:hint="cs"/>
          <w:sz w:val="24"/>
          <w:szCs w:val="24"/>
          <w:rtl/>
        </w:rPr>
        <w:t>לעומת דברי הגמרא, בספרא נאמר:</w:t>
      </w:r>
    </w:p>
    <w:p w:rsidR="009337C2" w:rsidRDefault="009337C2" w:rsidP="009337C2">
      <w:pPr>
        <w:spacing w:before="200" w:line="276" w:lineRule="exact"/>
        <w:ind w:left="720"/>
        <w:rPr>
          <w:sz w:val="20"/>
          <w:szCs w:val="20"/>
          <w:rtl/>
        </w:rPr>
      </w:pPr>
      <w:r w:rsidRPr="000178F4">
        <w:rPr>
          <w:sz w:val="24"/>
          <w:szCs w:val="24"/>
          <w:rtl/>
        </w:rPr>
        <w:t xml:space="preserve">וכיפר אשר ימשח אותו </w:t>
      </w:r>
      <w:r>
        <w:rPr>
          <w:sz w:val="24"/>
          <w:szCs w:val="24"/>
          <w:rtl/>
        </w:rPr>
        <w:t>–</w:t>
      </w:r>
      <w:r>
        <w:rPr>
          <w:rFonts w:hint="cs"/>
          <w:sz w:val="24"/>
          <w:szCs w:val="24"/>
          <w:rtl/>
        </w:rPr>
        <w:t xml:space="preserve"> </w:t>
      </w:r>
      <w:r w:rsidRPr="000178F4">
        <w:rPr>
          <w:sz w:val="24"/>
          <w:szCs w:val="24"/>
          <w:rtl/>
        </w:rPr>
        <w:t>מה תלמוד לומר</w:t>
      </w:r>
      <w:r>
        <w:rPr>
          <w:rFonts w:hint="cs"/>
          <w:sz w:val="24"/>
          <w:szCs w:val="24"/>
          <w:rtl/>
        </w:rPr>
        <w:t>?</w:t>
      </w:r>
      <w:r w:rsidRPr="000178F4">
        <w:rPr>
          <w:sz w:val="24"/>
          <w:szCs w:val="24"/>
          <w:rtl/>
        </w:rPr>
        <w:t xml:space="preserve"> לפי שכל הפרשה אמורה באהרן</w:t>
      </w:r>
      <w:r>
        <w:rPr>
          <w:rFonts w:hint="cs"/>
          <w:sz w:val="24"/>
          <w:szCs w:val="24"/>
          <w:rtl/>
        </w:rPr>
        <w:t>,</w:t>
      </w:r>
      <w:r w:rsidRPr="000178F4">
        <w:rPr>
          <w:sz w:val="24"/>
          <w:szCs w:val="24"/>
          <w:rtl/>
        </w:rPr>
        <w:t xml:space="preserve"> אין לי אלא אהרן עצמו</w:t>
      </w:r>
      <w:r>
        <w:rPr>
          <w:rFonts w:hint="cs"/>
          <w:sz w:val="24"/>
          <w:szCs w:val="24"/>
          <w:rtl/>
        </w:rPr>
        <w:t>,</w:t>
      </w:r>
      <w:r w:rsidRPr="000178F4">
        <w:rPr>
          <w:sz w:val="24"/>
          <w:szCs w:val="24"/>
          <w:rtl/>
        </w:rPr>
        <w:t xml:space="preserve"> מנין לרבות כהן אחר</w:t>
      </w:r>
      <w:r>
        <w:rPr>
          <w:rFonts w:hint="cs"/>
          <w:sz w:val="24"/>
          <w:szCs w:val="24"/>
          <w:rtl/>
        </w:rPr>
        <w:t>?</w:t>
      </w:r>
      <w:r w:rsidRPr="000178F4">
        <w:rPr>
          <w:sz w:val="24"/>
          <w:szCs w:val="24"/>
          <w:rtl/>
        </w:rPr>
        <w:t xml:space="preserve"> תלמוד לומר </w:t>
      </w:r>
      <w:r>
        <w:rPr>
          <w:rFonts w:hint="cs"/>
          <w:sz w:val="24"/>
          <w:szCs w:val="24"/>
          <w:rtl/>
        </w:rPr>
        <w:t>'</w:t>
      </w:r>
      <w:r w:rsidRPr="000178F4">
        <w:rPr>
          <w:sz w:val="24"/>
          <w:szCs w:val="24"/>
          <w:rtl/>
        </w:rPr>
        <w:t>אשר ימשח אותו</w:t>
      </w:r>
      <w:r>
        <w:rPr>
          <w:rFonts w:hint="cs"/>
          <w:sz w:val="24"/>
          <w:szCs w:val="24"/>
          <w:rtl/>
        </w:rPr>
        <w:t>'.</w:t>
      </w:r>
      <w:r w:rsidRPr="000178F4">
        <w:rPr>
          <w:sz w:val="24"/>
          <w:szCs w:val="24"/>
          <w:rtl/>
        </w:rPr>
        <w:t xml:space="preserve"> אין לי אלא משוח בשמן המשחה</w:t>
      </w:r>
      <w:r>
        <w:rPr>
          <w:rFonts w:hint="cs"/>
          <w:sz w:val="24"/>
          <w:szCs w:val="24"/>
          <w:rtl/>
        </w:rPr>
        <w:t>,</w:t>
      </w:r>
      <w:r w:rsidRPr="000178F4">
        <w:rPr>
          <w:sz w:val="24"/>
          <w:szCs w:val="24"/>
          <w:rtl/>
        </w:rPr>
        <w:t xml:space="preserve"> מרובה בגדים מנין</w:t>
      </w:r>
      <w:r>
        <w:rPr>
          <w:rFonts w:hint="cs"/>
          <w:sz w:val="24"/>
          <w:szCs w:val="24"/>
          <w:rtl/>
        </w:rPr>
        <w:t>?</w:t>
      </w:r>
      <w:r w:rsidRPr="000178F4">
        <w:rPr>
          <w:sz w:val="24"/>
          <w:szCs w:val="24"/>
          <w:rtl/>
        </w:rPr>
        <w:t xml:space="preserve"> תלמוד לומר </w:t>
      </w:r>
      <w:r>
        <w:rPr>
          <w:rFonts w:hint="cs"/>
          <w:sz w:val="24"/>
          <w:szCs w:val="24"/>
          <w:rtl/>
        </w:rPr>
        <w:t>'</w:t>
      </w:r>
      <w:r w:rsidRPr="000178F4">
        <w:rPr>
          <w:sz w:val="24"/>
          <w:szCs w:val="24"/>
          <w:rtl/>
        </w:rPr>
        <w:t>ואשר ימלא את ידו</w:t>
      </w:r>
      <w:r>
        <w:rPr>
          <w:rFonts w:hint="cs"/>
          <w:sz w:val="24"/>
          <w:szCs w:val="24"/>
          <w:rtl/>
        </w:rPr>
        <w:t>'.</w:t>
      </w:r>
      <w:r w:rsidRPr="000178F4">
        <w:rPr>
          <w:sz w:val="24"/>
          <w:szCs w:val="24"/>
          <w:rtl/>
        </w:rPr>
        <w:t xml:space="preserve"> </w:t>
      </w:r>
      <w:r w:rsidRPr="000178F4">
        <w:rPr>
          <w:b/>
          <w:bCs/>
          <w:sz w:val="24"/>
          <w:szCs w:val="24"/>
          <w:rtl/>
        </w:rPr>
        <w:t>מנין לרבות כהן אחר המתמנה</w:t>
      </w:r>
      <w:r w:rsidRPr="000178F4">
        <w:rPr>
          <w:rFonts w:hint="cs"/>
          <w:b/>
          <w:bCs/>
          <w:sz w:val="24"/>
          <w:szCs w:val="24"/>
          <w:rtl/>
        </w:rPr>
        <w:t>?</w:t>
      </w:r>
      <w:r w:rsidRPr="000178F4">
        <w:rPr>
          <w:b/>
          <w:bCs/>
          <w:sz w:val="24"/>
          <w:szCs w:val="24"/>
          <w:rtl/>
        </w:rPr>
        <w:t xml:space="preserve"> תלמוד לומר </w:t>
      </w:r>
      <w:r w:rsidRPr="000178F4">
        <w:rPr>
          <w:rFonts w:hint="cs"/>
          <w:b/>
          <w:bCs/>
          <w:sz w:val="24"/>
          <w:szCs w:val="24"/>
          <w:rtl/>
        </w:rPr>
        <w:t>'</w:t>
      </w:r>
      <w:r w:rsidRPr="000178F4">
        <w:rPr>
          <w:b/>
          <w:bCs/>
          <w:sz w:val="24"/>
          <w:szCs w:val="24"/>
          <w:rtl/>
        </w:rPr>
        <w:t>וכפר הכהן</w:t>
      </w:r>
      <w:r>
        <w:rPr>
          <w:rFonts w:hint="cs"/>
          <w:sz w:val="24"/>
          <w:szCs w:val="24"/>
          <w:rtl/>
        </w:rPr>
        <w:t>'</w:t>
      </w:r>
      <w:r w:rsidRPr="000178F4">
        <w:rPr>
          <w:sz w:val="24"/>
          <w:szCs w:val="24"/>
          <w:rtl/>
        </w:rPr>
        <w:t>.</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[ספרא אחרי מות פרק ח הל' ד]</w:t>
      </w:r>
    </w:p>
    <w:p w:rsidR="009337C2" w:rsidRDefault="009337C2" w:rsidP="009337C2">
      <w:pPr>
        <w:spacing w:before="200" w:line="276" w:lineRule="exact"/>
        <w:ind w:firstLine="266"/>
        <w:rPr>
          <w:sz w:val="24"/>
          <w:szCs w:val="24"/>
          <w:rtl/>
        </w:rPr>
      </w:pPr>
      <w:r>
        <w:rPr>
          <w:rFonts w:hint="cs"/>
          <w:sz w:val="24"/>
          <w:szCs w:val="24"/>
          <w:rtl/>
        </w:rPr>
        <w:t>הספרא לומד מדרשה שהכהן החלופי כשר לעבודת יום הכיפורים. מכך שהספרא נזקק לדרשה זו נראה כי לשיטתו התקנתו לכהן גדול חלופי מהווה מינוי המכשיר אותו לעבודת היום. ואם כן, לכאורה הספרא חלוק על דברי הגמרא דלעיל, ולשיטתו הכהן החלופי אינו זקוק ל'חינוך', שכן עצם מינויו מכשיר אותו לעבודת יום הכיפורים.</w:t>
      </w:r>
    </w:p>
    <w:p w:rsidR="009337C2" w:rsidRDefault="009337C2" w:rsidP="009337C2">
      <w:pPr>
        <w:spacing w:before="200" w:line="276" w:lineRule="exact"/>
        <w:ind w:firstLine="266"/>
        <w:rPr>
          <w:sz w:val="24"/>
          <w:szCs w:val="24"/>
          <w:rtl/>
        </w:rPr>
      </w:pPr>
      <w:r>
        <w:rPr>
          <w:rFonts w:hint="cs"/>
          <w:sz w:val="24"/>
          <w:szCs w:val="24"/>
          <w:rtl/>
        </w:rPr>
        <w:t>דרשה זו מובאת גם בירושלמי, ועל גבי דרשה זו מוסיף הירושלמי:</w:t>
      </w:r>
    </w:p>
    <w:p w:rsidR="009337C2" w:rsidRPr="003207AB" w:rsidRDefault="009337C2" w:rsidP="009337C2">
      <w:pPr>
        <w:spacing w:before="200" w:line="276" w:lineRule="exact"/>
        <w:ind w:firstLine="720"/>
        <w:rPr>
          <w:sz w:val="20"/>
          <w:szCs w:val="20"/>
          <w:rtl/>
        </w:rPr>
      </w:pPr>
      <w:r w:rsidRPr="003207AB">
        <w:rPr>
          <w:sz w:val="24"/>
          <w:szCs w:val="24"/>
          <w:rtl/>
        </w:rPr>
        <w:lastRenderedPageBreak/>
        <w:t>במה הוא מתמנה</w:t>
      </w:r>
      <w:r>
        <w:rPr>
          <w:rFonts w:hint="cs"/>
          <w:sz w:val="24"/>
          <w:szCs w:val="24"/>
          <w:rtl/>
        </w:rPr>
        <w:t>?</w:t>
      </w:r>
      <w:r>
        <w:rPr>
          <w:sz w:val="24"/>
          <w:szCs w:val="24"/>
          <w:rtl/>
        </w:rPr>
        <w:t xml:space="preserve"> רבנן דקיסרין בשם ר</w:t>
      </w:r>
      <w:r>
        <w:rPr>
          <w:rFonts w:hint="cs"/>
          <w:sz w:val="24"/>
          <w:szCs w:val="24"/>
          <w:rtl/>
        </w:rPr>
        <w:t>בי</w:t>
      </w:r>
      <w:r w:rsidRPr="003207AB">
        <w:rPr>
          <w:sz w:val="24"/>
          <w:szCs w:val="24"/>
          <w:rtl/>
        </w:rPr>
        <w:t xml:space="preserve"> חייא בר יוס</w:t>
      </w:r>
      <w:r>
        <w:rPr>
          <w:rFonts w:hint="cs"/>
          <w:sz w:val="24"/>
          <w:szCs w:val="24"/>
          <w:rtl/>
        </w:rPr>
        <w:t>י:</w:t>
      </w:r>
      <w:r w:rsidRPr="003207AB">
        <w:rPr>
          <w:sz w:val="24"/>
          <w:szCs w:val="24"/>
          <w:rtl/>
        </w:rPr>
        <w:t xml:space="preserve"> בפה</w:t>
      </w:r>
      <w:r>
        <w:rPr>
          <w:rFonts w:hint="cs"/>
          <w:sz w:val="24"/>
          <w:szCs w:val="24"/>
          <w:rtl/>
        </w:rPr>
        <w:t>.</w:t>
      </w:r>
      <w:r w:rsidR="0096770B">
        <w:rPr>
          <w:rFonts w:hint="cs"/>
          <w:sz w:val="24"/>
          <w:szCs w:val="24"/>
          <w:rtl/>
        </w:rPr>
        <w:t xml:space="preserve">        </w:t>
      </w:r>
      <w:r>
        <w:rPr>
          <w:rFonts w:hint="cs"/>
          <w:sz w:val="20"/>
          <w:szCs w:val="20"/>
          <w:rtl/>
        </w:rPr>
        <w:t>[ירושלמי מגילה פ"א ה"י]</w:t>
      </w:r>
      <w:r w:rsidRPr="003207AB">
        <w:rPr>
          <w:rStyle w:val="a7"/>
          <w:sz w:val="24"/>
          <w:szCs w:val="24"/>
          <w:rtl/>
        </w:rPr>
        <w:footnoteReference w:id="17"/>
      </w:r>
    </w:p>
    <w:p w:rsidR="009337C2" w:rsidRDefault="009337C2" w:rsidP="009337C2">
      <w:pPr>
        <w:spacing w:before="200" w:line="276" w:lineRule="exact"/>
        <w:ind w:firstLine="266"/>
        <w:rPr>
          <w:sz w:val="24"/>
          <w:szCs w:val="24"/>
          <w:rtl/>
        </w:rPr>
      </w:pPr>
      <w:r>
        <w:rPr>
          <w:rFonts w:hint="cs"/>
          <w:sz w:val="24"/>
          <w:szCs w:val="24"/>
          <w:rtl/>
        </w:rPr>
        <w:t>מבואר, אם כן, כי לשיטת הספרא והירושלמי, לעומת כהן גדול רגיל המתמנה על ידי 'משיחה וריבוי', הכהן החלופי מתמנה על ידי דיבור בפה.</w:t>
      </w:r>
    </w:p>
    <w:p w:rsidR="009337C2" w:rsidRDefault="009337C2" w:rsidP="009337C2">
      <w:pPr>
        <w:spacing w:before="200" w:line="276" w:lineRule="exact"/>
        <w:ind w:firstLine="266"/>
        <w:rPr>
          <w:sz w:val="24"/>
          <w:szCs w:val="24"/>
          <w:rtl/>
        </w:rPr>
      </w:pPr>
    </w:p>
    <w:p w:rsidR="009337C2" w:rsidRDefault="009337C2" w:rsidP="009337C2">
      <w:pPr>
        <w:spacing w:before="200" w:line="276" w:lineRule="exact"/>
        <w:ind w:firstLine="266"/>
        <w:rPr>
          <w:sz w:val="24"/>
          <w:szCs w:val="24"/>
          <w:rtl/>
        </w:rPr>
      </w:pPr>
      <w:r>
        <w:rPr>
          <w:rFonts w:hint="cs"/>
          <w:sz w:val="24"/>
          <w:szCs w:val="24"/>
          <w:rtl/>
        </w:rPr>
        <w:t xml:space="preserve">הראב"ד בביאורו לספרא מבאר את טעם החילוק בין כהן חלופי לכהן גדול רגיל, מדוע הכהן החלופי אינו מתמנה </w:t>
      </w:r>
      <w:r>
        <w:rPr>
          <w:sz w:val="24"/>
          <w:szCs w:val="24"/>
          <w:rtl/>
        </w:rPr>
        <w:t>–</w:t>
      </w:r>
      <w:r>
        <w:rPr>
          <w:rFonts w:hint="cs"/>
          <w:sz w:val="24"/>
          <w:szCs w:val="24"/>
          <w:rtl/>
        </w:rPr>
        <w:t xml:space="preserve"> בדומה לכהן גדול רגיל </w:t>
      </w:r>
      <w:r>
        <w:rPr>
          <w:sz w:val="24"/>
          <w:szCs w:val="24"/>
          <w:rtl/>
        </w:rPr>
        <w:t>–</w:t>
      </w:r>
      <w:r>
        <w:rPr>
          <w:rFonts w:hint="cs"/>
          <w:sz w:val="24"/>
          <w:szCs w:val="24"/>
          <w:rtl/>
        </w:rPr>
        <w:t xml:space="preserve"> על ידי 'משיחה וריבוי':</w:t>
      </w:r>
    </w:p>
    <w:p w:rsidR="009337C2" w:rsidRPr="009A2A15" w:rsidRDefault="009337C2" w:rsidP="009337C2">
      <w:pPr>
        <w:spacing w:before="200" w:line="276" w:lineRule="exact"/>
        <w:ind w:left="720"/>
        <w:rPr>
          <w:sz w:val="20"/>
          <w:szCs w:val="20"/>
          <w:rtl/>
        </w:rPr>
      </w:pPr>
      <w:r>
        <w:rPr>
          <w:rFonts w:hint="cs"/>
          <w:sz w:val="24"/>
          <w:szCs w:val="24"/>
          <w:rtl/>
        </w:rPr>
        <w:t xml:space="preserve">מנין לרבות לו כהן אחר הממונה? תלמוד לומר 'וכפר הכהן' </w:t>
      </w:r>
      <w:r>
        <w:rPr>
          <w:sz w:val="24"/>
          <w:szCs w:val="24"/>
          <w:rtl/>
        </w:rPr>
        <w:t>–</w:t>
      </w:r>
      <w:r>
        <w:rPr>
          <w:rFonts w:hint="cs"/>
          <w:sz w:val="24"/>
          <w:szCs w:val="24"/>
          <w:rtl/>
        </w:rPr>
        <w:t xml:space="preserve"> מנין שצריכים אנו להתקין לו כהן אחר שמא יארע בו פסול, וזו התקנה תהא במקום משיחה או ריבוי בגדים שצריך להיות בכהן גדול קודם יום הכפורים. ולפי שאי איפשר לו למשחו קודם לכן או להלבישו שמונה בגדים, לפי שאין ממנין שני כהנים גדולים אחד משום איבה, התקנה הזו היא במקום משיחה וריבוי בגדים.</w:t>
      </w:r>
      <w:r>
        <w:rPr>
          <w:sz w:val="20"/>
          <w:szCs w:val="20"/>
          <w:rtl/>
        </w:rPr>
        <w:tab/>
      </w:r>
      <w:r>
        <w:rPr>
          <w:sz w:val="20"/>
          <w:szCs w:val="20"/>
          <w:rtl/>
        </w:rPr>
        <w:tab/>
      </w:r>
      <w:r>
        <w:rPr>
          <w:sz w:val="20"/>
          <w:szCs w:val="20"/>
          <w:rtl/>
        </w:rPr>
        <w:tab/>
      </w:r>
      <w:r>
        <w:rPr>
          <w:sz w:val="20"/>
          <w:szCs w:val="20"/>
          <w:rtl/>
        </w:rPr>
        <w:tab/>
      </w:r>
      <w:r>
        <w:rPr>
          <w:sz w:val="20"/>
          <w:szCs w:val="20"/>
          <w:rtl/>
        </w:rPr>
        <w:tab/>
      </w:r>
      <w:r>
        <w:rPr>
          <w:rFonts w:hint="cs"/>
          <w:sz w:val="20"/>
          <w:szCs w:val="20"/>
          <w:rtl/>
        </w:rPr>
        <w:t xml:space="preserve">          [ביאור הראב"ד לספרא, שם]</w:t>
      </w:r>
    </w:p>
    <w:p w:rsidR="009337C2" w:rsidRDefault="009337C2" w:rsidP="009337C2">
      <w:pPr>
        <w:spacing w:before="200" w:line="276" w:lineRule="exact"/>
        <w:ind w:firstLine="266"/>
        <w:rPr>
          <w:sz w:val="24"/>
          <w:szCs w:val="24"/>
          <w:rtl/>
        </w:rPr>
      </w:pPr>
      <w:r>
        <w:rPr>
          <w:rFonts w:hint="cs"/>
          <w:sz w:val="24"/>
          <w:szCs w:val="24"/>
          <w:rtl/>
        </w:rPr>
        <w:t xml:space="preserve">לדברי הראב"ד, זהו דין מיוחד מחמת חוסר האפשרות למנות את הכהן החלופי על ידי 'ריבוי ומשיחה': לא ניתן למנות שני כהנים גדולים כאחת משום איבה, ולכן אי אפשר ל'משוח ולרבות' את הכהן החלופי. בשל כך קבעה התורה שמינויו ייעשה באופן אחר </w:t>
      </w:r>
      <w:r>
        <w:rPr>
          <w:sz w:val="24"/>
          <w:szCs w:val="24"/>
          <w:rtl/>
        </w:rPr>
        <w:t>–</w:t>
      </w:r>
      <w:r>
        <w:rPr>
          <w:rFonts w:hint="cs"/>
          <w:sz w:val="24"/>
          <w:szCs w:val="24"/>
          <w:rtl/>
        </w:rPr>
        <w:t xml:space="preserve"> בפה</w:t>
      </w:r>
      <w:r>
        <w:rPr>
          <w:rStyle w:val="a7"/>
          <w:sz w:val="24"/>
          <w:szCs w:val="24"/>
          <w:rtl/>
        </w:rPr>
        <w:footnoteReference w:id="18"/>
      </w:r>
      <w:r>
        <w:rPr>
          <w:rFonts w:hint="cs"/>
          <w:sz w:val="24"/>
          <w:szCs w:val="24"/>
          <w:rtl/>
        </w:rPr>
        <w:t>.</w:t>
      </w:r>
    </w:p>
    <w:p w:rsidR="009337C2" w:rsidRDefault="009337C2" w:rsidP="009337C2">
      <w:pPr>
        <w:spacing w:before="200" w:line="276" w:lineRule="exact"/>
        <w:ind w:firstLine="266"/>
        <w:rPr>
          <w:sz w:val="24"/>
          <w:szCs w:val="24"/>
          <w:rtl/>
        </w:rPr>
      </w:pPr>
      <w:r>
        <w:rPr>
          <w:rFonts w:hint="cs"/>
          <w:sz w:val="24"/>
          <w:szCs w:val="24"/>
          <w:rtl/>
        </w:rPr>
        <w:t xml:space="preserve">עם זאת, ניתן להציע הסבר עקרוני למינויו השונה של הכהן החלופי. כהן רגיל מתמנה לעמוד ככהן גדול מצד עצמו, אך הכהן החלופי מתמנה רק לעמוד ולתפקד תחת הכהן הגדול שארע בו פסול. בשל כך, אין זה שייך למשוח אותו בשמן המשחה ולהלביש אותו את שמונת בגדי הכהונה, אלא יש למנותו בפה בלבד </w:t>
      </w:r>
      <w:r>
        <w:rPr>
          <w:sz w:val="24"/>
          <w:szCs w:val="24"/>
          <w:rtl/>
        </w:rPr>
        <w:t>–</w:t>
      </w:r>
      <w:r>
        <w:rPr>
          <w:rFonts w:hint="cs"/>
          <w:sz w:val="24"/>
          <w:szCs w:val="24"/>
          <w:rtl/>
        </w:rPr>
        <w:t xml:space="preserve"> להגדיר שהוא מיועד לעמוד במקום הכהן הגדול אם יארע בו פסול, ותו לא. </w:t>
      </w:r>
    </w:p>
    <w:p w:rsidR="009337C2" w:rsidRDefault="009337C2" w:rsidP="009337C2">
      <w:pPr>
        <w:spacing w:before="200" w:line="276" w:lineRule="exact"/>
        <w:ind w:firstLine="266"/>
        <w:rPr>
          <w:sz w:val="24"/>
          <w:szCs w:val="24"/>
          <w:rtl/>
        </w:rPr>
      </w:pPr>
      <w:r>
        <w:rPr>
          <w:rFonts w:hint="cs"/>
          <w:sz w:val="24"/>
          <w:szCs w:val="24"/>
          <w:rtl/>
        </w:rPr>
        <w:t>הגדרה זו למעמדו השונה של הכהן החלופי עולה משיטת ריב"א המובאת בתוספות ישנים:</w:t>
      </w:r>
    </w:p>
    <w:p w:rsidR="009337C2" w:rsidRPr="00EE796A" w:rsidRDefault="009337C2" w:rsidP="009337C2">
      <w:pPr>
        <w:spacing w:before="200" w:line="276" w:lineRule="exact"/>
        <w:ind w:left="720"/>
        <w:rPr>
          <w:sz w:val="20"/>
          <w:szCs w:val="20"/>
          <w:rtl/>
        </w:rPr>
      </w:pPr>
      <w:r>
        <w:rPr>
          <w:rFonts w:hint="cs"/>
          <w:sz w:val="24"/>
          <w:szCs w:val="24"/>
          <w:rtl/>
        </w:rPr>
        <w:t xml:space="preserve">שני כל מצות כהונה גדולה עליו </w:t>
      </w:r>
      <w:r>
        <w:rPr>
          <w:sz w:val="24"/>
          <w:szCs w:val="24"/>
          <w:rtl/>
        </w:rPr>
        <w:t>–</w:t>
      </w:r>
      <w:r>
        <w:rPr>
          <w:rFonts w:hint="cs"/>
          <w:sz w:val="24"/>
          <w:szCs w:val="24"/>
          <w:rtl/>
        </w:rPr>
        <w:t xml:space="preserve"> ואומר ריב"א, דמכל מקום הוי הפר משל כהן שעבר שהיה קבוע בכל יום.</w:t>
      </w:r>
      <w:r w:rsidR="0096770B">
        <w:rPr>
          <w:sz w:val="24"/>
          <w:szCs w:val="24"/>
          <w:rtl/>
        </w:rPr>
        <w:tab/>
      </w:r>
      <w:r w:rsidR="0096770B">
        <w:rPr>
          <w:sz w:val="24"/>
          <w:szCs w:val="24"/>
          <w:rtl/>
        </w:rPr>
        <w:tab/>
      </w:r>
      <w:r w:rsidR="0096770B">
        <w:rPr>
          <w:sz w:val="24"/>
          <w:szCs w:val="24"/>
          <w:rtl/>
        </w:rPr>
        <w:tab/>
      </w:r>
      <w:r w:rsidR="0096770B">
        <w:rPr>
          <w:sz w:val="24"/>
          <w:szCs w:val="24"/>
          <w:rtl/>
        </w:rPr>
        <w:tab/>
      </w:r>
      <w:r w:rsidR="0096770B">
        <w:rPr>
          <w:sz w:val="24"/>
          <w:szCs w:val="24"/>
          <w:rtl/>
        </w:rPr>
        <w:tab/>
      </w:r>
      <w:r w:rsidR="0096770B">
        <w:rPr>
          <w:rFonts w:hint="cs"/>
          <w:sz w:val="24"/>
          <w:szCs w:val="24"/>
          <w:rtl/>
        </w:rPr>
        <w:t xml:space="preserve">          </w:t>
      </w:r>
      <w:r>
        <w:rPr>
          <w:rFonts w:hint="cs"/>
          <w:sz w:val="20"/>
          <w:szCs w:val="20"/>
          <w:rtl/>
        </w:rPr>
        <w:t>[תוס' ישנים יב: ד"ה שני]</w:t>
      </w:r>
      <w:r w:rsidRPr="00EE796A">
        <w:rPr>
          <w:rStyle w:val="a7"/>
          <w:sz w:val="24"/>
          <w:szCs w:val="24"/>
          <w:rtl/>
        </w:rPr>
        <w:footnoteReference w:id="19"/>
      </w:r>
    </w:p>
    <w:p w:rsidR="009337C2" w:rsidRDefault="009337C2" w:rsidP="009337C2">
      <w:pPr>
        <w:spacing w:before="200" w:line="276" w:lineRule="exact"/>
        <w:ind w:firstLine="266"/>
        <w:rPr>
          <w:sz w:val="24"/>
          <w:szCs w:val="24"/>
          <w:rtl/>
        </w:rPr>
      </w:pPr>
      <w:r>
        <w:rPr>
          <w:rFonts w:hint="cs"/>
          <w:sz w:val="24"/>
          <w:szCs w:val="24"/>
          <w:rtl/>
        </w:rPr>
        <w:t xml:space="preserve">לשיטת ריב"א, את "פרו של כהן גדול" מביא הכהן הגדול הקבוע ולא הכהן החלופי המשמש כעת. שיטה זו טעונה ביאור: מדוע הכהן המשמש אינו מביא את הפר, והרי הוא העושה את סדר העבודה? </w:t>
      </w:r>
      <w:r w:rsidRPr="00567E6E">
        <w:rPr>
          <w:rFonts w:hint="cs"/>
          <w:sz w:val="24"/>
          <w:szCs w:val="24"/>
          <w:rtl/>
        </w:rPr>
        <w:t>נראה מכך כי הכהן ה</w:t>
      </w:r>
      <w:r>
        <w:rPr>
          <w:rFonts w:hint="cs"/>
          <w:sz w:val="24"/>
          <w:szCs w:val="24"/>
          <w:rtl/>
        </w:rPr>
        <w:t>חלופי</w:t>
      </w:r>
      <w:r w:rsidRPr="00567E6E">
        <w:rPr>
          <w:rFonts w:hint="cs"/>
          <w:sz w:val="24"/>
          <w:szCs w:val="24"/>
          <w:rtl/>
        </w:rPr>
        <w:t xml:space="preserve"> אינו כהן גדול מצד עצמו, אלא הוא שליחו של הכהן הגדול המקורי. בשל כך, את הפר מביא הכהן הגדול המקורי ולא הוא</w:t>
      </w:r>
      <w:r>
        <w:rPr>
          <w:rStyle w:val="a7"/>
          <w:sz w:val="24"/>
          <w:szCs w:val="24"/>
          <w:rtl/>
        </w:rPr>
        <w:footnoteReference w:id="20"/>
      </w:r>
      <w:r w:rsidRPr="00567E6E">
        <w:rPr>
          <w:rFonts w:hint="cs"/>
          <w:sz w:val="24"/>
          <w:szCs w:val="24"/>
          <w:rtl/>
        </w:rPr>
        <w:t>.</w:t>
      </w:r>
      <w:r>
        <w:rPr>
          <w:rFonts w:hint="cs"/>
          <w:sz w:val="24"/>
          <w:szCs w:val="24"/>
          <w:rtl/>
        </w:rPr>
        <w:t xml:space="preserve"> </w:t>
      </w:r>
    </w:p>
    <w:p w:rsidR="009337C2" w:rsidRDefault="009337C2" w:rsidP="009337C2">
      <w:pPr>
        <w:spacing w:before="200" w:line="276" w:lineRule="exact"/>
        <w:ind w:firstLine="266"/>
        <w:rPr>
          <w:sz w:val="24"/>
          <w:szCs w:val="24"/>
          <w:rtl/>
        </w:rPr>
      </w:pPr>
      <w:r>
        <w:rPr>
          <w:rFonts w:hint="cs"/>
          <w:sz w:val="24"/>
          <w:szCs w:val="24"/>
          <w:rtl/>
        </w:rPr>
        <w:t>נראה להעמיק הבנה זו על פי דברי הרמב"ם:</w:t>
      </w:r>
    </w:p>
    <w:p w:rsidR="009337C2" w:rsidRDefault="009337C2" w:rsidP="009337C2">
      <w:pPr>
        <w:spacing w:before="200" w:line="276" w:lineRule="exact"/>
        <w:ind w:left="720"/>
        <w:rPr>
          <w:sz w:val="24"/>
          <w:szCs w:val="24"/>
          <w:rtl/>
        </w:rPr>
      </w:pPr>
      <w:r>
        <w:rPr>
          <w:sz w:val="24"/>
          <w:szCs w:val="24"/>
          <w:rtl/>
        </w:rPr>
        <w:t>וממנין כ</w:t>
      </w:r>
      <w:r>
        <w:rPr>
          <w:rFonts w:hint="cs"/>
          <w:sz w:val="24"/>
          <w:szCs w:val="24"/>
          <w:rtl/>
        </w:rPr>
        <w:t>הן גדול,</w:t>
      </w:r>
      <w:r w:rsidRPr="008317D0">
        <w:rPr>
          <w:sz w:val="24"/>
          <w:szCs w:val="24"/>
          <w:rtl/>
        </w:rPr>
        <w:t xml:space="preserve"> </w:t>
      </w:r>
      <w:r w:rsidRPr="008317D0">
        <w:rPr>
          <w:b/>
          <w:bCs/>
          <w:sz w:val="24"/>
          <w:szCs w:val="24"/>
          <w:rtl/>
        </w:rPr>
        <w:t>הוא ראש לכל הכהנים,</w:t>
      </w:r>
      <w:r w:rsidRPr="008317D0">
        <w:rPr>
          <w:sz w:val="24"/>
          <w:szCs w:val="24"/>
          <w:rtl/>
        </w:rPr>
        <w:t xml:space="preserve"> ומושחין אותו בשמן המשחה, ומלבישין אותו בגדי כהונה גדולה</w:t>
      </w:r>
      <w:r>
        <w:rPr>
          <w:rFonts w:hint="cs"/>
          <w:sz w:val="24"/>
          <w:szCs w:val="24"/>
          <w:rtl/>
        </w:rPr>
        <w:t>,</w:t>
      </w:r>
      <w:r w:rsidRPr="008317D0">
        <w:rPr>
          <w:sz w:val="24"/>
          <w:szCs w:val="24"/>
          <w:rtl/>
        </w:rPr>
        <w:t xml:space="preserve"> שנאמר</w:t>
      </w:r>
      <w:r>
        <w:rPr>
          <w:rFonts w:hint="cs"/>
          <w:sz w:val="24"/>
          <w:szCs w:val="24"/>
          <w:rtl/>
        </w:rPr>
        <w:t>:</w:t>
      </w:r>
      <w:r>
        <w:rPr>
          <w:sz w:val="24"/>
          <w:szCs w:val="24"/>
          <w:rtl/>
        </w:rPr>
        <w:t xml:space="preserve"> </w:t>
      </w:r>
      <w:r>
        <w:rPr>
          <w:rFonts w:hint="cs"/>
          <w:sz w:val="24"/>
          <w:szCs w:val="24"/>
          <w:rtl/>
        </w:rPr>
        <w:t>'</w:t>
      </w:r>
      <w:r>
        <w:rPr>
          <w:sz w:val="24"/>
          <w:szCs w:val="24"/>
          <w:rtl/>
        </w:rPr>
        <w:t>והכהן הגדול מאחיו אשר יוצק</w:t>
      </w:r>
      <w:r>
        <w:rPr>
          <w:rFonts w:hint="cs"/>
          <w:sz w:val="24"/>
          <w:szCs w:val="24"/>
          <w:rtl/>
        </w:rPr>
        <w:t xml:space="preserve">' </w:t>
      </w:r>
      <w:r w:rsidRPr="008317D0">
        <w:rPr>
          <w:sz w:val="24"/>
          <w:szCs w:val="24"/>
          <w:rtl/>
        </w:rPr>
        <w:t>וגו'</w:t>
      </w:r>
      <w:r>
        <w:rPr>
          <w:rFonts w:hint="cs"/>
          <w:sz w:val="24"/>
          <w:szCs w:val="24"/>
          <w:rtl/>
        </w:rPr>
        <w:t>.</w:t>
      </w:r>
    </w:p>
    <w:p w:rsidR="009337C2" w:rsidRPr="008317D0" w:rsidRDefault="009337C2" w:rsidP="009337C2">
      <w:pPr>
        <w:spacing w:before="200" w:line="276" w:lineRule="exact"/>
        <w:ind w:left="720"/>
        <w:jc w:val="right"/>
        <w:rPr>
          <w:sz w:val="20"/>
          <w:szCs w:val="20"/>
          <w:rtl/>
        </w:rPr>
      </w:pPr>
      <w:r>
        <w:rPr>
          <w:rFonts w:hint="cs"/>
          <w:sz w:val="20"/>
          <w:szCs w:val="20"/>
          <w:rtl/>
        </w:rPr>
        <w:t>[הל' כלי המקדש והעובדים בו פ"ד הי"ב]</w:t>
      </w:r>
    </w:p>
    <w:p w:rsidR="009337C2" w:rsidRPr="008317D0" w:rsidRDefault="009337C2" w:rsidP="009337C2">
      <w:pPr>
        <w:spacing w:before="200" w:line="276" w:lineRule="exact"/>
        <w:ind w:firstLine="266"/>
        <w:rPr>
          <w:sz w:val="24"/>
          <w:szCs w:val="24"/>
          <w:rtl/>
        </w:rPr>
      </w:pPr>
      <w:r w:rsidRPr="008317D0">
        <w:rPr>
          <w:rFonts w:hint="cs"/>
          <w:sz w:val="24"/>
          <w:szCs w:val="24"/>
          <w:rtl/>
        </w:rPr>
        <w:lastRenderedPageBreak/>
        <w:t>ה</w:t>
      </w:r>
      <w:r>
        <w:rPr>
          <w:rFonts w:hint="cs"/>
          <w:sz w:val="24"/>
          <w:szCs w:val="24"/>
          <w:rtl/>
        </w:rPr>
        <w:t>רמב"ם מגדיר את הכהן הגדול כ"ראש לכל הכהנים"</w:t>
      </w:r>
      <w:r>
        <w:rPr>
          <w:rStyle w:val="a7"/>
          <w:sz w:val="24"/>
          <w:szCs w:val="24"/>
          <w:rtl/>
        </w:rPr>
        <w:footnoteReference w:id="21"/>
      </w:r>
      <w:r>
        <w:rPr>
          <w:rFonts w:hint="cs"/>
          <w:sz w:val="24"/>
          <w:szCs w:val="24"/>
          <w:rtl/>
        </w:rPr>
        <w:t xml:space="preserve">. עולה מכך כי כהונה גדולה ביסודה אינה קדושה החלה על הגברא, אלא זהו מינוי לתפקיד </w:t>
      </w:r>
      <w:r>
        <w:rPr>
          <w:sz w:val="24"/>
          <w:szCs w:val="24"/>
          <w:rtl/>
        </w:rPr>
        <w:t>–</w:t>
      </w:r>
      <w:r>
        <w:rPr>
          <w:rFonts w:hint="cs"/>
          <w:sz w:val="24"/>
          <w:szCs w:val="24"/>
          <w:rtl/>
        </w:rPr>
        <w:t xml:space="preserve"> שלטון על שבט הכהנים</w:t>
      </w:r>
      <w:r>
        <w:rPr>
          <w:rStyle w:val="a7"/>
          <w:sz w:val="24"/>
          <w:szCs w:val="24"/>
          <w:rtl/>
        </w:rPr>
        <w:footnoteReference w:id="22"/>
      </w:r>
      <w:r>
        <w:rPr>
          <w:rFonts w:hint="cs"/>
          <w:sz w:val="24"/>
          <w:szCs w:val="24"/>
          <w:rtl/>
        </w:rPr>
        <w:t>. בהתאם לכך, קיים חילוק עקרוני בין הכהן החלופי לכהן גדול: הכהן החלופי אינו מתמנה להיות "ראש לכל הכהנים", אלא הוא מוגדר כ'ממלא מקום' בלבד. בהתאם לכך, הוא עושה את סדר עבודת יום הכיפורים בשליחות הכהן הגדול שנטמא, ולכן את "פרו של כהן גדול" מביא הכהן הגדול המקורי שהעבודה נעשית בשליחותו</w:t>
      </w:r>
      <w:r>
        <w:rPr>
          <w:rStyle w:val="a7"/>
          <w:sz w:val="24"/>
          <w:szCs w:val="24"/>
          <w:rtl/>
        </w:rPr>
        <w:footnoteReference w:id="23"/>
      </w:r>
      <w:r>
        <w:rPr>
          <w:rFonts w:hint="cs"/>
          <w:sz w:val="24"/>
          <w:szCs w:val="24"/>
          <w:rtl/>
        </w:rPr>
        <w:t xml:space="preserve">. </w:t>
      </w:r>
    </w:p>
    <w:p w:rsidR="009337C2" w:rsidRDefault="009337C2" w:rsidP="009337C2">
      <w:pPr>
        <w:spacing w:before="200" w:line="276" w:lineRule="exact"/>
        <w:ind w:firstLine="266"/>
        <w:rPr>
          <w:color w:val="FF0000"/>
          <w:sz w:val="24"/>
          <w:szCs w:val="24"/>
          <w:rtl/>
        </w:rPr>
      </w:pPr>
    </w:p>
    <w:p w:rsidR="009337C2" w:rsidRDefault="009337C2" w:rsidP="009337C2">
      <w:pPr>
        <w:spacing w:before="200" w:line="276" w:lineRule="exact"/>
        <w:ind w:firstLine="266"/>
        <w:rPr>
          <w:sz w:val="24"/>
          <w:szCs w:val="24"/>
          <w:rtl/>
        </w:rPr>
      </w:pPr>
      <w:r>
        <w:rPr>
          <w:rFonts w:hint="cs"/>
          <w:sz w:val="24"/>
          <w:szCs w:val="24"/>
          <w:rtl/>
        </w:rPr>
        <w:t>דברינו עד כה התבססו על הנחה שקיימת מחלוקת בין הבבלי לספרא ולירושלמי באופן מינויו של הכהן החלופי. אמנם, יש אחרונים הטוענים שגם הבבלי מודה שהכהן החלופי מתמנה באופן ייחודי, ובהתאם לכך הם מבארים את שאלת הגמרא דלעיל, כיצד מחנכים את הכהן החלופי, באופן אחר.</w:t>
      </w:r>
    </w:p>
    <w:p w:rsidR="009337C2" w:rsidRDefault="009337C2" w:rsidP="009337C2">
      <w:pPr>
        <w:spacing w:before="200" w:line="276" w:lineRule="exact"/>
        <w:ind w:firstLine="266"/>
        <w:rPr>
          <w:sz w:val="24"/>
          <w:szCs w:val="24"/>
          <w:rtl/>
        </w:rPr>
      </w:pPr>
      <w:r>
        <w:rPr>
          <w:rFonts w:hint="cs"/>
          <w:sz w:val="24"/>
          <w:szCs w:val="24"/>
          <w:rtl/>
        </w:rPr>
        <w:t>הזבח תודה כותב:</w:t>
      </w:r>
    </w:p>
    <w:p w:rsidR="009337C2" w:rsidRPr="00F7689D" w:rsidRDefault="009337C2" w:rsidP="009337C2">
      <w:pPr>
        <w:spacing w:before="200" w:line="276" w:lineRule="exact"/>
        <w:ind w:left="720"/>
        <w:rPr>
          <w:sz w:val="20"/>
          <w:szCs w:val="20"/>
          <w:rtl/>
        </w:rPr>
      </w:pPr>
      <w:r>
        <w:rPr>
          <w:rFonts w:hint="cs"/>
          <w:sz w:val="24"/>
          <w:szCs w:val="24"/>
          <w:rtl/>
        </w:rPr>
        <w:t>ועוד נלענ"ד לומר לולא דמסתפינא, דגם סוגית הש"ס מעיקרא ורב אדא ואביי לא פליגי על ברייתא דתניא בספרא ופשוט הוא בירושלמי. אלא דלכולי עלמא קים להו דכהן זה המתמנה אין צריך חינוך לעבודה מדינא, אלא דהש"ס שקיל וטרי במה מחנכין אותו שיהא ניכר שהוא כהן גדול, שלא יהא נראה שכהן הדיוט משמש ביום הכיפורים כיון שמשמש בפנים רק בד' בגדים ככהן הדיוט ומעולם לא לבש שמונה.</w:t>
      </w:r>
      <w:r>
        <w:rPr>
          <w:sz w:val="24"/>
          <w:szCs w:val="24"/>
          <w:rtl/>
        </w:rPr>
        <w:tab/>
      </w:r>
      <w:r>
        <w:rPr>
          <w:sz w:val="24"/>
          <w:szCs w:val="24"/>
          <w:rtl/>
        </w:rPr>
        <w:tab/>
      </w:r>
      <w:r>
        <w:rPr>
          <w:sz w:val="24"/>
          <w:szCs w:val="24"/>
          <w:rtl/>
        </w:rPr>
        <w:tab/>
      </w:r>
      <w:r>
        <w:rPr>
          <w:rFonts w:hint="cs"/>
          <w:sz w:val="20"/>
          <w:szCs w:val="20"/>
          <w:rtl/>
        </w:rPr>
        <w:t>[זבח תודה יב. ד"ה ודוקא]</w:t>
      </w:r>
    </w:p>
    <w:p w:rsidR="009337C2" w:rsidRDefault="009337C2" w:rsidP="009337C2">
      <w:pPr>
        <w:spacing w:before="200" w:line="276" w:lineRule="exact"/>
        <w:ind w:firstLine="266"/>
        <w:rPr>
          <w:sz w:val="24"/>
          <w:szCs w:val="24"/>
          <w:rtl/>
        </w:rPr>
      </w:pPr>
      <w:r>
        <w:rPr>
          <w:rFonts w:hint="cs"/>
          <w:sz w:val="24"/>
          <w:szCs w:val="24"/>
          <w:rtl/>
        </w:rPr>
        <w:t>על פי דבריו, הגמרא אינה חולקת על הספרא והירושלמי. גם לפי הגמרא, המינוי נעשה בדיבור הפה, והסוגיה עוסקת רק בשאלה כיצד יוצרים היכר למינויו ככהן גדול</w:t>
      </w:r>
      <w:r>
        <w:rPr>
          <w:rStyle w:val="a7"/>
          <w:sz w:val="24"/>
          <w:szCs w:val="24"/>
          <w:rtl/>
        </w:rPr>
        <w:footnoteReference w:id="24"/>
      </w:r>
      <w:r>
        <w:rPr>
          <w:rFonts w:hint="cs"/>
          <w:sz w:val="24"/>
          <w:szCs w:val="24"/>
          <w:rtl/>
        </w:rPr>
        <w:t xml:space="preserve">. </w:t>
      </w:r>
    </w:p>
    <w:p w:rsidR="009337C2" w:rsidRPr="00444141" w:rsidRDefault="009337C2" w:rsidP="009337C2">
      <w:pPr>
        <w:spacing w:before="200" w:line="276" w:lineRule="exact"/>
        <w:ind w:firstLine="266"/>
        <w:rPr>
          <w:sz w:val="24"/>
          <w:szCs w:val="24"/>
          <w:rtl/>
        </w:rPr>
      </w:pPr>
      <w:r>
        <w:rPr>
          <w:rFonts w:hint="cs"/>
          <w:sz w:val="24"/>
          <w:szCs w:val="24"/>
          <w:rtl/>
        </w:rPr>
        <w:t xml:space="preserve">הרב יחיאל מיכל פיינשטיין </w:t>
      </w:r>
      <w:r>
        <w:rPr>
          <w:rFonts w:hint="cs"/>
          <w:sz w:val="20"/>
          <w:szCs w:val="20"/>
          <w:rtl/>
        </w:rPr>
        <w:t>[חידושי מרן הגרי"מ סי' ח]</w:t>
      </w:r>
      <w:r>
        <w:rPr>
          <w:rFonts w:hint="cs"/>
          <w:sz w:val="24"/>
          <w:szCs w:val="24"/>
          <w:rtl/>
        </w:rPr>
        <w:t xml:space="preserve"> מיישב את סוגיית הבבלי עם דברי הספרא והירושלמי באופן אחר, על פי טענתו העקרונית </w:t>
      </w:r>
      <w:r>
        <w:rPr>
          <w:sz w:val="24"/>
          <w:szCs w:val="24"/>
          <w:rtl/>
        </w:rPr>
        <w:t>–</w:t>
      </w:r>
      <w:r>
        <w:rPr>
          <w:rFonts w:hint="cs"/>
          <w:sz w:val="24"/>
          <w:szCs w:val="24"/>
          <w:rtl/>
        </w:rPr>
        <w:t xml:space="preserve"> אותה הבאנו בשיעור הקודם בהרחבה </w:t>
      </w:r>
      <w:r>
        <w:rPr>
          <w:sz w:val="24"/>
          <w:szCs w:val="24"/>
          <w:rtl/>
        </w:rPr>
        <w:t>–</w:t>
      </w:r>
      <w:r>
        <w:rPr>
          <w:rFonts w:hint="cs"/>
          <w:sz w:val="24"/>
          <w:szCs w:val="24"/>
          <w:rtl/>
        </w:rPr>
        <w:t xml:space="preserve"> כי לשיטת הרמב"ם קיימת הבחנה בין שני מושגים: 'מינוי' ו'חינוך'. על פי דבריו, המינוי הוא ההגדרה הפורמאלית המחילה עליו 'שם כהן גדול', ואילו החינוך הוא היותו כהן רגיל מבחינה מעשית. לאור דבריו אלו טוען הרי"מ פיינשטיין כי מודה הבבלי לירושלמי שקיים הבדל בין הכהן החלופי לכהן גדול רגיל באופן המינוי: כהן גדול רגיל מתמנה ב'ריבוי ומשיחה', ואילו הכהן החלופי מתמנה בפה. ואף על פי כן שאל הבבלי: "אירע בו פסול אחר תמיד של שחר במה מחנכין אותו", שכן מלבד עצם המינוי יש צורך בחינוך </w:t>
      </w:r>
      <w:r>
        <w:rPr>
          <w:sz w:val="24"/>
          <w:szCs w:val="24"/>
          <w:rtl/>
        </w:rPr>
        <w:t>–</w:t>
      </w:r>
      <w:r>
        <w:rPr>
          <w:rFonts w:hint="cs"/>
          <w:sz w:val="24"/>
          <w:szCs w:val="24"/>
          <w:rtl/>
        </w:rPr>
        <w:t xml:space="preserve"> התחלת העבודה מבחינה מעשית, כך שהכהן לא יהיה לא רק 'כהן גדול' באופן פורמאלי, אלא גם ייעשה לכהן גדול באופן מעשי. וביחס לרובד זה אין חילוק בין כהן חלופי לכל כהן גדול אחר</w:t>
      </w:r>
      <w:r>
        <w:rPr>
          <w:rStyle w:val="a7"/>
          <w:sz w:val="24"/>
          <w:szCs w:val="24"/>
          <w:rtl/>
        </w:rPr>
        <w:footnoteReference w:id="25"/>
      </w:r>
      <w:r>
        <w:rPr>
          <w:rFonts w:hint="cs"/>
          <w:sz w:val="24"/>
          <w:szCs w:val="24"/>
          <w:rtl/>
        </w:rPr>
        <w:t xml:space="preserve">. </w:t>
      </w:r>
    </w:p>
    <w:p w:rsidR="009337C2" w:rsidRDefault="009337C2" w:rsidP="009337C2">
      <w:pPr>
        <w:spacing w:before="200" w:line="276" w:lineRule="exact"/>
        <w:ind w:firstLine="266"/>
        <w:rPr>
          <w:color w:val="FF0000"/>
          <w:sz w:val="24"/>
          <w:szCs w:val="24"/>
          <w:rtl/>
        </w:rPr>
      </w:pPr>
    </w:p>
    <w:p w:rsidR="009337C2" w:rsidRDefault="009337C2" w:rsidP="009337C2">
      <w:pPr>
        <w:spacing w:before="200" w:line="276" w:lineRule="exact"/>
        <w:ind w:firstLine="266"/>
        <w:rPr>
          <w:sz w:val="24"/>
          <w:szCs w:val="24"/>
          <w:rtl/>
        </w:rPr>
      </w:pPr>
      <w:r>
        <w:rPr>
          <w:rFonts w:hint="cs"/>
          <w:sz w:val="24"/>
          <w:szCs w:val="24"/>
          <w:rtl/>
        </w:rPr>
        <w:t>לסיום השיעור נעיר, כי בניגוד לדברינו דלעיל, תוספות לומדים מדברי הירושלמי עיקרון כללי:</w:t>
      </w:r>
    </w:p>
    <w:p w:rsidR="009337C2" w:rsidRPr="007D7222" w:rsidRDefault="009337C2" w:rsidP="009337C2">
      <w:pPr>
        <w:spacing w:before="200" w:line="276" w:lineRule="exact"/>
        <w:ind w:left="720"/>
        <w:rPr>
          <w:sz w:val="20"/>
          <w:szCs w:val="20"/>
          <w:rtl/>
        </w:rPr>
      </w:pPr>
      <w:r w:rsidRPr="009E174B">
        <w:rPr>
          <w:sz w:val="24"/>
          <w:szCs w:val="24"/>
          <w:rtl/>
        </w:rPr>
        <w:t>דכהן גדול מתמנה בפה ומסתלק בפה</w:t>
      </w:r>
      <w:r>
        <w:rPr>
          <w:rFonts w:hint="cs"/>
          <w:sz w:val="24"/>
          <w:szCs w:val="24"/>
          <w:rtl/>
        </w:rPr>
        <w:t xml:space="preserve">, </w:t>
      </w:r>
      <w:r w:rsidRPr="009E174B">
        <w:rPr>
          <w:sz w:val="24"/>
          <w:szCs w:val="24"/>
          <w:rtl/>
        </w:rPr>
        <w:t>ובירושלמי דריש ליה מקרא</w:t>
      </w:r>
      <w:r>
        <w:rPr>
          <w:rFonts w:hint="cs"/>
          <w:sz w:val="24"/>
          <w:szCs w:val="24"/>
          <w:rtl/>
        </w:rPr>
        <w:t>,</w:t>
      </w:r>
      <w:r w:rsidRPr="009E174B">
        <w:rPr>
          <w:sz w:val="24"/>
          <w:szCs w:val="24"/>
          <w:rtl/>
        </w:rPr>
        <w:t xml:space="preserve"> ומסתברא שהדבר תלוי במלך ובאחיו הכהנים</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[תוס' יומא יב: ד"ה כהן גדול]</w:t>
      </w:r>
    </w:p>
    <w:p w:rsidR="009337C2" w:rsidRDefault="009337C2" w:rsidP="009337C2">
      <w:pPr>
        <w:spacing w:before="200" w:line="276" w:lineRule="exact"/>
        <w:ind w:firstLine="266"/>
        <w:rPr>
          <w:sz w:val="24"/>
          <w:szCs w:val="24"/>
          <w:rtl/>
        </w:rPr>
      </w:pPr>
      <w:r>
        <w:rPr>
          <w:rFonts w:hint="cs"/>
          <w:sz w:val="24"/>
          <w:szCs w:val="24"/>
          <w:rtl/>
        </w:rPr>
        <w:lastRenderedPageBreak/>
        <w:t xml:space="preserve">מדבריהם עולה כי זהו עיקרון כללי בכל כהן גדול </w:t>
      </w:r>
      <w:r>
        <w:rPr>
          <w:sz w:val="24"/>
          <w:szCs w:val="24"/>
          <w:rtl/>
        </w:rPr>
        <w:t>–</w:t>
      </w:r>
      <w:r>
        <w:rPr>
          <w:rFonts w:hint="cs"/>
          <w:sz w:val="24"/>
          <w:szCs w:val="24"/>
          <w:rtl/>
        </w:rPr>
        <w:t xml:space="preserve"> "מתמנה בפה ומסתלק בפה"</w:t>
      </w:r>
      <w:r>
        <w:rPr>
          <w:rStyle w:val="a7"/>
          <w:sz w:val="24"/>
          <w:szCs w:val="24"/>
          <w:rtl/>
        </w:rPr>
        <w:footnoteReference w:id="26"/>
      </w:r>
      <w:r>
        <w:rPr>
          <w:rFonts w:hint="cs"/>
          <w:sz w:val="24"/>
          <w:szCs w:val="24"/>
          <w:rtl/>
        </w:rPr>
        <w:t xml:space="preserve">. </w:t>
      </w:r>
    </w:p>
    <w:p w:rsidR="009337C2" w:rsidRDefault="009337C2" w:rsidP="009337C2">
      <w:pPr>
        <w:spacing w:before="200" w:line="276" w:lineRule="exact"/>
        <w:ind w:firstLine="266"/>
        <w:rPr>
          <w:sz w:val="24"/>
          <w:szCs w:val="24"/>
          <w:rtl/>
        </w:rPr>
      </w:pPr>
      <w:r>
        <w:rPr>
          <w:rFonts w:hint="cs"/>
          <w:sz w:val="24"/>
          <w:szCs w:val="24"/>
          <w:rtl/>
        </w:rPr>
        <w:t>הגבורת ארי תמה על כך מסוגיות בהן מבואר שקדושת כהן גדול אינה פוקעת:</w:t>
      </w:r>
    </w:p>
    <w:p w:rsidR="009337C2" w:rsidRDefault="009337C2" w:rsidP="009337C2">
      <w:pPr>
        <w:spacing w:before="200" w:line="276" w:lineRule="exact"/>
        <w:ind w:left="720"/>
        <w:rPr>
          <w:sz w:val="24"/>
          <w:szCs w:val="24"/>
          <w:rtl/>
        </w:rPr>
      </w:pPr>
      <w:r>
        <w:rPr>
          <w:sz w:val="24"/>
          <w:szCs w:val="24"/>
          <w:rtl/>
        </w:rPr>
        <w:t>מכל מקום ק</w:t>
      </w:r>
      <w:r>
        <w:rPr>
          <w:rFonts w:hint="cs"/>
          <w:sz w:val="24"/>
          <w:szCs w:val="24"/>
          <w:rtl/>
        </w:rPr>
        <w:t>"ל,</w:t>
      </w:r>
      <w:r w:rsidRPr="007D7222">
        <w:rPr>
          <w:sz w:val="24"/>
          <w:szCs w:val="24"/>
          <w:rtl/>
        </w:rPr>
        <w:t xml:space="preserve"> דהא ודאי כהן גדול אף על גב דעבר ממשיחתיה אכתי בקדושתיה קאי</w:t>
      </w:r>
      <w:r>
        <w:rPr>
          <w:rFonts w:hint="cs"/>
          <w:sz w:val="24"/>
          <w:szCs w:val="24"/>
          <w:rtl/>
        </w:rPr>
        <w:t>,</w:t>
      </w:r>
      <w:r w:rsidRPr="007D7222">
        <w:rPr>
          <w:sz w:val="24"/>
          <w:szCs w:val="24"/>
          <w:rtl/>
        </w:rPr>
        <w:t xml:space="preserve"> </w:t>
      </w:r>
      <w:r>
        <w:rPr>
          <w:sz w:val="24"/>
          <w:szCs w:val="24"/>
          <w:rtl/>
        </w:rPr>
        <w:t>דהא תנן בפרק ג' דהוריות</w:t>
      </w:r>
      <w:r>
        <w:rPr>
          <w:rFonts w:hint="cs"/>
          <w:sz w:val="24"/>
          <w:szCs w:val="24"/>
          <w:rtl/>
        </w:rPr>
        <w:t xml:space="preserve">: </w:t>
      </w:r>
      <w:r w:rsidRPr="007D7222">
        <w:rPr>
          <w:sz w:val="24"/>
          <w:szCs w:val="24"/>
          <w:rtl/>
        </w:rPr>
        <w:t>משוח שעבר ממשיחתו ואחר כך חטא</w:t>
      </w:r>
      <w:r>
        <w:rPr>
          <w:rFonts w:hint="cs"/>
          <w:sz w:val="24"/>
          <w:szCs w:val="24"/>
          <w:rtl/>
        </w:rPr>
        <w:t>,</w:t>
      </w:r>
      <w:r w:rsidRPr="007D7222">
        <w:rPr>
          <w:sz w:val="24"/>
          <w:szCs w:val="24"/>
          <w:rtl/>
        </w:rPr>
        <w:t xml:space="preserve"> וכן נשיא שעבר מגדולתו ואחר כך חטא</w:t>
      </w:r>
      <w:r>
        <w:rPr>
          <w:rFonts w:hint="cs"/>
          <w:sz w:val="24"/>
          <w:szCs w:val="24"/>
          <w:rtl/>
        </w:rPr>
        <w:t xml:space="preserve"> </w:t>
      </w:r>
      <w:r>
        <w:rPr>
          <w:sz w:val="24"/>
          <w:szCs w:val="24"/>
          <w:rtl/>
        </w:rPr>
        <w:t>–</w:t>
      </w:r>
      <w:r w:rsidRPr="007D7222">
        <w:rPr>
          <w:sz w:val="24"/>
          <w:szCs w:val="24"/>
          <w:rtl/>
        </w:rPr>
        <w:t xml:space="preserve"> כהן משיח מביא פר והנשיא כהדיוט</w:t>
      </w:r>
      <w:r>
        <w:rPr>
          <w:rFonts w:hint="cs"/>
          <w:sz w:val="24"/>
          <w:szCs w:val="24"/>
          <w:rtl/>
        </w:rPr>
        <w:t>,</w:t>
      </w:r>
      <w:r w:rsidRPr="007D7222">
        <w:rPr>
          <w:sz w:val="24"/>
          <w:szCs w:val="24"/>
          <w:rtl/>
        </w:rPr>
        <w:t xml:space="preserve"> ומייתי לה התם מקרא</w:t>
      </w:r>
      <w:r>
        <w:rPr>
          <w:rFonts w:hint="cs"/>
          <w:sz w:val="24"/>
          <w:szCs w:val="24"/>
          <w:rtl/>
        </w:rPr>
        <w:t>.</w:t>
      </w:r>
      <w:r w:rsidRPr="007D7222">
        <w:rPr>
          <w:sz w:val="24"/>
          <w:szCs w:val="24"/>
          <w:rtl/>
        </w:rPr>
        <w:t xml:space="preserve"> אלמא משוח אף על פי שעבר אכתי בקדושתיה קאי ומשום הכי מביא פר כדמ</w:t>
      </w:r>
      <w:r>
        <w:rPr>
          <w:sz w:val="24"/>
          <w:szCs w:val="24"/>
          <w:rtl/>
        </w:rPr>
        <w:t>עיקרא. ושם בפרק ג'</w:t>
      </w:r>
      <w:r>
        <w:rPr>
          <w:rFonts w:hint="cs"/>
          <w:sz w:val="24"/>
          <w:szCs w:val="24"/>
          <w:rtl/>
        </w:rPr>
        <w:t xml:space="preserve"> </w:t>
      </w:r>
      <w:r w:rsidRPr="007D7222">
        <w:rPr>
          <w:sz w:val="24"/>
          <w:szCs w:val="24"/>
          <w:rtl/>
        </w:rPr>
        <w:t xml:space="preserve">מיבעי לרב פפא משוח שנצטרע מהו באלמנה ופשט לה מדתניא </w:t>
      </w:r>
      <w:r>
        <w:rPr>
          <w:rFonts w:hint="cs"/>
          <w:sz w:val="24"/>
          <w:szCs w:val="24"/>
          <w:rtl/>
        </w:rPr>
        <w:t>'</w:t>
      </w:r>
      <w:r w:rsidRPr="007D7222">
        <w:rPr>
          <w:sz w:val="24"/>
          <w:szCs w:val="24"/>
          <w:rtl/>
        </w:rPr>
        <w:t>אין לי אלא עבר מחמת קריו</w:t>
      </w:r>
      <w:r>
        <w:rPr>
          <w:rFonts w:hint="cs"/>
          <w:sz w:val="24"/>
          <w:szCs w:val="24"/>
          <w:rtl/>
        </w:rPr>
        <w:t>,</w:t>
      </w:r>
      <w:r w:rsidRPr="007D7222">
        <w:rPr>
          <w:sz w:val="24"/>
          <w:szCs w:val="24"/>
          <w:rtl/>
        </w:rPr>
        <w:t xml:space="preserve"> עבר מחמת מומו מנין</w:t>
      </w:r>
      <w:r>
        <w:rPr>
          <w:rFonts w:hint="cs"/>
          <w:sz w:val="24"/>
          <w:szCs w:val="24"/>
          <w:rtl/>
        </w:rPr>
        <w:t>?</w:t>
      </w:r>
      <w:r w:rsidRPr="007D7222">
        <w:rPr>
          <w:sz w:val="24"/>
          <w:szCs w:val="24"/>
          <w:rtl/>
        </w:rPr>
        <w:t xml:space="preserve"> תלמוד לומר </w:t>
      </w:r>
      <w:r>
        <w:rPr>
          <w:rFonts w:hint="cs"/>
          <w:sz w:val="24"/>
          <w:szCs w:val="24"/>
          <w:rtl/>
        </w:rPr>
        <w:t>'</w:t>
      </w:r>
      <w:r w:rsidRPr="007D7222">
        <w:rPr>
          <w:sz w:val="24"/>
          <w:szCs w:val="24"/>
          <w:rtl/>
        </w:rPr>
        <w:t>והוא</w:t>
      </w:r>
      <w:r>
        <w:rPr>
          <w:rFonts w:hint="cs"/>
          <w:sz w:val="24"/>
          <w:szCs w:val="24"/>
          <w:rtl/>
        </w:rPr>
        <w:t>',</w:t>
      </w:r>
      <w:r w:rsidRPr="007D7222">
        <w:rPr>
          <w:sz w:val="24"/>
          <w:szCs w:val="24"/>
          <w:rtl/>
        </w:rPr>
        <w:t xml:space="preserve"> ושמע מינה מהא דאפילו עבר מחמת מומין וצרעת דאינו ראוי לעבודה כלל לעולם אפילו הכי בקדושתייהו קיימי.</w:t>
      </w:r>
      <w:r>
        <w:rPr>
          <w:rFonts w:hint="cs"/>
          <w:sz w:val="24"/>
          <w:szCs w:val="24"/>
          <w:rtl/>
        </w:rPr>
        <w:t xml:space="preserve"> </w:t>
      </w:r>
    </w:p>
    <w:p w:rsidR="009337C2" w:rsidRPr="007D7222" w:rsidRDefault="009337C2" w:rsidP="009337C2">
      <w:pPr>
        <w:spacing w:before="200" w:line="276" w:lineRule="exact"/>
        <w:ind w:left="720"/>
        <w:jc w:val="right"/>
        <w:rPr>
          <w:sz w:val="20"/>
          <w:szCs w:val="20"/>
          <w:rtl/>
        </w:rPr>
      </w:pPr>
      <w:r>
        <w:rPr>
          <w:rFonts w:hint="cs"/>
          <w:sz w:val="20"/>
          <w:szCs w:val="20"/>
          <w:rtl/>
        </w:rPr>
        <w:t>[גבורת ארי יב: ד"ה ולא כהן]</w:t>
      </w:r>
    </w:p>
    <w:p w:rsidR="009337C2" w:rsidRDefault="009337C2" w:rsidP="009337C2">
      <w:pPr>
        <w:spacing w:before="200" w:line="276" w:lineRule="exact"/>
        <w:ind w:firstLine="266"/>
        <w:rPr>
          <w:sz w:val="24"/>
          <w:szCs w:val="24"/>
          <w:rtl/>
        </w:rPr>
      </w:pPr>
      <w:r>
        <w:rPr>
          <w:rFonts w:hint="cs"/>
          <w:sz w:val="24"/>
          <w:szCs w:val="24"/>
          <w:rtl/>
        </w:rPr>
        <w:t>רבנו חיים הלוי מבריסק מיישב את שיטת תוספות על פי הבחנה בשני רבדים הקיימים בכהן גדול:</w:t>
      </w:r>
    </w:p>
    <w:p w:rsidR="009337C2" w:rsidRDefault="009337C2" w:rsidP="009337C2">
      <w:pPr>
        <w:spacing w:line="276" w:lineRule="exact"/>
        <w:ind w:left="720"/>
        <w:rPr>
          <w:sz w:val="24"/>
          <w:szCs w:val="24"/>
          <w:rtl/>
        </w:rPr>
      </w:pPr>
      <w:r>
        <w:rPr>
          <w:sz w:val="24"/>
          <w:szCs w:val="24"/>
          <w:rtl/>
        </w:rPr>
        <w:t>דבכה</w:t>
      </w:r>
      <w:r>
        <w:rPr>
          <w:rFonts w:hint="cs"/>
          <w:sz w:val="24"/>
          <w:szCs w:val="24"/>
          <w:rtl/>
        </w:rPr>
        <w:t>ן גדול</w:t>
      </w:r>
      <w:r w:rsidRPr="00A145CA">
        <w:rPr>
          <w:sz w:val="24"/>
          <w:szCs w:val="24"/>
          <w:rtl/>
        </w:rPr>
        <w:t xml:space="preserve"> יש ב' דינים</w:t>
      </w:r>
      <w:r>
        <w:rPr>
          <w:rFonts w:hint="cs"/>
          <w:sz w:val="24"/>
          <w:szCs w:val="24"/>
          <w:rtl/>
        </w:rPr>
        <w:t>:</w:t>
      </w:r>
      <w:r w:rsidRPr="00A145CA">
        <w:rPr>
          <w:sz w:val="24"/>
          <w:szCs w:val="24"/>
          <w:rtl/>
        </w:rPr>
        <w:t xml:space="preserve"> א</w:t>
      </w:r>
      <w:r>
        <w:rPr>
          <w:sz w:val="24"/>
          <w:szCs w:val="24"/>
          <w:rtl/>
        </w:rPr>
        <w:t>' דין משיחה, שבה הוא מתקדש לכה</w:t>
      </w:r>
      <w:r>
        <w:rPr>
          <w:rFonts w:hint="cs"/>
          <w:sz w:val="24"/>
          <w:szCs w:val="24"/>
          <w:rtl/>
        </w:rPr>
        <w:t>ן גדול.</w:t>
      </w:r>
      <w:r w:rsidRPr="00A145CA">
        <w:rPr>
          <w:sz w:val="24"/>
          <w:szCs w:val="24"/>
          <w:rtl/>
        </w:rPr>
        <w:t xml:space="preserve"> וב' דין מינוי, שלבד המשיחה עוד</w:t>
      </w:r>
      <w:r>
        <w:rPr>
          <w:sz w:val="24"/>
          <w:szCs w:val="24"/>
          <w:rtl/>
        </w:rPr>
        <w:t xml:space="preserve"> יש לו דין אחר, שהוא נתמנה לכ</w:t>
      </w:r>
      <w:r>
        <w:rPr>
          <w:rFonts w:hint="cs"/>
          <w:sz w:val="24"/>
          <w:szCs w:val="24"/>
          <w:rtl/>
        </w:rPr>
        <w:t>הן גדול.</w:t>
      </w:r>
      <w:r w:rsidRPr="00A145CA">
        <w:rPr>
          <w:sz w:val="24"/>
          <w:szCs w:val="24"/>
          <w:rtl/>
        </w:rPr>
        <w:t xml:space="preserve"> ונמצא שדין משיחה שלו אינה בטלה לעולם, כמו כלי שרת שנמשח, שאין יכול לעולם להתבטל מקדושתו וליעשות חולין, דעל קדושת המשיחה אין שייך ביטול, אבל המינוי שלו יכול להתב</w:t>
      </w:r>
      <w:r>
        <w:rPr>
          <w:sz w:val="24"/>
          <w:szCs w:val="24"/>
          <w:rtl/>
        </w:rPr>
        <w:t>טל, דעל מינוי שייך ביטול וסילוק</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[חידושי הגר"ח יומא יב: 'בענין מינוי כהן גדול וסילוקו]</w:t>
      </w:r>
    </w:p>
    <w:p w:rsidR="009337C2" w:rsidRDefault="009337C2" w:rsidP="009337C2">
      <w:pPr>
        <w:spacing w:line="276" w:lineRule="exact"/>
        <w:ind w:firstLine="227"/>
        <w:rPr>
          <w:sz w:val="24"/>
          <w:szCs w:val="24"/>
          <w:rtl/>
        </w:rPr>
      </w:pPr>
      <w:r>
        <w:rPr>
          <w:rFonts w:hint="cs"/>
          <w:sz w:val="24"/>
          <w:szCs w:val="24"/>
          <w:rtl/>
        </w:rPr>
        <w:t xml:space="preserve">לפי דבריו, כהונה גדולה היא גם חלות קדושה על הגברא וגם תפקיד אליו הכהן התמנה </w:t>
      </w:r>
      <w:r>
        <w:rPr>
          <w:sz w:val="24"/>
          <w:szCs w:val="24"/>
          <w:rtl/>
        </w:rPr>
        <w:t>–</w:t>
      </w:r>
      <w:r>
        <w:rPr>
          <w:rFonts w:hint="cs"/>
          <w:sz w:val="24"/>
          <w:szCs w:val="24"/>
          <w:rtl/>
        </w:rPr>
        <w:t xml:space="preserve"> "ראש לכל הכהנים". בהתאם לכך, המשיחה היא החלת הקדושה על הכהן, והמינוי בפה הוא המינוי לתפקיד.</w:t>
      </w:r>
    </w:p>
    <w:p w:rsidR="009337C2" w:rsidRPr="00A145CA" w:rsidRDefault="009337C2" w:rsidP="009337C2">
      <w:pPr>
        <w:spacing w:line="276" w:lineRule="exact"/>
        <w:ind w:firstLine="227"/>
        <w:rPr>
          <w:sz w:val="24"/>
          <w:szCs w:val="24"/>
          <w:rtl/>
        </w:rPr>
      </w:pPr>
      <w:r>
        <w:rPr>
          <w:rFonts w:hint="cs"/>
          <w:sz w:val="24"/>
          <w:szCs w:val="24"/>
          <w:rtl/>
        </w:rPr>
        <w:t>על פי דבריו אלו מבאר הגר"ח, שדברי תוספות בשם הירושלמי אמורים ביחס לרובד של המינוי בלבד:</w:t>
      </w:r>
    </w:p>
    <w:p w:rsidR="009337C2" w:rsidRPr="00A145CA" w:rsidRDefault="009337C2" w:rsidP="009337C2">
      <w:pPr>
        <w:spacing w:line="276" w:lineRule="exact"/>
        <w:ind w:left="720"/>
        <w:rPr>
          <w:sz w:val="20"/>
          <w:szCs w:val="20"/>
          <w:rtl/>
        </w:rPr>
      </w:pPr>
      <w:r w:rsidRPr="00A145CA">
        <w:rPr>
          <w:sz w:val="24"/>
          <w:szCs w:val="24"/>
          <w:rtl/>
        </w:rPr>
        <w:t xml:space="preserve">וזה כוונת הירושלמי </w:t>
      </w:r>
      <w:r>
        <w:rPr>
          <w:rFonts w:hint="cs"/>
          <w:sz w:val="24"/>
          <w:szCs w:val="24"/>
          <w:rtl/>
        </w:rPr>
        <w:t>'כהן גדול</w:t>
      </w:r>
      <w:r>
        <w:rPr>
          <w:sz w:val="24"/>
          <w:szCs w:val="24"/>
          <w:rtl/>
        </w:rPr>
        <w:t xml:space="preserve"> מתמנה בפה</w:t>
      </w:r>
      <w:r>
        <w:rPr>
          <w:rFonts w:hint="cs"/>
          <w:sz w:val="24"/>
          <w:szCs w:val="24"/>
          <w:rtl/>
        </w:rPr>
        <w:t>'</w:t>
      </w:r>
      <w:r>
        <w:rPr>
          <w:sz w:val="24"/>
          <w:szCs w:val="24"/>
          <w:rtl/>
        </w:rPr>
        <w:t>, פי</w:t>
      </w:r>
      <w:r>
        <w:rPr>
          <w:rFonts w:hint="cs"/>
          <w:sz w:val="24"/>
          <w:szCs w:val="24"/>
          <w:rtl/>
        </w:rPr>
        <w:t>רוש</w:t>
      </w:r>
      <w:r w:rsidRPr="00A145CA">
        <w:rPr>
          <w:sz w:val="24"/>
          <w:szCs w:val="24"/>
          <w:rtl/>
        </w:rPr>
        <w:t xml:space="preserve"> שלבד המשי</w:t>
      </w:r>
      <w:r>
        <w:rPr>
          <w:sz w:val="24"/>
          <w:szCs w:val="24"/>
          <w:rtl/>
        </w:rPr>
        <w:t xml:space="preserve">חה עוד יש לו דין מינוי, ולפיכך </w:t>
      </w:r>
      <w:r>
        <w:rPr>
          <w:rFonts w:hint="cs"/>
          <w:sz w:val="24"/>
          <w:szCs w:val="24"/>
          <w:rtl/>
        </w:rPr>
        <w:t>'</w:t>
      </w:r>
      <w:r>
        <w:rPr>
          <w:sz w:val="24"/>
          <w:szCs w:val="24"/>
          <w:rtl/>
        </w:rPr>
        <w:t>מסתלק בפ</w:t>
      </w:r>
      <w:r>
        <w:rPr>
          <w:rFonts w:hint="cs"/>
          <w:sz w:val="24"/>
          <w:szCs w:val="24"/>
          <w:rtl/>
        </w:rPr>
        <w:t>ה'</w:t>
      </w:r>
      <w:r w:rsidRPr="00A145CA">
        <w:rPr>
          <w:sz w:val="24"/>
          <w:szCs w:val="24"/>
          <w:rtl/>
        </w:rPr>
        <w:t>, דעל מינוי שייך סילוק, אבל המשיחה אינה יכולה להתבטל לעולם, ואי לא היתה לו אלא משיחה לבדה לא היה יכול להסתלק לעולם, אבל עכשיו שיש לו דין מינוי, לפיכך יכול להסתלק</w:t>
      </w:r>
      <w:r>
        <w:rPr>
          <w:rFonts w:hint="cs"/>
          <w:sz w:val="24"/>
          <w:szCs w:val="24"/>
          <w:rtl/>
        </w:rPr>
        <w:t>.</w:t>
      </w:r>
      <w:r>
        <w:rPr>
          <w:sz w:val="24"/>
          <w:szCs w:val="24"/>
          <w:rtl/>
        </w:rPr>
        <w:t xml:space="preserve"> ונמצא לפי</w:t>
      </w:r>
      <w:r>
        <w:rPr>
          <w:rFonts w:hint="cs"/>
          <w:sz w:val="24"/>
          <w:szCs w:val="24"/>
          <w:rtl/>
        </w:rPr>
        <w:t xml:space="preserve"> זה,</w:t>
      </w:r>
      <w:r>
        <w:rPr>
          <w:sz w:val="24"/>
          <w:szCs w:val="24"/>
          <w:rtl/>
        </w:rPr>
        <w:t xml:space="preserve"> שכה</w:t>
      </w:r>
      <w:r>
        <w:rPr>
          <w:rFonts w:hint="cs"/>
          <w:sz w:val="24"/>
          <w:szCs w:val="24"/>
          <w:rtl/>
        </w:rPr>
        <w:t>ן גדול</w:t>
      </w:r>
      <w:r w:rsidRPr="00A145CA">
        <w:rPr>
          <w:sz w:val="24"/>
          <w:szCs w:val="24"/>
          <w:rtl/>
        </w:rPr>
        <w:t xml:space="preserve"> משוח שעבר אין לו דין מינוי, דהא נסתלק ועבר הוא מכהונתו, אבל דין המשיחה שלו יש לו, דאינה בטלה לעולם.</w:t>
      </w:r>
      <w:r>
        <w:rPr>
          <w:rFonts w:hint="cs"/>
          <w:sz w:val="24"/>
          <w:szCs w:val="24"/>
          <w:rtl/>
        </w:rPr>
        <w:t xml:space="preserve">        </w:t>
      </w:r>
      <w:r>
        <w:rPr>
          <w:sz w:val="24"/>
          <w:szCs w:val="24"/>
          <w:rtl/>
        </w:rPr>
        <w:tab/>
      </w:r>
      <w:r>
        <w:rPr>
          <w:rFonts w:hint="cs"/>
          <w:sz w:val="20"/>
          <w:szCs w:val="20"/>
          <w:rtl/>
        </w:rPr>
        <w:t>[שם]</w:t>
      </w:r>
    </w:p>
    <w:p w:rsidR="009337C2" w:rsidRDefault="009337C2" w:rsidP="009337C2">
      <w:pPr>
        <w:spacing w:before="200" w:line="276" w:lineRule="exact"/>
        <w:ind w:firstLine="227"/>
        <w:rPr>
          <w:sz w:val="24"/>
          <w:szCs w:val="24"/>
          <w:rtl/>
        </w:rPr>
      </w:pPr>
      <w:r>
        <w:rPr>
          <w:rFonts w:hint="cs"/>
          <w:sz w:val="24"/>
          <w:szCs w:val="24"/>
          <w:rtl/>
        </w:rPr>
        <w:t xml:space="preserve">לטענתו, תוספות מודים שקדושת כהן גדול אינה בטלה לעולם, ודבריהם אמורים ביחס למינוי בלבד </w:t>
      </w:r>
      <w:r>
        <w:rPr>
          <w:sz w:val="24"/>
          <w:szCs w:val="24"/>
          <w:rtl/>
        </w:rPr>
        <w:t>–</w:t>
      </w:r>
      <w:r>
        <w:rPr>
          <w:rFonts w:hint="cs"/>
          <w:sz w:val="24"/>
          <w:szCs w:val="24"/>
          <w:rtl/>
        </w:rPr>
        <w:t xml:space="preserve"> מינוי זה אינו תלוי בקדושה, וכשם שהוא חל בפה כך ניתן לבטלו בפה ולסלקו ממשרת הכהונה הגדולה. </w:t>
      </w:r>
    </w:p>
    <w:p w:rsidR="009337C2" w:rsidRPr="00640287" w:rsidRDefault="009337C2" w:rsidP="009337C2">
      <w:pPr>
        <w:spacing w:before="200" w:line="276" w:lineRule="exact"/>
        <w:ind w:firstLine="266"/>
        <w:rPr>
          <w:sz w:val="24"/>
          <w:szCs w:val="24"/>
          <w:u w:val="single"/>
          <w:rtl/>
        </w:rPr>
      </w:pPr>
    </w:p>
    <w:p w:rsidR="009337C2" w:rsidRPr="00640287" w:rsidRDefault="009337C2" w:rsidP="009337C2">
      <w:pPr>
        <w:spacing w:before="200" w:line="276" w:lineRule="exact"/>
        <w:ind w:firstLine="266"/>
        <w:jc w:val="right"/>
        <w:rPr>
          <w:sz w:val="24"/>
          <w:szCs w:val="24"/>
        </w:rPr>
      </w:pPr>
      <w:r w:rsidRPr="00640287">
        <w:rPr>
          <w:rFonts w:hint="cs"/>
          <w:sz w:val="24"/>
          <w:szCs w:val="24"/>
          <w:u w:val="single"/>
          <w:rtl/>
        </w:rPr>
        <w:t>להערות ולתגובות</w:t>
      </w:r>
      <w:r w:rsidRPr="00640287">
        <w:rPr>
          <w:rFonts w:hint="cs"/>
          <w:sz w:val="24"/>
          <w:szCs w:val="24"/>
          <w:rtl/>
        </w:rPr>
        <w:t>: שלמה ליפשיץ</w:t>
      </w:r>
    </w:p>
    <w:p w:rsidR="009337C2" w:rsidRPr="00640287" w:rsidRDefault="009337C2" w:rsidP="009337C2">
      <w:pPr>
        <w:spacing w:line="276" w:lineRule="exact"/>
        <w:ind w:firstLine="227"/>
        <w:jc w:val="right"/>
        <w:rPr>
          <w:rtl/>
        </w:rPr>
      </w:pPr>
      <w:hyperlink r:id="rId11" w:history="1">
        <w:r w:rsidRPr="00640287">
          <w:rPr>
            <w:rStyle w:val="Hyperlink"/>
            <w:sz w:val="24"/>
            <w:szCs w:val="24"/>
          </w:rPr>
          <w:t>lshlomo26@gmail.com</w:t>
        </w:r>
      </w:hyperlink>
    </w:p>
    <w:p w:rsidR="009337C2" w:rsidRDefault="009337C2" w:rsidP="009337C2">
      <w:pPr>
        <w:spacing w:line="276" w:lineRule="exact"/>
        <w:jc w:val="center"/>
        <w:rPr>
          <w:rFonts w:hint="cs"/>
          <w:color w:val="525252" w:themeColor="accent3" w:themeShade="80"/>
          <w:sz w:val="20"/>
          <w:szCs w:val="20"/>
          <w:rtl/>
        </w:rPr>
      </w:pPr>
    </w:p>
    <w:p w:rsidR="009337C2" w:rsidRDefault="009337C2">
      <w:pPr>
        <w:spacing w:after="0" w:line="240" w:lineRule="auto"/>
        <w:rPr>
          <w:color w:val="525252" w:themeColor="accent3" w:themeShade="80"/>
          <w:sz w:val="28"/>
          <w:szCs w:val="28"/>
          <w:rtl/>
        </w:rPr>
      </w:pPr>
      <w:r>
        <w:rPr>
          <w:color w:val="525252" w:themeColor="accent3" w:themeShade="80"/>
          <w:sz w:val="28"/>
          <w:szCs w:val="28"/>
          <w:rtl/>
        </w:rPr>
        <w:br w:type="page"/>
      </w:r>
    </w:p>
    <w:p w:rsidR="009337C2" w:rsidRPr="00B3449C" w:rsidRDefault="009337C2" w:rsidP="009337C2">
      <w:pPr>
        <w:keepNext/>
        <w:keepLines/>
        <w:spacing w:before="240" w:after="0" w:line="276" w:lineRule="exact"/>
        <w:jc w:val="center"/>
        <w:outlineLvl w:val="0"/>
        <w:rPr>
          <w:rFonts w:asciiTheme="majorHAnsi" w:eastAsiaTheme="majorEastAsia" w:hAnsiTheme="majorHAnsi"/>
          <w:bCs/>
          <w:sz w:val="36"/>
          <w:szCs w:val="36"/>
          <w:rtl/>
        </w:rPr>
      </w:pPr>
      <w:bookmarkStart w:id="29" w:name="_Toc76718402"/>
      <w:bookmarkStart w:id="30" w:name="_Toc76718807"/>
      <w:bookmarkStart w:id="31" w:name="_Toc76719147"/>
      <w:r w:rsidRPr="00B3449C">
        <w:rPr>
          <w:rFonts w:asciiTheme="majorHAnsi" w:eastAsiaTheme="majorEastAsia" w:hAnsiTheme="majorHAnsi" w:hint="cs"/>
          <w:bCs/>
          <w:sz w:val="40"/>
          <w:szCs w:val="40"/>
          <w:rtl/>
        </w:rPr>
        <w:lastRenderedPageBreak/>
        <w:t>יסודות יומא</w:t>
      </w:r>
      <w:bookmarkEnd w:id="29"/>
      <w:bookmarkEnd w:id="30"/>
      <w:bookmarkEnd w:id="31"/>
    </w:p>
    <w:p w:rsidR="009337C2" w:rsidRPr="00B3449C" w:rsidRDefault="009337C2" w:rsidP="009337C2">
      <w:pPr>
        <w:keepNext/>
        <w:keepLines/>
        <w:spacing w:before="240" w:after="0" w:line="276" w:lineRule="exact"/>
        <w:jc w:val="center"/>
        <w:outlineLvl w:val="0"/>
        <w:rPr>
          <w:rFonts w:asciiTheme="majorHAnsi" w:eastAsiaTheme="majorEastAsia" w:hAnsiTheme="majorHAnsi"/>
          <w:b/>
          <w:sz w:val="32"/>
          <w:szCs w:val="32"/>
          <w:rtl/>
        </w:rPr>
      </w:pPr>
      <w:bookmarkStart w:id="32" w:name="_Toc76719148"/>
      <w:r w:rsidRPr="00B3449C">
        <w:rPr>
          <w:rFonts w:asciiTheme="majorHAnsi" w:eastAsiaTheme="majorEastAsia" w:hAnsiTheme="majorHAnsi" w:hint="cs"/>
          <w:b/>
          <w:sz w:val="32"/>
          <w:szCs w:val="32"/>
          <w:rtl/>
        </w:rPr>
        <w:t>שיעור חמישי</w:t>
      </w:r>
      <w:bookmarkEnd w:id="32"/>
    </w:p>
    <w:p w:rsidR="009337C2" w:rsidRPr="00B3449C" w:rsidRDefault="009337C2" w:rsidP="009337C2">
      <w:pPr>
        <w:keepNext/>
        <w:keepLines/>
        <w:spacing w:before="240" w:after="0" w:line="276" w:lineRule="exact"/>
        <w:jc w:val="center"/>
        <w:outlineLvl w:val="0"/>
        <w:rPr>
          <w:rFonts w:asciiTheme="majorHAnsi" w:eastAsiaTheme="majorEastAsia" w:hAnsiTheme="majorHAnsi"/>
          <w:bCs/>
          <w:sz w:val="32"/>
          <w:szCs w:val="32"/>
          <w:rtl/>
        </w:rPr>
      </w:pPr>
      <w:bookmarkStart w:id="33" w:name="_Toc76718404"/>
      <w:bookmarkStart w:id="34" w:name="_Toc76718809"/>
      <w:bookmarkStart w:id="35" w:name="_Toc76719149"/>
      <w:r>
        <w:rPr>
          <w:rFonts w:asciiTheme="majorHAnsi" w:eastAsiaTheme="majorEastAsia" w:hAnsiTheme="majorHAnsi" w:hint="cs"/>
          <w:bCs/>
          <w:sz w:val="36"/>
          <w:szCs w:val="36"/>
          <w:rtl/>
        </w:rPr>
        <w:t>העבודות הנעשות על ידי</w:t>
      </w:r>
      <w:r w:rsidRPr="00B3449C">
        <w:rPr>
          <w:rFonts w:asciiTheme="majorHAnsi" w:eastAsiaTheme="majorEastAsia" w:hAnsiTheme="majorHAnsi" w:hint="cs"/>
          <w:bCs/>
          <w:sz w:val="36"/>
          <w:szCs w:val="36"/>
          <w:rtl/>
        </w:rPr>
        <w:t xml:space="preserve"> כהן גדול</w:t>
      </w:r>
      <w:bookmarkEnd w:id="33"/>
      <w:bookmarkEnd w:id="34"/>
      <w:bookmarkEnd w:id="35"/>
    </w:p>
    <w:p w:rsidR="009337C2" w:rsidRPr="00B3449C" w:rsidRDefault="009337C2" w:rsidP="009337C2">
      <w:pPr>
        <w:spacing w:line="276" w:lineRule="exact"/>
        <w:rPr>
          <w:highlight w:val="green"/>
          <w:rtl/>
        </w:rPr>
      </w:pPr>
      <w:r w:rsidRPr="00B3449C">
        <w:rPr>
          <w:noProof/>
          <w:highlight w:val="green"/>
          <w:rtl/>
        </w:rPr>
        <mc:AlternateContent>
          <mc:Choice Requires="wps">
            <w:drawing>
              <wp:anchor distT="0" distB="0" distL="114300" distR="114300" simplePos="0" relativeHeight="251671552" behindDoc="1" locked="0" layoutInCell="1" allowOverlap="1" wp14:anchorId="122EFD3B" wp14:editId="2FB572B6">
                <wp:simplePos x="0" y="0"/>
                <wp:positionH relativeFrom="column">
                  <wp:posOffset>-259080</wp:posOffset>
                </wp:positionH>
                <wp:positionV relativeFrom="paragraph">
                  <wp:posOffset>228600</wp:posOffset>
                </wp:positionV>
                <wp:extent cx="5765800" cy="7901940"/>
                <wp:effectExtent l="0" t="0" r="25400" b="22860"/>
                <wp:wrapNone/>
                <wp:docPr id="9" name="מלבן 9"/>
                <wp:cNvGraphicFramePr/>
                <a:graphic xmlns:a="http://schemas.openxmlformats.org/drawingml/2006/main">
                  <a:graphicData uri="http://schemas.microsoft.com/office/word/2010/wordprocessingShape">
                    <wps:wsp>
                      <wps:cNvSpPr/>
                      <wps:spPr>
                        <a:xfrm>
                          <a:off x="0" y="0"/>
                          <a:ext cx="5765800" cy="79019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8B453" id="מלבן 9" o:spid="_x0000_s1026" style="position:absolute;left:0;text-align:left;margin-left:-20.4pt;margin-top:18pt;width:454pt;height:62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9fiAIAAAEFAAAOAAAAZHJzL2Uyb0RvYy54bWysVNtuGjEQfa/Uf7D83uyCIASUJUJEVJWi&#10;JBKp8my8XnYl32obFvoXfa/az+J3emw25NI8VeXBzHjGczlzZi+vdkqSrXC+MbqgvbOcEqG5KRu9&#10;LujXh8WnC0p8YLpk0mhR0L3w9Gr68cNlayeib2ojS+EIgmg/aW1B6xDsJMs8r4Vi/sxYoWGsjFMs&#10;QHXrrHSsRXQls36en2etcaV1hgvvcXt9NNJpil9Vgoe7qvIiEFlQ1BbS6dK5imc2vWSTtWO2bnhX&#10;BvuHKhRrNJKeQl2zwMjGNX+FUg13xpsqnHGjMlNVDRepB3TTy990s6yZFakXgOPtCSb//8Ly2+29&#10;I01Z0DElmimM6PDr8PPw4/CbjCM6rfUTOC3tves0DzG2uquciv9oguwSovsTomIXCMflcHQ+vMgB&#10;PIdtNM5740HCPHt+bp0Pn4VRJAoFdRhZQpJtb3xASrg+ucRs3simXDRSJmXv59KRLcN0QYrStJRI&#10;5gMuC7pIv9gDQrx6JjVpQdZxPoyVMdCukixAVBZAeL2mhMk1+MyDS7W8eu3denXKOhiM+vPBe0li&#10;0dfM18fqUoToxiaqCaC8bFRBAQ1+3Wupo1Uk0natR/CPcEdpZco9huXMkcXe8kWDJDdo+J450Bbd&#10;YBXDHY5KGrRoOomS2rjv791Hf7AJVkparAHa/7ZhTgDHLxo8G/cGmBgJSRkMR30o7qVl9dKiN2pu&#10;MIselt7yJEb/IJ9uK2fUIzZ2FrPCxDRH7iPQnTIPx/XEznMxmyU37Ipl4UYvLY/BI04R3ofdI3O2&#10;I04A527N08qwyRv+HH3jS21mm2CqJpHrGVfQJCrYs0SY7psQF/mlnryev1zTPwAAAP//AwBQSwME&#10;FAAGAAgAAAAhACXn+yTgAAAACwEAAA8AAABkcnMvZG93bnJldi54bWxMj8FOwzAQRO9I/IO1SNxa&#10;u6EKUYhTUSQEHKhoqXp2Y+NE2OsQu034e5YTHFf7NPOmWk3esbMZYhdQwmIugBlsgu7QSti/P84K&#10;YDEp1MoFNBK+TYRVfXlRqVKHEbfmvEuWUQjGUkloU+pLzmPTGq/iPPQG6fcRBq8SnYPlelAjhXvH&#10;MyFy7lWH1NCq3jy0pvncnbyEl7X9OjzbxTb37m1c45PYvAYh5fXVdH8HLJkp/cHwq0/qUJPTMZxQ&#10;R+YkzJaC1JOEm5w2EVDktxmwI5FZIZbA64r/31D/AAAA//8DAFBLAQItABQABgAIAAAAIQC2gziS&#10;/gAAAOEBAAATAAAAAAAAAAAAAAAAAAAAAABbQ29udGVudF9UeXBlc10ueG1sUEsBAi0AFAAGAAgA&#10;AAAhADj9If/WAAAAlAEAAAsAAAAAAAAAAAAAAAAALwEAAF9yZWxzLy5yZWxzUEsBAi0AFAAGAAgA&#10;AAAhAITPv1+IAgAAAQUAAA4AAAAAAAAAAAAAAAAALgIAAGRycy9lMm9Eb2MueG1sUEsBAi0AFAAG&#10;AAgAAAAhACXn+yTgAAAACwEAAA8AAAAAAAAAAAAAAAAA4gQAAGRycy9kb3ducmV2LnhtbFBLBQYA&#10;AAAABAAEAPMAAADvBQAAAAA=&#10;" fillcolor="window" strokecolor="#4472c4" strokeweight="1.5pt"/>
            </w:pict>
          </mc:Fallback>
        </mc:AlternateContent>
      </w:r>
    </w:p>
    <w:p w:rsidR="009337C2" w:rsidRPr="006D1E87" w:rsidRDefault="009337C2" w:rsidP="009337C2">
      <w:pPr>
        <w:spacing w:line="276" w:lineRule="exact"/>
        <w:jc w:val="center"/>
        <w:rPr>
          <w:b/>
          <w:bCs/>
          <w:sz w:val="24"/>
          <w:szCs w:val="24"/>
          <w:rtl/>
        </w:rPr>
      </w:pPr>
      <w:r w:rsidRPr="006D1E87">
        <w:rPr>
          <w:rFonts w:hint="cs"/>
          <w:b/>
          <w:bCs/>
          <w:sz w:val="24"/>
          <w:szCs w:val="24"/>
          <w:rtl/>
        </w:rPr>
        <w:t>מקורות</w:t>
      </w:r>
    </w:p>
    <w:p w:rsidR="009337C2" w:rsidRDefault="009337C2" w:rsidP="009337C2">
      <w:pPr>
        <w:spacing w:line="276" w:lineRule="exact"/>
        <w:rPr>
          <w:sz w:val="24"/>
          <w:szCs w:val="24"/>
          <w:rtl/>
        </w:rPr>
      </w:pPr>
      <w:r w:rsidRPr="006D1E87">
        <w:rPr>
          <w:rFonts w:hint="cs"/>
          <w:sz w:val="24"/>
          <w:szCs w:val="24"/>
          <w:rtl/>
        </w:rPr>
        <w:t>א. ספרא אחרי מות פרק ח הל' ד</w:t>
      </w:r>
    </w:p>
    <w:p w:rsidR="009337C2" w:rsidRDefault="009337C2" w:rsidP="009337C2">
      <w:pPr>
        <w:spacing w:line="276" w:lineRule="exact"/>
        <w:rPr>
          <w:sz w:val="24"/>
          <w:szCs w:val="24"/>
          <w:rtl/>
        </w:rPr>
      </w:pPr>
      <w:r>
        <w:rPr>
          <w:rFonts w:hint="cs"/>
          <w:sz w:val="24"/>
          <w:szCs w:val="24"/>
          <w:rtl/>
        </w:rPr>
        <w:t>ב. משנה פ"ב מ"א-ד; פ"ג מ"ד-ה; פ"ז מ"ג-ד</w:t>
      </w:r>
    </w:p>
    <w:p w:rsidR="009337C2" w:rsidRDefault="009337C2" w:rsidP="009337C2">
      <w:pPr>
        <w:spacing w:line="276" w:lineRule="exact"/>
        <w:rPr>
          <w:sz w:val="24"/>
          <w:szCs w:val="24"/>
          <w:rtl/>
        </w:rPr>
      </w:pPr>
      <w:r>
        <w:rPr>
          <w:rFonts w:hint="cs"/>
          <w:sz w:val="24"/>
          <w:szCs w:val="24"/>
          <w:rtl/>
        </w:rPr>
        <w:t>ג. [תוס' כ. ד"ה משום]; המאור הקטן א. ד"ה והוי יודע; מלחמת ה' לרמב"ן, שם; ריטב"א יב. ד"ה הכי גרסינן</w:t>
      </w:r>
    </w:p>
    <w:p w:rsidR="009337C2" w:rsidRDefault="009337C2" w:rsidP="009337C2">
      <w:pPr>
        <w:spacing w:line="276" w:lineRule="exact"/>
        <w:rPr>
          <w:sz w:val="24"/>
          <w:szCs w:val="24"/>
          <w:rtl/>
        </w:rPr>
      </w:pPr>
      <w:r>
        <w:rPr>
          <w:rFonts w:hint="cs"/>
          <w:sz w:val="24"/>
          <w:szCs w:val="24"/>
          <w:rtl/>
        </w:rPr>
        <w:t>[ד. רש"ש יומא יב. רש"י ד"ה פשיטא]</w:t>
      </w:r>
    </w:p>
    <w:p w:rsidR="009337C2" w:rsidRDefault="009337C2" w:rsidP="009337C2">
      <w:pPr>
        <w:spacing w:line="276" w:lineRule="exact"/>
        <w:rPr>
          <w:sz w:val="24"/>
          <w:szCs w:val="24"/>
          <w:rtl/>
        </w:rPr>
      </w:pPr>
      <w:r>
        <w:rPr>
          <w:rFonts w:hint="cs"/>
          <w:sz w:val="24"/>
          <w:szCs w:val="24"/>
          <w:rtl/>
        </w:rPr>
        <w:t>ה. רמב"ם הל' עבודת יום הכיפורים פ"א ה"א-ב; פ"ד ה"א "...ופושט בגדי זהב"</w:t>
      </w:r>
    </w:p>
    <w:p w:rsidR="009337C2" w:rsidRPr="006D1E87" w:rsidRDefault="009337C2" w:rsidP="009337C2">
      <w:pPr>
        <w:spacing w:line="276" w:lineRule="exact"/>
        <w:rPr>
          <w:sz w:val="24"/>
          <w:szCs w:val="24"/>
          <w:rtl/>
        </w:rPr>
      </w:pPr>
      <w:r>
        <w:rPr>
          <w:rFonts w:hint="cs"/>
          <w:sz w:val="24"/>
          <w:szCs w:val="24"/>
          <w:rtl/>
        </w:rPr>
        <w:t>ו. אור שמח הל' עבודת יום הכיפורים פ"ד ה"א</w:t>
      </w:r>
      <w:r>
        <w:rPr>
          <w:sz w:val="24"/>
          <w:szCs w:val="24"/>
          <w:rtl/>
        </w:rPr>
        <w:tab/>
      </w:r>
    </w:p>
    <w:p w:rsidR="009337C2" w:rsidRPr="00B3449C" w:rsidRDefault="009337C2" w:rsidP="009337C2">
      <w:pPr>
        <w:spacing w:line="276" w:lineRule="exact"/>
        <w:rPr>
          <w:b/>
          <w:bCs/>
          <w:sz w:val="24"/>
          <w:szCs w:val="24"/>
          <w:highlight w:val="green"/>
          <w:rtl/>
        </w:rPr>
      </w:pPr>
    </w:p>
    <w:p w:rsidR="009337C2" w:rsidRPr="003573CC" w:rsidRDefault="009337C2" w:rsidP="009337C2">
      <w:pPr>
        <w:spacing w:line="276" w:lineRule="exact"/>
        <w:rPr>
          <w:rFonts w:ascii="FrankRuehl" w:hAnsi="FrankRuehl" w:cs="FrankRuehl"/>
          <w:b/>
          <w:bCs/>
          <w:sz w:val="24"/>
          <w:szCs w:val="24"/>
          <w:rtl/>
        </w:rPr>
      </w:pPr>
      <w:r>
        <w:rPr>
          <w:rFonts w:ascii="FrankRuehl" w:hAnsi="FrankRuehl" w:cs="FrankRuehl" w:hint="cs"/>
          <w:b/>
          <w:bCs/>
          <w:sz w:val="24"/>
          <w:szCs w:val="24"/>
          <w:rtl/>
        </w:rPr>
        <w:t>ספרא אחרי מות פרק ח הל' ד</w:t>
      </w:r>
    </w:p>
    <w:p w:rsidR="009337C2" w:rsidRDefault="009337C2" w:rsidP="009337C2">
      <w:pPr>
        <w:spacing w:line="276" w:lineRule="exact"/>
        <w:rPr>
          <w:rFonts w:ascii="FrankRuehl" w:hAnsi="FrankRuehl" w:cs="FrankRuehl"/>
          <w:sz w:val="24"/>
          <w:szCs w:val="24"/>
          <w:rtl/>
        </w:rPr>
      </w:pPr>
      <w:r>
        <w:rPr>
          <w:rFonts w:ascii="FrankRuehl" w:hAnsi="FrankRuehl" w:cs="FrankRuehl"/>
          <w:sz w:val="24"/>
          <w:szCs w:val="24"/>
          <w:rtl/>
        </w:rPr>
        <w:t xml:space="preserve">וכיפר אשר ימשח אותו </w:t>
      </w:r>
      <w:r>
        <w:rPr>
          <w:rFonts w:ascii="FrankRuehl" w:hAnsi="FrankRuehl" w:cs="FrankRuehl" w:hint="cs"/>
          <w:sz w:val="24"/>
          <w:szCs w:val="24"/>
          <w:rtl/>
        </w:rPr>
        <w:t>-</w:t>
      </w:r>
      <w:r w:rsidRPr="003573CC">
        <w:rPr>
          <w:rFonts w:ascii="FrankRuehl" w:hAnsi="FrankRuehl" w:cs="FrankRuehl"/>
          <w:sz w:val="24"/>
          <w:szCs w:val="24"/>
          <w:rtl/>
        </w:rPr>
        <w:t xml:space="preserve"> מה תלמוד לומר? לפי שכל הפרשה אמורה באהרן, אין לי אלא אהרן עצמו, מנין לרבות כהן אחר? תלמוד לומר 'אשר ימשח אותו'. אין לי אלא משוח בשמן המשחה, מרובה בגדים מנין? תלמוד לומר 'ואשר ימלא את ידו'. מנין לרבות כהן אחר המתמנה? תלמוד לומר 'וכפר הכהן'.</w:t>
      </w:r>
    </w:p>
    <w:p w:rsidR="009337C2" w:rsidRDefault="009337C2" w:rsidP="009337C2">
      <w:pPr>
        <w:spacing w:line="276" w:lineRule="exact"/>
        <w:rPr>
          <w:rFonts w:ascii="FrankRuehl" w:hAnsi="FrankRuehl" w:cs="FrankRuehl"/>
          <w:sz w:val="24"/>
          <w:szCs w:val="24"/>
          <w:rtl/>
        </w:rPr>
      </w:pPr>
    </w:p>
    <w:p w:rsidR="009337C2" w:rsidRDefault="009337C2" w:rsidP="009337C2">
      <w:pPr>
        <w:spacing w:line="276" w:lineRule="exact"/>
        <w:rPr>
          <w:rFonts w:ascii="FrankRuehl" w:hAnsi="FrankRuehl" w:cs="FrankRuehl"/>
          <w:b/>
          <w:bCs/>
          <w:sz w:val="24"/>
          <w:szCs w:val="24"/>
          <w:rtl/>
        </w:rPr>
      </w:pPr>
      <w:r>
        <w:rPr>
          <w:rFonts w:ascii="FrankRuehl" w:hAnsi="FrankRuehl" w:cs="FrankRuehl" w:hint="cs"/>
          <w:b/>
          <w:bCs/>
          <w:sz w:val="24"/>
          <w:szCs w:val="24"/>
          <w:rtl/>
        </w:rPr>
        <w:t>ריטב"א יב. ד"ה הכי גרסינן</w:t>
      </w:r>
    </w:p>
    <w:p w:rsidR="009337C2" w:rsidRDefault="009337C2" w:rsidP="009337C2">
      <w:pPr>
        <w:spacing w:line="276" w:lineRule="exact"/>
        <w:rPr>
          <w:rFonts w:ascii="FrankRuehl" w:hAnsi="FrankRuehl" w:cs="FrankRuehl"/>
          <w:sz w:val="24"/>
          <w:szCs w:val="24"/>
          <w:highlight w:val="green"/>
          <w:rtl/>
        </w:rPr>
      </w:pPr>
      <w:r w:rsidRPr="003573CC">
        <w:rPr>
          <w:rFonts w:ascii="FrankRuehl" w:hAnsi="FrankRuehl" w:cs="FrankRuehl"/>
          <w:sz w:val="24"/>
          <w:szCs w:val="24"/>
          <w:rtl/>
        </w:rPr>
        <w:t>ואיכא למידק לפום האי ש</w:t>
      </w:r>
      <w:r>
        <w:rPr>
          <w:rFonts w:ascii="FrankRuehl" w:hAnsi="FrankRuehl" w:cs="FrankRuehl"/>
          <w:sz w:val="24"/>
          <w:szCs w:val="24"/>
          <w:rtl/>
        </w:rPr>
        <w:t>יטתא דהא לקמן במכילתין</w:t>
      </w:r>
      <w:r>
        <w:rPr>
          <w:rFonts w:ascii="FrankRuehl" w:hAnsi="FrankRuehl" w:cs="FrankRuehl" w:hint="cs"/>
          <w:sz w:val="24"/>
          <w:szCs w:val="24"/>
          <w:rtl/>
        </w:rPr>
        <w:t xml:space="preserve"> </w:t>
      </w:r>
      <w:r w:rsidRPr="003573CC">
        <w:rPr>
          <w:rFonts w:ascii="FrankRuehl" w:hAnsi="FrankRuehl" w:cs="FrankRuehl"/>
          <w:sz w:val="24"/>
          <w:szCs w:val="24"/>
          <w:rtl/>
        </w:rPr>
        <w:t>קתני תנא ארבע פייסות שהיו במקדש, וכיון שכל עבודת יום הכפורים אינה אלא בכהן גדול מה ענין פייסות ביום הכפורים, ומורי הרב תירץ לי דפייסות השנויות לקמן במכלתין לא נשנו אלא לשאר ימות השנה, ואיידי דאיירי בתרומת הדשן שבכל יום ויום ושהיו מפיסין עליו סיימינהו לכולהו ארבע פייסות.</w:t>
      </w:r>
      <w:r>
        <w:rPr>
          <w:rFonts w:ascii="FrankRuehl" w:hAnsi="FrankRuehl" w:cs="FrankRuehl" w:hint="cs"/>
          <w:sz w:val="24"/>
          <w:szCs w:val="24"/>
          <w:rtl/>
        </w:rPr>
        <w:t xml:space="preserve"> </w:t>
      </w:r>
      <w:r w:rsidRPr="003573CC">
        <w:rPr>
          <w:rFonts w:ascii="FrankRuehl" w:hAnsi="FrankRuehl" w:cs="FrankRuehl"/>
          <w:sz w:val="24"/>
          <w:szCs w:val="24"/>
          <w:rtl/>
        </w:rPr>
        <w:t xml:space="preserve">ובשם רבינו הגדול רבו ז"ל אמר לי שהיה סובר דמדאורייתא אין חובה בכהן גדול אלא בעבודת היום ממש, אבל תמידין ועבודות של כל יום ויום כשרות אפילו בכהן הדיוט, אלא דמצוה בכהן גדול טפי, ורבנן שוו חובה בכהן גדול אף בתמידין, ולא התירו אלא דברים שאינם עיקר עבודה כאותה </w:t>
      </w:r>
      <w:r>
        <w:rPr>
          <w:rFonts w:ascii="FrankRuehl" w:hAnsi="FrankRuehl" w:cs="FrankRuehl"/>
          <w:sz w:val="24"/>
          <w:szCs w:val="24"/>
          <w:rtl/>
        </w:rPr>
        <w:t xml:space="preserve">שאמרו </w:t>
      </w:r>
      <w:r w:rsidRPr="003573CC">
        <w:rPr>
          <w:rFonts w:ascii="FrankRuehl" w:hAnsi="FrankRuehl" w:cs="FrankRuehl"/>
          <w:sz w:val="24"/>
          <w:szCs w:val="24"/>
          <w:rtl/>
        </w:rPr>
        <w:t>קרצו ומירק אחר שחיטה על ידו, וכגון להפך במזלג, ולהזמין איברים להעלותן, והיכא דכהן גדול חלוש עושין עבודת תמידין אף בכהן הדיוט, והיינו דקתני תנא דיני פייסות במכילתין.</w:t>
      </w:r>
    </w:p>
    <w:p w:rsidR="009337C2" w:rsidRPr="003573CC" w:rsidRDefault="009337C2" w:rsidP="009337C2">
      <w:pPr>
        <w:spacing w:line="276" w:lineRule="exact"/>
        <w:rPr>
          <w:rFonts w:ascii="FrankRuehl" w:hAnsi="FrankRuehl" w:cs="FrankRuehl"/>
          <w:sz w:val="24"/>
          <w:szCs w:val="24"/>
          <w:rtl/>
        </w:rPr>
      </w:pPr>
    </w:p>
    <w:p w:rsidR="009337C2" w:rsidRPr="003573CC" w:rsidRDefault="009337C2" w:rsidP="009337C2">
      <w:pPr>
        <w:spacing w:line="276" w:lineRule="exact"/>
        <w:rPr>
          <w:rFonts w:ascii="FrankRuehl" w:hAnsi="FrankRuehl" w:cs="FrankRuehl"/>
          <w:b/>
          <w:bCs/>
          <w:sz w:val="24"/>
          <w:szCs w:val="24"/>
          <w:rtl/>
        </w:rPr>
      </w:pPr>
      <w:r w:rsidRPr="003573CC">
        <w:rPr>
          <w:rFonts w:ascii="FrankRuehl" w:hAnsi="FrankRuehl" w:cs="FrankRuehl" w:hint="cs"/>
          <w:b/>
          <w:bCs/>
          <w:sz w:val="24"/>
          <w:szCs w:val="24"/>
          <w:rtl/>
        </w:rPr>
        <w:t>אור שמח הל' עבודת יום הכיפורים פ"ד ה"א</w:t>
      </w:r>
    </w:p>
    <w:p w:rsidR="009337C2" w:rsidRPr="003573CC" w:rsidRDefault="009337C2" w:rsidP="009337C2">
      <w:pPr>
        <w:spacing w:line="276" w:lineRule="exact"/>
        <w:rPr>
          <w:rFonts w:ascii="FrankRuehl" w:hAnsi="FrankRuehl" w:cs="FrankRuehl"/>
          <w:sz w:val="24"/>
          <w:szCs w:val="24"/>
          <w:rtl/>
        </w:rPr>
      </w:pPr>
      <w:r w:rsidRPr="003573CC">
        <w:rPr>
          <w:rFonts w:ascii="FrankRuehl" w:hAnsi="FrankRuehl" w:cs="FrankRuehl"/>
          <w:sz w:val="24"/>
          <w:szCs w:val="24"/>
          <w:rtl/>
        </w:rPr>
        <w:t>ראה במלחמות (יומא ג' ע"א בדפי הרי"ף) שהאריך דכולהו ד' פייסות היו ביוהכ"פ, ושאינו כן דעת רבינו, רק שהביא דברי רבינו וקלסן, דתרוה"ד וכן סידור המערכה לא היה בכה"ג, וטעמו דכ"ז אינו רק מכשירי עבודה יעו"ש. והנה דעת רבינו לעיל פ"א (ה"ב) דאף מוסף שבת בכה"ג, אף דהוא ע"י מקרה, ואינו מקרבנות היום, משמע לרבינו לשון הגמ' (מנחות ע' ע"א) מוספין בהדי תמיד של שחר כו' על כל המוספין, אף של שבת, ואולי היה לרבינו מפורש באיזה מקום, ומסתברא כן, דאמרו בפרק כל התדיר (זבחים צ"א ע"א) אטו ר"ח למוספין דידיה אהני למוספי שבת לא אהני, יעו"ש, הרי דמקדשי בקדושת ר"ח, כן הכא מוספי שבת בקדושת יוהכ"פ מקדשי, ומצותן בכה"ג כמו תמידים.</w:t>
      </w:r>
      <w:r>
        <w:rPr>
          <w:rFonts w:ascii="FrankRuehl" w:hAnsi="FrankRuehl" w:cs="FrankRuehl" w:hint="cs"/>
          <w:sz w:val="24"/>
          <w:szCs w:val="24"/>
          <w:rtl/>
        </w:rPr>
        <w:t xml:space="preserve"> </w:t>
      </w:r>
      <w:r w:rsidRPr="003573CC">
        <w:rPr>
          <w:rFonts w:ascii="FrankRuehl" w:hAnsi="FrankRuehl" w:cs="FrankRuehl"/>
          <w:sz w:val="24"/>
          <w:szCs w:val="24"/>
          <w:rtl/>
        </w:rPr>
        <w:t xml:space="preserve">וגדולה מזו מצאנו בפרק תמיד נשחט (פסחים נ"ט ע"ב) דאימורי פסח שחל להיות י"ד בשבת קרבין ביום טוב, דהוי חלבי שבת, וקרבין ביום טוב, אלמא דפסח הבא בשבת מקרי חלבי שבת, אף על גב דהוא ענין מקרי שתלוי בקביעות ב"ד מקרי חלבי שבת, ואהני ליה קדושת שבת, כש"כ הכא דדחו יוהכ"פ דעבודתן בכה"ג כמו תמיד. אבל מכל מקום לא מצאנו לרבינו שיאמר דסילוק וסדור בזיכין והקטרת בזיכין יהיה </w:t>
      </w:r>
      <w:r w:rsidR="0096770B" w:rsidRPr="00B3449C">
        <w:rPr>
          <w:noProof/>
          <w:highlight w:val="green"/>
          <w:rtl/>
        </w:rPr>
        <w:lastRenderedPageBreak/>
        <mc:AlternateContent>
          <mc:Choice Requires="wps">
            <w:drawing>
              <wp:anchor distT="0" distB="0" distL="114300" distR="114300" simplePos="0" relativeHeight="251739136" behindDoc="1" locked="0" layoutInCell="1" allowOverlap="1" wp14:anchorId="3DE61FA7" wp14:editId="405914F9">
                <wp:simplePos x="0" y="0"/>
                <wp:positionH relativeFrom="margin">
                  <wp:align>center</wp:align>
                </wp:positionH>
                <wp:positionV relativeFrom="paragraph">
                  <wp:posOffset>-220980</wp:posOffset>
                </wp:positionV>
                <wp:extent cx="5765800" cy="2042160"/>
                <wp:effectExtent l="0" t="0" r="25400" b="15240"/>
                <wp:wrapNone/>
                <wp:docPr id="10" name="מלבן 10"/>
                <wp:cNvGraphicFramePr/>
                <a:graphic xmlns:a="http://schemas.openxmlformats.org/drawingml/2006/main">
                  <a:graphicData uri="http://schemas.microsoft.com/office/word/2010/wordprocessingShape">
                    <wps:wsp>
                      <wps:cNvSpPr/>
                      <wps:spPr>
                        <a:xfrm>
                          <a:off x="0" y="0"/>
                          <a:ext cx="5765800" cy="204216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8D473" id="מלבן 10" o:spid="_x0000_s1026" style="position:absolute;left:0;text-align:left;margin-left:0;margin-top:-17.4pt;width:454pt;height:160.8pt;z-index:-251577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ZCiAIAAAMFAAAOAAAAZHJzL2Uyb0RvYy54bWysVMtu2zAQvBfoPxC8N7INOQ8hcmA4cFEg&#10;SAI4Rc40RVkC+CpJW3b/ovei/Sz/Toe04jyaU1EfaC53ubsznNXl1VZJshHOt0aXdHgyoERobqpW&#10;r0r69WH+6ZwSH5iumDRalHQnPL2afPxw2dlCjExjZCUcQRLti86WtAnBFlnmeSMU8yfGCg1nbZxi&#10;AaZbZZVjHbIrmY0Gg9OsM66yznDhPU6vD046SfnrWvBwV9deBCJLit5CWl1al3HNJpesWDlmm5b3&#10;bbB/6EKxVqPoMdU1C4ysXftXKtVyZ7ypwwk3KjN13XKRMADNcPAGzaJhViQsIMfbI03+/6Xlt5t7&#10;R9oKbwd6NFN4o/2v/c/9j/1vgiPw01lfIGxh711veWwj2G3tVPwHDLJNnO6OnIptIByH47PT8fkA&#10;uTl8o0E+Gp6mrNnzdet8+CyMInFTUodHS1yyzY0PKInQp5BYzRvZVvNWymTs/Ew6smF4X8iiMh0l&#10;kvmAw5LO0y9iQIpX16QmHSBfDMaxMwbh1ZIFbJUFFV6vKGFyBUXz4FIvr257t1oeq+b52WiWv1ck&#10;Nn3NfHPoLmWIYaxQbYDoZatKCmrw629LHb0iybaHHsk/0B13S1Pt8FzOHHTsLZ+3KHIDwPfMQbhA&#10;g2EMd1hqaQDR9DtKGuO+v3ce46EneCnpMAiA/23NnACPXzSUdjHMc6QNycjHZyMY7qVn+dKj12pm&#10;8BZDjL3laRvjg3w6rZ1Rj5jZaawKF9MctQ9E98YsHAYUU8/FdJrCMC2WhRu9sDwmjzxFeh+2j8zZ&#10;XjgBmrs1T0PDijf6OcTGm9pM18HUbRLXM6+QSTQwaUkw/VchjvJLO0U9f7smfwAAAP//AwBQSwME&#10;FAAGAAgAAAAhAD4ka5beAAAACAEAAA8AAABkcnMvZG93bnJldi54bWxMj8FOwzAMhu9IvENkJG5b&#10;soGq0tWdGBICDiA20M5ZE9qKxClNtpa3x5zgaP/W7+8r15N34mSH2AVCWMwVCEt1MB01CO9v97Mc&#10;REyajHaBLMK3jbCuzs9KXZgw0taedqkRXEKx0AhtSn0hZaxb63Wch94SZx9h8DrxODTSDHrkcu/k&#10;UqlMet0Rf2h1b+9aW3/ujh7hadN87R+bxTbz7nXc0IN6eQ4K8fJiul2BSHZKf8fwi8/oUDHTIRzJ&#10;ROEQWCQhzK6uWYDjG5Xz5oCwzLMcZFXK/wLVDwAAAP//AwBQSwECLQAUAAYACAAAACEAtoM4kv4A&#10;AADhAQAAEwAAAAAAAAAAAAAAAAAAAAAAW0NvbnRlbnRfVHlwZXNdLnhtbFBLAQItABQABgAIAAAA&#10;IQA4/SH/1gAAAJQBAAALAAAAAAAAAAAAAAAAAC8BAABfcmVscy8ucmVsc1BLAQItABQABgAIAAAA&#10;IQApUoZCiAIAAAMFAAAOAAAAAAAAAAAAAAAAAC4CAABkcnMvZTJvRG9jLnhtbFBLAQItABQABgAI&#10;AAAAIQA+JGuW3gAAAAgBAAAPAAAAAAAAAAAAAAAAAOIEAABkcnMvZG93bnJldi54bWxQSwUGAAAA&#10;AAQABADzAAAA7QUAAAAA&#10;" fillcolor="window" strokecolor="#4472c4" strokeweight="1.5pt">
                <w10:wrap anchorx="margin"/>
              </v:rect>
            </w:pict>
          </mc:Fallback>
        </mc:AlternateContent>
      </w:r>
      <w:r w:rsidRPr="003573CC">
        <w:rPr>
          <w:rFonts w:ascii="FrankRuehl" w:hAnsi="FrankRuehl" w:cs="FrankRuehl"/>
          <w:sz w:val="24"/>
          <w:szCs w:val="24"/>
          <w:rtl/>
        </w:rPr>
        <w:t>בכ"ג דוקא ביוהכ"פ, וטע</w:t>
      </w:r>
      <w:r>
        <w:rPr>
          <w:rFonts w:ascii="FrankRuehl" w:hAnsi="FrankRuehl" w:cs="FrankRuehl"/>
          <w:sz w:val="24"/>
          <w:szCs w:val="24"/>
          <w:rtl/>
        </w:rPr>
        <w:t>מו, כיון דהוא מונח משבת שעבר</w:t>
      </w:r>
      <w:r>
        <w:rPr>
          <w:rFonts w:ascii="FrankRuehl" w:hAnsi="FrankRuehl" w:cs="FrankRuehl" w:hint="cs"/>
          <w:sz w:val="24"/>
          <w:szCs w:val="24"/>
          <w:rtl/>
        </w:rPr>
        <w:t xml:space="preserve"> </w:t>
      </w:r>
      <w:r w:rsidRPr="003573CC">
        <w:rPr>
          <w:rFonts w:ascii="FrankRuehl" w:hAnsi="FrankRuehl" w:cs="FrankRuehl"/>
          <w:sz w:val="24"/>
          <w:szCs w:val="24"/>
          <w:rtl/>
        </w:rPr>
        <w:t>אין זה מיוחד לאותו יום דיהיה בכ"ג, אף על גב דסלוק בזיכין הוי כמו קמיצה, כמו דאמרו מנחות (דף ח' ע"א), מכל מקום אם יהא מונח על השולחן עד שבת הבאה כשרים להקטרה, ולא מיפסלי בלינה, וכמבואר בזבחים (דף צ' ע"א) ועיי"ש בתוס' ד"ה לשולחן מדמינן ליה, א"כ אין זה מיוחד לאותו יום, ולא בעי שיהיה בכה"ג, והכי משמע פשטא דמשנתינו דפרק שתי הלחם כו' (מנחות צ"ט ע"ב) וד' כהנים נכנסין כו', הקטירו הבזיכין כו', חל יוהכ"פ להיות בשבת כו' מתחלקות לערב, משמע דכל הסדר הוא ג"כ ביוהכ"פ שחל בשבת ולכן לא ז</w:t>
      </w:r>
      <w:r>
        <w:rPr>
          <w:rFonts w:ascii="FrankRuehl" w:hAnsi="FrankRuehl" w:cs="FrankRuehl"/>
          <w:sz w:val="24"/>
          <w:szCs w:val="24"/>
          <w:rtl/>
        </w:rPr>
        <w:t>כר רבינו דין בזיכין בכה"ג וברו</w:t>
      </w:r>
      <w:r>
        <w:rPr>
          <w:rFonts w:ascii="FrankRuehl" w:hAnsi="FrankRuehl" w:cs="FrankRuehl" w:hint="cs"/>
          <w:sz w:val="24"/>
          <w:szCs w:val="24"/>
          <w:rtl/>
        </w:rPr>
        <w:t xml:space="preserve">ר. </w:t>
      </w:r>
      <w:r w:rsidRPr="003573CC">
        <w:rPr>
          <w:rFonts w:ascii="FrankRuehl" w:hAnsi="FrankRuehl" w:cs="FrankRuehl"/>
          <w:sz w:val="24"/>
          <w:szCs w:val="24"/>
          <w:rtl/>
        </w:rPr>
        <w:t>וכן נ"ל דקדושת יוהכ"פ חיילא על שבת ג"כ, להקדישו בשבות מכל אכילה, דקדושת יוהכ"פ גם לשבת אהני שיוקדש בענות נפש, ולכן ביוהכ"פ שחל בשבת וחולה שיש בו סכנה שצריך לאכול מורה אני דלא מקדש גם על שבת, דזה קדושת שבת אז שלא לאכול בו, ופשוט</w:t>
      </w:r>
      <w:r>
        <w:rPr>
          <w:rFonts w:ascii="FrankRuehl" w:hAnsi="FrankRuehl" w:cs="FrankRuehl" w:hint="cs"/>
          <w:sz w:val="24"/>
          <w:szCs w:val="24"/>
          <w:rtl/>
        </w:rPr>
        <w:t>.</w:t>
      </w:r>
    </w:p>
    <w:p w:rsidR="009337C2" w:rsidRDefault="009337C2" w:rsidP="009337C2">
      <w:pPr>
        <w:spacing w:line="276" w:lineRule="exact"/>
        <w:rPr>
          <w:rFonts w:ascii="FrankRuehl" w:hAnsi="FrankRuehl" w:cs="FrankRuehl"/>
          <w:sz w:val="24"/>
          <w:szCs w:val="24"/>
          <w:highlight w:val="green"/>
          <w:rtl/>
        </w:rPr>
      </w:pPr>
    </w:p>
    <w:p w:rsidR="009337C2" w:rsidRPr="00B3449C" w:rsidRDefault="009337C2" w:rsidP="009337C2">
      <w:pPr>
        <w:spacing w:line="276" w:lineRule="exact"/>
        <w:rPr>
          <w:rFonts w:ascii="FrankRuehl" w:hAnsi="FrankRuehl" w:cs="FrankRuehl"/>
          <w:sz w:val="24"/>
          <w:szCs w:val="24"/>
          <w:highlight w:val="green"/>
          <w:rtl/>
        </w:rPr>
      </w:pPr>
    </w:p>
    <w:p w:rsidR="009337C2" w:rsidRDefault="009337C2" w:rsidP="009337C2">
      <w:pPr>
        <w:spacing w:before="200" w:line="276" w:lineRule="exact"/>
        <w:ind w:firstLine="227"/>
        <w:rPr>
          <w:sz w:val="24"/>
          <w:szCs w:val="24"/>
          <w:rtl/>
        </w:rPr>
      </w:pPr>
      <w:r w:rsidRPr="00B3449C">
        <w:rPr>
          <w:rFonts w:hint="cs"/>
          <w:sz w:val="24"/>
          <w:szCs w:val="24"/>
          <w:rtl/>
        </w:rPr>
        <w:t xml:space="preserve">בשיעורים הקודמים עסקנו בדיני הכהן הגדול. בשיעור זה נבחן אלו עבודות צריכות להיעשות דווקא על ידי כהן גדול. </w:t>
      </w:r>
    </w:p>
    <w:p w:rsidR="009337C2" w:rsidRDefault="009337C2" w:rsidP="009337C2">
      <w:pPr>
        <w:spacing w:before="200" w:line="276" w:lineRule="exact"/>
        <w:ind w:firstLine="227"/>
        <w:rPr>
          <w:sz w:val="24"/>
          <w:szCs w:val="24"/>
          <w:rtl/>
        </w:rPr>
      </w:pPr>
      <w:r>
        <w:rPr>
          <w:rFonts w:hint="cs"/>
          <w:sz w:val="24"/>
          <w:szCs w:val="24"/>
          <w:rtl/>
        </w:rPr>
        <w:t>החובה שעבודת יום הכיפורים תיעשה דווקא על ידי אהרן הכהן נלמדת מכך שפרשיית סדר העבודה אמורה כולה ביחס לאהרן. עם זאת, בסוף הפרשייה כתוב:</w:t>
      </w:r>
    </w:p>
    <w:p w:rsidR="009337C2" w:rsidRPr="00B3449C" w:rsidRDefault="009337C2" w:rsidP="009337C2">
      <w:pPr>
        <w:spacing w:before="200" w:line="276" w:lineRule="exact"/>
        <w:ind w:left="720"/>
        <w:rPr>
          <w:sz w:val="20"/>
          <w:szCs w:val="20"/>
          <w:rtl/>
        </w:rPr>
      </w:pPr>
      <w:r w:rsidRPr="00B3449C">
        <w:rPr>
          <w:sz w:val="24"/>
          <w:szCs w:val="24"/>
          <w:rtl/>
        </w:rPr>
        <w:t>וכפר הכהן אשר ימשח אתו ואשר ימלא את ידו לכהן תחת אביו</w:t>
      </w:r>
      <w:r>
        <w:rPr>
          <w:rFonts w:hint="cs"/>
          <w:sz w:val="24"/>
          <w:szCs w:val="24"/>
          <w:rtl/>
        </w:rPr>
        <w:t>,</w:t>
      </w:r>
      <w:r>
        <w:rPr>
          <w:sz w:val="24"/>
          <w:szCs w:val="24"/>
          <w:rtl/>
        </w:rPr>
        <w:t xml:space="preserve"> ולבש את בגדי הבד בגדי הקדש</w:t>
      </w:r>
      <w:r>
        <w:rPr>
          <w:rFonts w:hint="cs"/>
          <w:sz w:val="24"/>
          <w:szCs w:val="24"/>
          <w:rtl/>
        </w:rPr>
        <w:t>.</w:t>
      </w:r>
      <w:r w:rsidRPr="00B3449C">
        <w:rPr>
          <w:sz w:val="24"/>
          <w:szCs w:val="24"/>
          <w:rtl/>
        </w:rPr>
        <w:t xml:space="preserve"> וכפר את מקדש הקדש ואת אהל מועד ואת המזבח יכפר</w:t>
      </w:r>
      <w:r>
        <w:rPr>
          <w:rFonts w:hint="cs"/>
          <w:sz w:val="24"/>
          <w:szCs w:val="24"/>
          <w:rtl/>
        </w:rPr>
        <w:t>,</w:t>
      </w:r>
      <w:r w:rsidRPr="00B3449C">
        <w:rPr>
          <w:sz w:val="24"/>
          <w:szCs w:val="24"/>
          <w:rtl/>
        </w:rPr>
        <w:t xml:space="preserve"> </w:t>
      </w:r>
      <w:r>
        <w:rPr>
          <w:sz w:val="24"/>
          <w:szCs w:val="24"/>
          <w:rtl/>
        </w:rPr>
        <w:t>ועל הכהנים ועל כל עם הקהל יכפר</w:t>
      </w:r>
      <w:r>
        <w:rPr>
          <w:rFonts w:hint="cs"/>
          <w:sz w:val="24"/>
          <w:szCs w:val="24"/>
          <w:rtl/>
        </w:rPr>
        <w:t>.</w:t>
      </w:r>
      <w:r w:rsidRPr="00B3449C">
        <w:rPr>
          <w:sz w:val="24"/>
          <w:szCs w:val="24"/>
          <w:rtl/>
        </w:rPr>
        <w:t xml:space="preserve"> והיתה זאת לכם לחקת עולם לכפר על בני ישראל מכל חטאתם אחת בשנה</w:t>
      </w:r>
      <w:r>
        <w:rPr>
          <w:rFonts w:hint="cs"/>
          <w:sz w:val="24"/>
          <w:szCs w:val="24"/>
          <w:rtl/>
        </w:rPr>
        <w:t>,</w:t>
      </w:r>
      <w:r w:rsidRPr="00B3449C">
        <w:rPr>
          <w:sz w:val="24"/>
          <w:szCs w:val="24"/>
          <w:rtl/>
        </w:rPr>
        <w:t xml:space="preserve"> ויעש כאשר צוה ה' את משה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[ויקרא טז, לב-לד]</w:t>
      </w:r>
    </w:p>
    <w:p w:rsidR="009337C2" w:rsidRDefault="009337C2" w:rsidP="009337C2">
      <w:pPr>
        <w:spacing w:before="200" w:line="276" w:lineRule="exact"/>
        <w:ind w:firstLine="227"/>
        <w:rPr>
          <w:sz w:val="24"/>
          <w:szCs w:val="24"/>
          <w:rtl/>
        </w:rPr>
      </w:pPr>
      <w:r>
        <w:rPr>
          <w:rFonts w:hint="cs"/>
          <w:sz w:val="24"/>
          <w:szCs w:val="24"/>
          <w:rtl/>
        </w:rPr>
        <w:t>מפסוקים אלו עולה כי עבודה זו מתקיימת לדורות על ידי הכהן הגדול העומד תחת אהרן הכהן. וכן נאמר בספרא:</w:t>
      </w:r>
    </w:p>
    <w:p w:rsidR="009337C2" w:rsidRPr="00B3449C" w:rsidRDefault="009337C2" w:rsidP="009337C2">
      <w:pPr>
        <w:spacing w:before="200" w:line="276" w:lineRule="exact"/>
        <w:ind w:left="720"/>
        <w:rPr>
          <w:sz w:val="24"/>
          <w:szCs w:val="24"/>
          <w:rtl/>
        </w:rPr>
      </w:pPr>
      <w:r w:rsidRPr="00B3449C">
        <w:rPr>
          <w:sz w:val="24"/>
          <w:szCs w:val="24"/>
          <w:rtl/>
        </w:rPr>
        <w:t xml:space="preserve">וכיפר אשר ימשח אותו </w:t>
      </w:r>
      <w:r>
        <w:rPr>
          <w:sz w:val="24"/>
          <w:szCs w:val="24"/>
          <w:rtl/>
        </w:rPr>
        <w:t>–</w:t>
      </w:r>
      <w:r>
        <w:rPr>
          <w:rFonts w:hint="cs"/>
          <w:sz w:val="24"/>
          <w:szCs w:val="24"/>
          <w:rtl/>
        </w:rPr>
        <w:t xml:space="preserve"> </w:t>
      </w:r>
      <w:r w:rsidRPr="00B3449C">
        <w:rPr>
          <w:sz w:val="24"/>
          <w:szCs w:val="24"/>
          <w:rtl/>
        </w:rPr>
        <w:t>מה תלמוד לומר</w:t>
      </w:r>
      <w:r>
        <w:rPr>
          <w:rFonts w:hint="cs"/>
          <w:sz w:val="24"/>
          <w:szCs w:val="24"/>
          <w:rtl/>
        </w:rPr>
        <w:t>?</w:t>
      </w:r>
      <w:r w:rsidRPr="00B3449C">
        <w:rPr>
          <w:sz w:val="24"/>
          <w:szCs w:val="24"/>
          <w:rtl/>
        </w:rPr>
        <w:t xml:space="preserve"> לפי שכל הפרשה אמורה באהרן</w:t>
      </w:r>
      <w:r>
        <w:rPr>
          <w:rFonts w:hint="cs"/>
          <w:sz w:val="24"/>
          <w:szCs w:val="24"/>
          <w:rtl/>
        </w:rPr>
        <w:t>,</w:t>
      </w:r>
      <w:r w:rsidRPr="00B3449C">
        <w:rPr>
          <w:sz w:val="24"/>
          <w:szCs w:val="24"/>
          <w:rtl/>
        </w:rPr>
        <w:t xml:space="preserve"> אין לי אלא אהרן עצמו</w:t>
      </w:r>
      <w:r>
        <w:rPr>
          <w:rFonts w:hint="cs"/>
          <w:sz w:val="24"/>
          <w:szCs w:val="24"/>
          <w:rtl/>
        </w:rPr>
        <w:t>,</w:t>
      </w:r>
      <w:r w:rsidRPr="00B3449C">
        <w:rPr>
          <w:sz w:val="24"/>
          <w:szCs w:val="24"/>
          <w:rtl/>
        </w:rPr>
        <w:t xml:space="preserve"> מנין לרבות כהן אחר</w:t>
      </w:r>
      <w:r>
        <w:rPr>
          <w:rFonts w:hint="cs"/>
          <w:sz w:val="24"/>
          <w:szCs w:val="24"/>
          <w:rtl/>
        </w:rPr>
        <w:t>?</w:t>
      </w:r>
      <w:r w:rsidRPr="00B3449C">
        <w:rPr>
          <w:sz w:val="24"/>
          <w:szCs w:val="24"/>
          <w:rtl/>
        </w:rPr>
        <w:t xml:space="preserve"> תלמוד לומר </w:t>
      </w:r>
      <w:r>
        <w:rPr>
          <w:rFonts w:hint="cs"/>
          <w:sz w:val="24"/>
          <w:szCs w:val="24"/>
          <w:rtl/>
        </w:rPr>
        <w:t>'</w:t>
      </w:r>
      <w:r w:rsidRPr="00B3449C">
        <w:rPr>
          <w:sz w:val="24"/>
          <w:szCs w:val="24"/>
          <w:rtl/>
        </w:rPr>
        <w:t>אשר ימשח אותו</w:t>
      </w:r>
      <w:r>
        <w:rPr>
          <w:rFonts w:hint="cs"/>
          <w:sz w:val="24"/>
          <w:szCs w:val="24"/>
          <w:rtl/>
        </w:rPr>
        <w:t>'.</w:t>
      </w:r>
      <w:r w:rsidRPr="00B3449C">
        <w:rPr>
          <w:sz w:val="24"/>
          <w:szCs w:val="24"/>
          <w:rtl/>
        </w:rPr>
        <w:t xml:space="preserve"> אין לי אלא משוח בשמן המשחה</w:t>
      </w:r>
      <w:r>
        <w:rPr>
          <w:rFonts w:hint="cs"/>
          <w:sz w:val="24"/>
          <w:szCs w:val="24"/>
          <w:rtl/>
        </w:rPr>
        <w:t>,</w:t>
      </w:r>
      <w:r w:rsidRPr="00B3449C">
        <w:rPr>
          <w:sz w:val="24"/>
          <w:szCs w:val="24"/>
          <w:rtl/>
        </w:rPr>
        <w:t xml:space="preserve"> מרובה בגדים מנין</w:t>
      </w:r>
      <w:r>
        <w:rPr>
          <w:rFonts w:hint="cs"/>
          <w:sz w:val="24"/>
          <w:szCs w:val="24"/>
          <w:rtl/>
        </w:rPr>
        <w:t>?</w:t>
      </w:r>
      <w:r w:rsidRPr="00B3449C">
        <w:rPr>
          <w:sz w:val="24"/>
          <w:szCs w:val="24"/>
          <w:rtl/>
        </w:rPr>
        <w:t xml:space="preserve"> תלמוד לומר </w:t>
      </w:r>
      <w:r>
        <w:rPr>
          <w:rFonts w:hint="cs"/>
          <w:sz w:val="24"/>
          <w:szCs w:val="24"/>
          <w:rtl/>
        </w:rPr>
        <w:t>'</w:t>
      </w:r>
      <w:r w:rsidRPr="00B3449C">
        <w:rPr>
          <w:sz w:val="24"/>
          <w:szCs w:val="24"/>
          <w:rtl/>
        </w:rPr>
        <w:t>ואשר ימלא את ידו</w:t>
      </w:r>
      <w:r>
        <w:rPr>
          <w:rFonts w:hint="cs"/>
          <w:sz w:val="24"/>
          <w:szCs w:val="24"/>
          <w:rtl/>
        </w:rPr>
        <w:t>'.</w:t>
      </w:r>
      <w:r w:rsidRPr="00B3449C">
        <w:rPr>
          <w:sz w:val="24"/>
          <w:szCs w:val="24"/>
          <w:rtl/>
        </w:rPr>
        <w:t xml:space="preserve"> מנין לרבות כהן אחר המתמנה</w:t>
      </w:r>
      <w:r>
        <w:rPr>
          <w:rFonts w:hint="cs"/>
          <w:sz w:val="24"/>
          <w:szCs w:val="24"/>
          <w:rtl/>
        </w:rPr>
        <w:t>?</w:t>
      </w:r>
      <w:r w:rsidRPr="00B3449C">
        <w:rPr>
          <w:sz w:val="24"/>
          <w:szCs w:val="24"/>
          <w:rtl/>
        </w:rPr>
        <w:t xml:space="preserve"> תלמוד לומר </w:t>
      </w:r>
      <w:r w:rsidRPr="00B3449C">
        <w:rPr>
          <w:rFonts w:hint="cs"/>
          <w:sz w:val="24"/>
          <w:szCs w:val="24"/>
          <w:rtl/>
        </w:rPr>
        <w:t>'</w:t>
      </w:r>
      <w:r w:rsidRPr="00B3449C">
        <w:rPr>
          <w:sz w:val="24"/>
          <w:szCs w:val="24"/>
          <w:rtl/>
        </w:rPr>
        <w:t>וכפר הכהן</w:t>
      </w:r>
      <w:r w:rsidRPr="00B3449C">
        <w:rPr>
          <w:rFonts w:hint="cs"/>
          <w:sz w:val="24"/>
          <w:szCs w:val="24"/>
          <w:rtl/>
        </w:rPr>
        <w:t>'</w:t>
      </w:r>
      <w:r w:rsidRPr="00B3449C">
        <w:rPr>
          <w:sz w:val="24"/>
          <w:szCs w:val="24"/>
          <w:rtl/>
        </w:rPr>
        <w:t>.</w:t>
      </w:r>
      <w:r w:rsidRPr="00B3449C">
        <w:rPr>
          <w:sz w:val="24"/>
          <w:szCs w:val="24"/>
          <w:rtl/>
        </w:rPr>
        <w:tab/>
      </w:r>
      <w:r w:rsidRPr="00B3449C">
        <w:rPr>
          <w:sz w:val="24"/>
          <w:szCs w:val="24"/>
          <w:rtl/>
        </w:rPr>
        <w:tab/>
      </w:r>
      <w:r w:rsidRPr="00B3449C">
        <w:rPr>
          <w:sz w:val="24"/>
          <w:szCs w:val="24"/>
          <w:rtl/>
        </w:rPr>
        <w:tab/>
      </w:r>
      <w:r w:rsidRPr="00B3449C">
        <w:rPr>
          <w:rFonts w:hint="cs"/>
          <w:sz w:val="24"/>
          <w:szCs w:val="24"/>
          <w:rtl/>
        </w:rPr>
        <w:t xml:space="preserve">      </w:t>
      </w:r>
      <w:r w:rsidRPr="00B3449C">
        <w:rPr>
          <w:rFonts w:hint="cs"/>
          <w:sz w:val="20"/>
          <w:szCs w:val="20"/>
          <w:rtl/>
        </w:rPr>
        <w:t>[ספרא אחרי מות פרק ח הל' ד]</w:t>
      </w:r>
    </w:p>
    <w:p w:rsidR="009337C2" w:rsidRDefault="009337C2" w:rsidP="009337C2">
      <w:pPr>
        <w:spacing w:before="200" w:line="276" w:lineRule="exact"/>
        <w:ind w:firstLine="227"/>
        <w:rPr>
          <w:sz w:val="24"/>
          <w:szCs w:val="24"/>
          <w:rtl/>
        </w:rPr>
      </w:pPr>
      <w:r>
        <w:rPr>
          <w:rFonts w:hint="cs"/>
          <w:sz w:val="24"/>
          <w:szCs w:val="24"/>
          <w:rtl/>
        </w:rPr>
        <w:t>וכן מפורש בברייתא המובאת במסכת הוריות, המונה את דיניו הייחודיים של הכהן הגדול:</w:t>
      </w:r>
    </w:p>
    <w:p w:rsidR="009337C2" w:rsidRPr="00B3449C" w:rsidRDefault="009337C2" w:rsidP="009337C2">
      <w:pPr>
        <w:spacing w:before="200" w:line="276" w:lineRule="exact"/>
        <w:ind w:firstLine="720"/>
        <w:rPr>
          <w:sz w:val="20"/>
          <w:szCs w:val="20"/>
          <w:rtl/>
        </w:rPr>
      </w:pPr>
      <w:r w:rsidRPr="00B3449C">
        <w:rPr>
          <w:sz w:val="24"/>
          <w:szCs w:val="24"/>
          <w:rtl/>
        </w:rPr>
        <w:t>וכל עבודת יום הכפורים אינה כשרה אלא בו</w:t>
      </w:r>
      <w:r w:rsidRPr="00B3449C">
        <w:rPr>
          <w:rFonts w:hint="cs"/>
          <w:sz w:val="24"/>
          <w:szCs w:val="24"/>
          <w:rtl/>
        </w:rPr>
        <w:t>.</w:t>
      </w:r>
      <w:r w:rsidRPr="00B3449C">
        <w:rPr>
          <w:sz w:val="24"/>
          <w:szCs w:val="24"/>
          <w:rtl/>
        </w:rPr>
        <w:tab/>
      </w:r>
      <w:r w:rsidRPr="00B3449C">
        <w:rPr>
          <w:sz w:val="24"/>
          <w:szCs w:val="24"/>
          <w:rtl/>
        </w:rPr>
        <w:tab/>
      </w:r>
      <w:r w:rsidRPr="00B3449C">
        <w:rPr>
          <w:sz w:val="24"/>
          <w:szCs w:val="24"/>
          <w:rtl/>
        </w:rPr>
        <w:tab/>
      </w:r>
      <w:r w:rsidRPr="00B3449C">
        <w:rPr>
          <w:sz w:val="24"/>
          <w:szCs w:val="24"/>
          <w:rtl/>
        </w:rPr>
        <w:tab/>
      </w:r>
      <w:r w:rsidRPr="00B3449C">
        <w:rPr>
          <w:rFonts w:hint="cs"/>
          <w:sz w:val="24"/>
          <w:szCs w:val="24"/>
          <w:rtl/>
        </w:rPr>
        <w:t xml:space="preserve">    </w:t>
      </w:r>
      <w:r w:rsidRPr="00B3449C">
        <w:rPr>
          <w:rFonts w:hint="cs"/>
          <w:sz w:val="20"/>
          <w:szCs w:val="20"/>
          <w:rtl/>
        </w:rPr>
        <w:t>[הוריות יב:]</w:t>
      </w:r>
    </w:p>
    <w:p w:rsidR="009337C2" w:rsidRDefault="009337C2" w:rsidP="009337C2">
      <w:pPr>
        <w:spacing w:before="200" w:line="276" w:lineRule="exact"/>
        <w:ind w:firstLine="227"/>
        <w:rPr>
          <w:sz w:val="24"/>
          <w:szCs w:val="24"/>
          <w:rtl/>
        </w:rPr>
      </w:pPr>
      <w:r>
        <w:rPr>
          <w:rFonts w:hint="cs"/>
          <w:sz w:val="24"/>
          <w:szCs w:val="24"/>
          <w:rtl/>
        </w:rPr>
        <w:t xml:space="preserve">בפשטות, מקורות אלו </w:t>
      </w:r>
      <w:r w:rsidRPr="006101A6">
        <w:rPr>
          <w:rFonts w:hint="cs"/>
          <w:sz w:val="24"/>
          <w:szCs w:val="24"/>
          <w:rtl/>
        </w:rPr>
        <w:t>מלמדים על דין בעבודות הכפרה והכניסה לקודש הקדשים</w:t>
      </w:r>
      <w:r>
        <w:rPr>
          <w:rFonts w:hint="cs"/>
          <w:sz w:val="24"/>
          <w:szCs w:val="24"/>
          <w:rtl/>
        </w:rPr>
        <w:t xml:space="preserve">, הקובע כי </w:t>
      </w:r>
      <w:r w:rsidRPr="006101A6">
        <w:rPr>
          <w:rFonts w:hint="cs"/>
          <w:sz w:val="24"/>
          <w:szCs w:val="24"/>
          <w:rtl/>
        </w:rPr>
        <w:t xml:space="preserve">עבודות אלו צריכות להיעשות על ידי הכהן הגדול. לפי זה, לכאורה, אין מניעה ששאר העבודות הנעשות ביום זה, שאינן חלק מסדר העבודה </w:t>
      </w:r>
      <w:r w:rsidRPr="006101A6">
        <w:rPr>
          <w:sz w:val="24"/>
          <w:szCs w:val="24"/>
          <w:rtl/>
        </w:rPr>
        <w:t>–</w:t>
      </w:r>
      <w:r w:rsidRPr="006101A6">
        <w:rPr>
          <w:rFonts w:hint="cs"/>
          <w:sz w:val="24"/>
          <w:szCs w:val="24"/>
          <w:rtl/>
        </w:rPr>
        <w:t xml:space="preserve"> כדוגמת התמידים</w:t>
      </w:r>
      <w:r>
        <w:rPr>
          <w:rFonts w:hint="cs"/>
          <w:sz w:val="24"/>
          <w:szCs w:val="24"/>
          <w:rtl/>
        </w:rPr>
        <w:t xml:space="preserve"> והמוספים הקרבים ביום הכיפורים </w:t>
      </w:r>
      <w:r>
        <w:rPr>
          <w:sz w:val="24"/>
          <w:szCs w:val="24"/>
          <w:rtl/>
        </w:rPr>
        <w:t>–</w:t>
      </w:r>
      <w:r>
        <w:rPr>
          <w:rFonts w:hint="cs"/>
          <w:sz w:val="24"/>
          <w:szCs w:val="24"/>
          <w:rtl/>
        </w:rPr>
        <w:t xml:space="preserve"> ייעשו על ידי שאר הכהנים. עם זאת, המשניות לאורך המסכת מפרטות כיצד הכהן הגדול מקריב גם את התמידים והמוספים ואת שאר עבודות היום:</w:t>
      </w:r>
    </w:p>
    <w:p w:rsidR="009337C2" w:rsidRDefault="009337C2" w:rsidP="009337C2">
      <w:pPr>
        <w:spacing w:before="200" w:line="276" w:lineRule="exact"/>
        <w:ind w:left="720"/>
        <w:rPr>
          <w:sz w:val="24"/>
          <w:szCs w:val="24"/>
          <w:rtl/>
        </w:rPr>
      </w:pPr>
      <w:r w:rsidRPr="00E7670D">
        <w:rPr>
          <w:sz w:val="24"/>
          <w:szCs w:val="24"/>
          <w:rtl/>
        </w:rPr>
        <w:t>פרסו סדין של בוץ בינו לבין העם</w:t>
      </w:r>
      <w:r>
        <w:rPr>
          <w:rFonts w:hint="cs"/>
          <w:sz w:val="24"/>
          <w:szCs w:val="24"/>
          <w:rtl/>
        </w:rPr>
        <w:t>,</w:t>
      </w:r>
      <w:r w:rsidRPr="00E7670D">
        <w:rPr>
          <w:sz w:val="24"/>
          <w:szCs w:val="24"/>
          <w:rtl/>
        </w:rPr>
        <w:t xml:space="preserve"> פשט ירד וטבל עלה ונסתפג</w:t>
      </w:r>
      <w:r>
        <w:rPr>
          <w:rFonts w:hint="cs"/>
          <w:sz w:val="24"/>
          <w:szCs w:val="24"/>
          <w:rtl/>
        </w:rPr>
        <w:t>,</w:t>
      </w:r>
      <w:r w:rsidRPr="00E7670D">
        <w:rPr>
          <w:sz w:val="24"/>
          <w:szCs w:val="24"/>
          <w:rtl/>
        </w:rPr>
        <w:t xml:space="preserve"> הביאו לו בגדי זהב ולבש וק</w:t>
      </w:r>
      <w:r>
        <w:rPr>
          <w:rFonts w:hint="cs"/>
          <w:sz w:val="24"/>
          <w:szCs w:val="24"/>
          <w:rtl/>
        </w:rPr>
        <w:t>י</w:t>
      </w:r>
      <w:r w:rsidRPr="00E7670D">
        <w:rPr>
          <w:sz w:val="24"/>
          <w:szCs w:val="24"/>
          <w:rtl/>
        </w:rPr>
        <w:t>דש ידיו ורגליו</w:t>
      </w:r>
      <w:r>
        <w:rPr>
          <w:rFonts w:hint="cs"/>
          <w:sz w:val="24"/>
          <w:szCs w:val="24"/>
          <w:rtl/>
        </w:rPr>
        <w:t>.</w:t>
      </w:r>
      <w:r w:rsidRPr="00E7670D">
        <w:rPr>
          <w:sz w:val="24"/>
          <w:szCs w:val="24"/>
          <w:rtl/>
        </w:rPr>
        <w:t xml:space="preserve"> הביאו לו את התמיד</w:t>
      </w:r>
      <w:r>
        <w:rPr>
          <w:rFonts w:hint="cs"/>
          <w:sz w:val="24"/>
          <w:szCs w:val="24"/>
          <w:rtl/>
        </w:rPr>
        <w:t>,</w:t>
      </w:r>
      <w:r w:rsidRPr="00E7670D">
        <w:rPr>
          <w:sz w:val="24"/>
          <w:szCs w:val="24"/>
          <w:rtl/>
        </w:rPr>
        <w:t xml:space="preserve"> קרצו ומרק אחר שחיטה על ידו</w:t>
      </w:r>
      <w:r>
        <w:rPr>
          <w:rFonts w:hint="cs"/>
          <w:sz w:val="24"/>
          <w:szCs w:val="24"/>
          <w:rtl/>
        </w:rPr>
        <w:t>.</w:t>
      </w:r>
      <w:r w:rsidRPr="00E7670D">
        <w:rPr>
          <w:sz w:val="24"/>
          <w:szCs w:val="24"/>
          <w:rtl/>
        </w:rPr>
        <w:t xml:space="preserve"> ק</w:t>
      </w:r>
      <w:r>
        <w:rPr>
          <w:rFonts w:hint="cs"/>
          <w:sz w:val="24"/>
          <w:szCs w:val="24"/>
          <w:rtl/>
        </w:rPr>
        <w:t>י</w:t>
      </w:r>
      <w:r w:rsidRPr="00E7670D">
        <w:rPr>
          <w:sz w:val="24"/>
          <w:szCs w:val="24"/>
          <w:rtl/>
        </w:rPr>
        <w:t>בל את הדם וזרקו</w:t>
      </w:r>
      <w:r>
        <w:rPr>
          <w:rFonts w:hint="cs"/>
          <w:sz w:val="24"/>
          <w:szCs w:val="24"/>
          <w:rtl/>
        </w:rPr>
        <w:t>,</w:t>
      </w:r>
      <w:r w:rsidRPr="00E7670D">
        <w:rPr>
          <w:sz w:val="24"/>
          <w:szCs w:val="24"/>
          <w:rtl/>
        </w:rPr>
        <w:t xml:space="preserve"> נכנס להקטיר קטורת של שחר ולהטיב את הנרות</w:t>
      </w:r>
      <w:r>
        <w:rPr>
          <w:rFonts w:hint="cs"/>
          <w:sz w:val="24"/>
          <w:szCs w:val="24"/>
          <w:rtl/>
        </w:rPr>
        <w:t>,</w:t>
      </w:r>
      <w:r w:rsidRPr="00E7670D">
        <w:rPr>
          <w:sz w:val="24"/>
          <w:szCs w:val="24"/>
          <w:rtl/>
        </w:rPr>
        <w:t xml:space="preserve"> ולהקריב את הראש ואת האברים ואת החביתין ואת היין</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לא:]</w:t>
      </w:r>
    </w:p>
    <w:p w:rsidR="009337C2" w:rsidRPr="00E7670D" w:rsidRDefault="009337C2" w:rsidP="009337C2">
      <w:pPr>
        <w:spacing w:before="200" w:line="276" w:lineRule="exact"/>
        <w:ind w:left="720"/>
        <w:rPr>
          <w:sz w:val="20"/>
          <w:szCs w:val="20"/>
          <w:rtl/>
        </w:rPr>
      </w:pPr>
      <w:r>
        <w:rPr>
          <w:rFonts w:hint="cs"/>
          <w:sz w:val="24"/>
          <w:szCs w:val="24"/>
          <w:rtl/>
        </w:rPr>
        <w:t xml:space="preserve">הביאו </w:t>
      </w:r>
      <w:r w:rsidRPr="00E7670D">
        <w:rPr>
          <w:sz w:val="24"/>
          <w:szCs w:val="24"/>
          <w:rtl/>
        </w:rPr>
        <w:t>לו בגדי זהב ולבש וקדש ידיו ורגליו</w:t>
      </w:r>
      <w:r>
        <w:rPr>
          <w:rFonts w:hint="cs"/>
          <w:sz w:val="24"/>
          <w:szCs w:val="24"/>
          <w:rtl/>
        </w:rPr>
        <w:t>,</w:t>
      </w:r>
      <w:r w:rsidRPr="00E7670D">
        <w:rPr>
          <w:sz w:val="24"/>
          <w:szCs w:val="24"/>
          <w:rtl/>
        </w:rPr>
        <w:t xml:space="preserve"> ויצא ועשה את אילו ואת איל העם ואת שבעת כבשים תמימים בני שנה</w:t>
      </w:r>
      <w:r>
        <w:rPr>
          <w:rFonts w:hint="cs"/>
          <w:sz w:val="24"/>
          <w:szCs w:val="24"/>
          <w:rtl/>
        </w:rPr>
        <w:t>...</w:t>
      </w:r>
      <w:r w:rsidRPr="00E7670D">
        <w:rPr>
          <w:sz w:val="24"/>
          <w:szCs w:val="24"/>
          <w:rtl/>
        </w:rPr>
        <w:t xml:space="preserve"> הביאו לו בגדי זהב ולבש וק</w:t>
      </w:r>
      <w:r>
        <w:rPr>
          <w:rFonts w:hint="cs"/>
          <w:sz w:val="24"/>
          <w:szCs w:val="24"/>
          <w:rtl/>
        </w:rPr>
        <w:t>י</w:t>
      </w:r>
      <w:r w:rsidRPr="00E7670D">
        <w:rPr>
          <w:sz w:val="24"/>
          <w:szCs w:val="24"/>
          <w:rtl/>
        </w:rPr>
        <w:t>דש ידיו ורגליו ונכנס להקטיר קטורת של בין הערבים ולהטיב את הנרות וקדש ידיו ורגליו ופשט</w:t>
      </w:r>
      <w:r>
        <w:rPr>
          <w:rFonts w:hint="cs"/>
          <w:sz w:val="24"/>
          <w:szCs w:val="24"/>
          <w:rtl/>
        </w:rPr>
        <w:t>.</w:t>
      </w:r>
      <w:r>
        <w:rPr>
          <w:sz w:val="24"/>
          <w:szCs w:val="24"/>
          <w:rtl/>
        </w:rPr>
        <w:tab/>
      </w:r>
      <w:r>
        <w:rPr>
          <w:sz w:val="24"/>
          <w:szCs w:val="24"/>
          <w:rtl/>
        </w:rPr>
        <w:tab/>
      </w:r>
      <w:r>
        <w:rPr>
          <w:rFonts w:hint="cs"/>
          <w:sz w:val="24"/>
          <w:szCs w:val="24"/>
          <w:rtl/>
        </w:rPr>
        <w:t xml:space="preserve">       </w:t>
      </w:r>
      <w:r>
        <w:rPr>
          <w:rFonts w:hint="cs"/>
          <w:sz w:val="20"/>
          <w:szCs w:val="20"/>
          <w:rtl/>
        </w:rPr>
        <w:t>[יומא ע.]</w:t>
      </w:r>
    </w:p>
    <w:p w:rsidR="009337C2" w:rsidRDefault="009337C2" w:rsidP="009337C2">
      <w:pPr>
        <w:spacing w:before="200" w:line="276" w:lineRule="exact"/>
        <w:ind w:firstLine="227"/>
        <w:rPr>
          <w:sz w:val="24"/>
          <w:szCs w:val="24"/>
          <w:rtl/>
        </w:rPr>
      </w:pPr>
      <w:r>
        <w:rPr>
          <w:rFonts w:hint="cs"/>
          <w:sz w:val="24"/>
          <w:szCs w:val="24"/>
          <w:rtl/>
        </w:rPr>
        <w:t xml:space="preserve">מכך נראה שחובה על הכהן הגדול לעשות לא רק את עבודות הכפרה, אלא גם את שאר העבודות הנעשות ביום הכיפורים. אמנם, יש לעמוד על מקור דין זה: הדרשה דלעיל מלמדת שעבודות הכפרה </w:t>
      </w:r>
      <w:r>
        <w:rPr>
          <w:rFonts w:hint="cs"/>
          <w:sz w:val="24"/>
          <w:szCs w:val="24"/>
          <w:rtl/>
        </w:rPr>
        <w:lastRenderedPageBreak/>
        <w:t>צריכות להיעשות על ידי כהן גדול, אך מניין שגם העבודות האחרות הנעשות ביום הכיפורים טעונות כהן גדול</w:t>
      </w:r>
      <w:r>
        <w:rPr>
          <w:rStyle w:val="a7"/>
          <w:sz w:val="24"/>
          <w:szCs w:val="24"/>
          <w:rtl/>
        </w:rPr>
        <w:footnoteReference w:id="27"/>
      </w:r>
      <w:r>
        <w:rPr>
          <w:rFonts w:hint="cs"/>
          <w:sz w:val="24"/>
          <w:szCs w:val="24"/>
          <w:rtl/>
        </w:rPr>
        <w:t>?</w:t>
      </w:r>
    </w:p>
    <w:p w:rsidR="009337C2" w:rsidRDefault="009337C2" w:rsidP="009337C2">
      <w:pPr>
        <w:spacing w:before="200" w:line="276" w:lineRule="exact"/>
        <w:ind w:firstLine="227"/>
        <w:rPr>
          <w:sz w:val="24"/>
          <w:szCs w:val="24"/>
          <w:rtl/>
        </w:rPr>
      </w:pPr>
    </w:p>
    <w:p w:rsidR="009337C2" w:rsidRDefault="009337C2" w:rsidP="009337C2">
      <w:pPr>
        <w:spacing w:before="200" w:line="276" w:lineRule="exact"/>
        <w:ind w:firstLine="227"/>
        <w:rPr>
          <w:sz w:val="24"/>
          <w:szCs w:val="24"/>
          <w:rtl/>
        </w:rPr>
      </w:pPr>
      <w:r>
        <w:rPr>
          <w:rFonts w:hint="cs"/>
          <w:sz w:val="24"/>
          <w:szCs w:val="24"/>
          <w:rtl/>
        </w:rPr>
        <w:t>בעיקר העניין, האם אכן כל העבודות הנעשות ביום הכיפורים טעונות כהן גדול, דנו הראשונים סביב המשניות בפרק השני המפרטות את סדר הפייסות הנוהגות במקדש. הראשונים נחלקו האם סדר הפייסות, המחלקות את העבודות לכהנים שונים, נהג גם ביום הכיפורים.</w:t>
      </w:r>
    </w:p>
    <w:p w:rsidR="009337C2" w:rsidRDefault="009337C2" w:rsidP="009337C2">
      <w:pPr>
        <w:spacing w:before="200" w:line="276" w:lineRule="exact"/>
        <w:ind w:firstLine="227"/>
        <w:rPr>
          <w:sz w:val="24"/>
          <w:szCs w:val="24"/>
          <w:rtl/>
        </w:rPr>
      </w:pPr>
      <w:r>
        <w:rPr>
          <w:rFonts w:hint="cs"/>
          <w:sz w:val="24"/>
          <w:szCs w:val="24"/>
          <w:rtl/>
        </w:rPr>
        <w:t>הרז"ה כותב:</w:t>
      </w:r>
    </w:p>
    <w:p w:rsidR="009337C2" w:rsidRPr="00DE367F" w:rsidRDefault="009337C2" w:rsidP="009337C2">
      <w:pPr>
        <w:spacing w:before="200" w:line="276" w:lineRule="exact"/>
        <w:ind w:left="720"/>
        <w:rPr>
          <w:sz w:val="20"/>
          <w:szCs w:val="20"/>
          <w:rtl/>
        </w:rPr>
      </w:pPr>
      <w:r w:rsidRPr="00DE367F">
        <w:rPr>
          <w:sz w:val="24"/>
          <w:szCs w:val="24"/>
          <w:rtl/>
        </w:rPr>
        <w:t>והוי יודע כי בעלי הקרובו"ת שהכניסו בפיוטיהן בסדר עבודת היום ארבעה פייסות</w:t>
      </w:r>
      <w:r>
        <w:rPr>
          <w:rFonts w:hint="cs"/>
          <w:sz w:val="24"/>
          <w:szCs w:val="24"/>
          <w:rtl/>
        </w:rPr>
        <w:t>,</w:t>
      </w:r>
      <w:r w:rsidRPr="00DE367F">
        <w:rPr>
          <w:sz w:val="24"/>
          <w:szCs w:val="24"/>
          <w:rtl/>
        </w:rPr>
        <w:t xml:space="preserve"> טעו כולן במשנתנו ולא הבינו כי הפייסות החשובים במשנתנו לשאר ימות השנה הם ולא ביום הכ</w:t>
      </w:r>
      <w:r>
        <w:rPr>
          <w:rFonts w:hint="cs"/>
          <w:sz w:val="24"/>
          <w:szCs w:val="24"/>
          <w:rtl/>
        </w:rPr>
        <w:t>י</w:t>
      </w:r>
      <w:r w:rsidRPr="00DE367F">
        <w:rPr>
          <w:sz w:val="24"/>
          <w:szCs w:val="24"/>
          <w:rtl/>
        </w:rPr>
        <w:t>פורים</w:t>
      </w:r>
      <w:r>
        <w:rPr>
          <w:rFonts w:hint="cs"/>
          <w:sz w:val="24"/>
          <w:szCs w:val="24"/>
          <w:rtl/>
        </w:rPr>
        <w:t>,</w:t>
      </w:r>
      <w:r w:rsidRPr="00DE367F">
        <w:rPr>
          <w:sz w:val="24"/>
          <w:szCs w:val="24"/>
          <w:rtl/>
        </w:rPr>
        <w:t xml:space="preserve"> לפי שכל עבודות היום אינה כשרה אלא בכהן גדול.</w:t>
      </w:r>
      <w:r>
        <w:rPr>
          <w:sz w:val="24"/>
          <w:szCs w:val="24"/>
          <w:rtl/>
        </w:rPr>
        <w:tab/>
      </w:r>
      <w:r>
        <w:rPr>
          <w:rFonts w:hint="cs"/>
          <w:sz w:val="24"/>
          <w:szCs w:val="24"/>
          <w:rtl/>
        </w:rPr>
        <w:t xml:space="preserve">         </w:t>
      </w:r>
      <w:r>
        <w:rPr>
          <w:rFonts w:hint="cs"/>
          <w:sz w:val="20"/>
          <w:szCs w:val="20"/>
          <w:rtl/>
        </w:rPr>
        <w:t>[המאור הקטן א.]</w:t>
      </w:r>
    </w:p>
    <w:p w:rsidR="009337C2" w:rsidRDefault="009337C2" w:rsidP="009337C2">
      <w:pPr>
        <w:spacing w:before="200" w:line="276" w:lineRule="exact"/>
        <w:ind w:firstLine="227"/>
        <w:rPr>
          <w:sz w:val="24"/>
          <w:szCs w:val="24"/>
          <w:rtl/>
        </w:rPr>
      </w:pPr>
      <w:r>
        <w:rPr>
          <w:rFonts w:hint="cs"/>
          <w:sz w:val="24"/>
          <w:szCs w:val="24"/>
          <w:rtl/>
        </w:rPr>
        <w:t>לדברי הרז"ה, הפייסות אינן מתקיימות ביום הכיפורים, הואיל וכל העבודות אינן כשרות אלא בכהן גדול.</w:t>
      </w:r>
    </w:p>
    <w:p w:rsidR="009337C2" w:rsidRDefault="009337C2" w:rsidP="009337C2">
      <w:pPr>
        <w:spacing w:before="200" w:line="276" w:lineRule="exact"/>
        <w:ind w:firstLine="227"/>
        <w:rPr>
          <w:sz w:val="24"/>
          <w:szCs w:val="24"/>
          <w:rtl/>
        </w:rPr>
      </w:pPr>
      <w:r>
        <w:rPr>
          <w:rFonts w:hint="cs"/>
          <w:sz w:val="24"/>
          <w:szCs w:val="24"/>
          <w:rtl/>
        </w:rPr>
        <w:t>הרמב"ן מודה לטענתו העקרונית של הרז"ה, כי כל העבודות הנעשות ביום הכיפורים אינן כשרות אלא בכהן גדול, אולם הרמב"ן ממאן לקבל את האפשרות שכל הפייטנים טעו בעניין זה. בשל כך הרמב"ן מאריך לבאר כי אמנם הכהן הגדול עשה את כל עבודות היום, אך היו עבודות צדדיות, שאינן חלק מעבודת היום, שנעשו על ידי כהנים אחרים, ובשבילן עשו פייסות:</w:t>
      </w:r>
    </w:p>
    <w:p w:rsidR="009337C2" w:rsidRDefault="009337C2" w:rsidP="009337C2">
      <w:pPr>
        <w:spacing w:before="200" w:line="276" w:lineRule="exact"/>
        <w:ind w:left="720"/>
        <w:rPr>
          <w:sz w:val="24"/>
          <w:szCs w:val="24"/>
          <w:rtl/>
        </w:rPr>
      </w:pPr>
      <w:r w:rsidRPr="00DE367F">
        <w:rPr>
          <w:sz w:val="24"/>
          <w:szCs w:val="24"/>
          <w:rtl/>
        </w:rPr>
        <w:t>שהפייס הראשון שהוא תרומת הדשן הואיל והוא כשר קודם חצות אינו עבודת יוה"כ אלא עבודת לי</w:t>
      </w:r>
      <w:r>
        <w:rPr>
          <w:sz w:val="24"/>
          <w:szCs w:val="24"/>
          <w:rtl/>
        </w:rPr>
        <w:t>לה ואינו בכ"ג כלל שלא נתנו ל</w:t>
      </w:r>
      <w:r>
        <w:rPr>
          <w:rFonts w:hint="cs"/>
          <w:sz w:val="24"/>
          <w:szCs w:val="24"/>
          <w:rtl/>
        </w:rPr>
        <w:t xml:space="preserve">כהן גדול </w:t>
      </w:r>
      <w:r w:rsidRPr="00DE367F">
        <w:rPr>
          <w:sz w:val="24"/>
          <w:szCs w:val="24"/>
          <w:rtl/>
        </w:rPr>
        <w:t>אלא עבודת היום</w:t>
      </w:r>
      <w:r>
        <w:rPr>
          <w:rFonts w:hint="cs"/>
          <w:sz w:val="24"/>
          <w:szCs w:val="24"/>
          <w:rtl/>
        </w:rPr>
        <w:t xml:space="preserve">... </w:t>
      </w:r>
    </w:p>
    <w:p w:rsidR="009337C2" w:rsidRDefault="009337C2" w:rsidP="009337C2">
      <w:pPr>
        <w:ind w:left="720"/>
        <w:rPr>
          <w:sz w:val="24"/>
          <w:szCs w:val="24"/>
          <w:rtl/>
        </w:rPr>
      </w:pPr>
      <w:r w:rsidRPr="00DE367F">
        <w:rPr>
          <w:sz w:val="24"/>
          <w:szCs w:val="24"/>
          <w:rtl/>
        </w:rPr>
        <w:t>הפייס השני רוב בעלי הקרובות פירשוהו ואמרו בו</w:t>
      </w:r>
      <w:r>
        <w:rPr>
          <w:rFonts w:hint="cs"/>
          <w:sz w:val="24"/>
          <w:szCs w:val="24"/>
          <w:rtl/>
        </w:rPr>
        <w:t>:</w:t>
      </w:r>
      <w:r w:rsidRPr="00DE367F">
        <w:rPr>
          <w:sz w:val="24"/>
          <w:szCs w:val="24"/>
          <w:rtl/>
        </w:rPr>
        <w:t xml:space="preserve"> מי מדשן מזבח הפנימי ומי מדשן את המנורה</w:t>
      </w:r>
      <w:r>
        <w:rPr>
          <w:rFonts w:hint="cs"/>
          <w:sz w:val="24"/>
          <w:szCs w:val="24"/>
          <w:rtl/>
        </w:rPr>
        <w:t xml:space="preserve">... </w:t>
      </w:r>
      <w:r w:rsidRPr="00DE367F">
        <w:rPr>
          <w:sz w:val="24"/>
          <w:szCs w:val="24"/>
          <w:rtl/>
        </w:rPr>
        <w:t xml:space="preserve">יראה מזה </w:t>
      </w:r>
      <w:r>
        <w:rPr>
          <w:sz w:val="24"/>
          <w:szCs w:val="24"/>
          <w:rtl/>
        </w:rPr>
        <w:t>שהבינו הראשונים העבודות שהן בכ</w:t>
      </w:r>
      <w:r>
        <w:rPr>
          <w:rFonts w:hint="cs"/>
          <w:sz w:val="24"/>
          <w:szCs w:val="24"/>
          <w:rtl/>
        </w:rPr>
        <w:t>הן גדול</w:t>
      </w:r>
      <w:r w:rsidRPr="00DE367F">
        <w:rPr>
          <w:sz w:val="24"/>
          <w:szCs w:val="24"/>
          <w:rtl/>
        </w:rPr>
        <w:t xml:space="preserve"> ונזהרו מהן ולא שמו להן פייס</w:t>
      </w:r>
      <w:r>
        <w:rPr>
          <w:rFonts w:hint="cs"/>
          <w:sz w:val="24"/>
          <w:szCs w:val="24"/>
          <w:rtl/>
        </w:rPr>
        <w:t>,</w:t>
      </w:r>
      <w:r w:rsidRPr="00DE367F">
        <w:rPr>
          <w:sz w:val="24"/>
          <w:szCs w:val="24"/>
          <w:rtl/>
        </w:rPr>
        <w:t xml:space="preserve"> אבל דישון מזבח הפנימי אינה עבודת יום אלא עבודת לילה דומיא דהרמת דשן בחיצון</w:t>
      </w:r>
      <w:r>
        <w:rPr>
          <w:rFonts w:hint="cs"/>
          <w:sz w:val="24"/>
          <w:szCs w:val="24"/>
          <w:rtl/>
        </w:rPr>
        <w:t xml:space="preserve">... </w:t>
      </w:r>
      <w:r w:rsidRPr="00DE367F">
        <w:rPr>
          <w:sz w:val="24"/>
          <w:szCs w:val="24"/>
          <w:rtl/>
        </w:rPr>
        <w:t>וכן דישון המנורה כשר בכל כהן</w:t>
      </w:r>
      <w:r>
        <w:rPr>
          <w:rFonts w:hint="cs"/>
          <w:sz w:val="24"/>
          <w:szCs w:val="24"/>
          <w:rtl/>
        </w:rPr>
        <w:t>,</w:t>
      </w:r>
      <w:r w:rsidRPr="00DE367F">
        <w:rPr>
          <w:sz w:val="24"/>
          <w:szCs w:val="24"/>
          <w:rtl/>
        </w:rPr>
        <w:t xml:space="preserve"> והוא הסרת הפתילות שכבו וכל השמן שבנר</w:t>
      </w:r>
      <w:r>
        <w:rPr>
          <w:rFonts w:hint="cs"/>
          <w:sz w:val="24"/>
          <w:szCs w:val="24"/>
          <w:rtl/>
        </w:rPr>
        <w:t xml:space="preserve">... </w:t>
      </w:r>
      <w:r w:rsidRPr="00DE367F">
        <w:rPr>
          <w:sz w:val="24"/>
          <w:szCs w:val="24"/>
          <w:rtl/>
        </w:rPr>
        <w:t>שאינה עבודה אלא מכשירי עב</w:t>
      </w:r>
      <w:r>
        <w:rPr>
          <w:sz w:val="24"/>
          <w:szCs w:val="24"/>
          <w:rtl/>
        </w:rPr>
        <w:t>ודה מפני כך לא הצריכן הכתוב לכ</w:t>
      </w:r>
      <w:r>
        <w:rPr>
          <w:rFonts w:hint="cs"/>
          <w:sz w:val="24"/>
          <w:szCs w:val="24"/>
          <w:rtl/>
        </w:rPr>
        <w:t>הן גדול...</w:t>
      </w:r>
    </w:p>
    <w:p w:rsidR="009337C2" w:rsidRDefault="009337C2" w:rsidP="009337C2">
      <w:pPr>
        <w:ind w:left="720"/>
        <w:rPr>
          <w:sz w:val="24"/>
          <w:szCs w:val="24"/>
          <w:rtl/>
        </w:rPr>
      </w:pPr>
      <w:r w:rsidRPr="00DE367F">
        <w:rPr>
          <w:sz w:val="24"/>
          <w:szCs w:val="24"/>
          <w:rtl/>
        </w:rPr>
        <w:t>הפייס השלישי חדשים לקטרת</w:t>
      </w:r>
      <w:r>
        <w:rPr>
          <w:rFonts w:hint="cs"/>
          <w:sz w:val="24"/>
          <w:szCs w:val="24"/>
          <w:rtl/>
        </w:rPr>
        <w:t>,</w:t>
      </w:r>
      <w:r w:rsidRPr="00DE367F">
        <w:rPr>
          <w:sz w:val="24"/>
          <w:szCs w:val="24"/>
          <w:rtl/>
        </w:rPr>
        <w:t xml:space="preserve"> אבל לא להקטרת הקטרת עצמו</w:t>
      </w:r>
      <w:r>
        <w:rPr>
          <w:rFonts w:hint="cs"/>
          <w:sz w:val="24"/>
          <w:szCs w:val="24"/>
          <w:rtl/>
        </w:rPr>
        <w:t>...</w:t>
      </w:r>
      <w:r w:rsidRPr="00DE367F">
        <w:rPr>
          <w:sz w:val="24"/>
          <w:szCs w:val="24"/>
          <w:rtl/>
        </w:rPr>
        <w:t xml:space="preserve"> אלא לסייעו שהוא זוכה במחתה</w:t>
      </w:r>
      <w:r>
        <w:rPr>
          <w:rFonts w:hint="cs"/>
          <w:sz w:val="24"/>
          <w:szCs w:val="24"/>
          <w:rtl/>
        </w:rPr>
        <w:t>...</w:t>
      </w:r>
    </w:p>
    <w:p w:rsidR="009337C2" w:rsidRPr="0055662E" w:rsidRDefault="009337C2" w:rsidP="009337C2">
      <w:pPr>
        <w:ind w:left="720"/>
        <w:rPr>
          <w:sz w:val="20"/>
          <w:szCs w:val="20"/>
          <w:rtl/>
        </w:rPr>
      </w:pPr>
      <w:r w:rsidRPr="00DE367F">
        <w:rPr>
          <w:sz w:val="24"/>
          <w:szCs w:val="24"/>
          <w:rtl/>
        </w:rPr>
        <w:t>הפייס הרביעי מי מעלה איברים מן הכבש למזבח</w:t>
      </w:r>
      <w:r>
        <w:rPr>
          <w:rFonts w:hint="cs"/>
          <w:sz w:val="24"/>
          <w:szCs w:val="24"/>
          <w:rtl/>
        </w:rPr>
        <w:t>,</w:t>
      </w:r>
      <w:r w:rsidRPr="00DE367F">
        <w:rPr>
          <w:sz w:val="24"/>
          <w:szCs w:val="24"/>
          <w:rtl/>
        </w:rPr>
        <w:t xml:space="preserve"> הם האיברים שניתותרו מערב יום הכפורים שסודרים אותם על המערכה הרביעית של איברים ופדרים</w:t>
      </w:r>
      <w:r>
        <w:rPr>
          <w:rFonts w:hint="cs"/>
          <w:sz w:val="24"/>
          <w:szCs w:val="24"/>
          <w:rtl/>
        </w:rPr>
        <w:t>...</w:t>
      </w:r>
      <w:r w:rsidRPr="00DE367F">
        <w:rPr>
          <w:sz w:val="24"/>
          <w:szCs w:val="24"/>
          <w:rtl/>
        </w:rPr>
        <w:t xml:space="preserve"> והעלאה זו עבודת לילה היא או סוף של יום שעבר ואינה מסדר היום והיא צריכה פייס</w:t>
      </w:r>
      <w:r>
        <w:rPr>
          <w:rFonts w:hint="cs"/>
          <w:sz w:val="24"/>
          <w:szCs w:val="24"/>
          <w:rtl/>
        </w:rPr>
        <w:t xml:space="preserve">. </w:t>
      </w:r>
      <w:r w:rsidRPr="00DE367F">
        <w:rPr>
          <w:sz w:val="24"/>
          <w:szCs w:val="24"/>
          <w:rtl/>
        </w:rPr>
        <w:t xml:space="preserve"> </w:t>
      </w:r>
      <w:r>
        <w:rPr>
          <w:rFonts w:hint="cs"/>
          <w:sz w:val="24"/>
          <w:szCs w:val="24"/>
          <w:rtl/>
        </w:rPr>
        <w:t xml:space="preserve"> </w:t>
      </w:r>
      <w:r>
        <w:rPr>
          <w:rFonts w:hint="cs"/>
          <w:sz w:val="20"/>
          <w:szCs w:val="20"/>
          <w:rtl/>
        </w:rPr>
        <w:t xml:space="preserve">         [מלחמת ה', שם]</w:t>
      </w:r>
    </w:p>
    <w:p w:rsidR="009337C2" w:rsidRDefault="009337C2" w:rsidP="009337C2">
      <w:pPr>
        <w:spacing w:before="200" w:line="276" w:lineRule="exact"/>
        <w:ind w:firstLine="227"/>
        <w:rPr>
          <w:sz w:val="24"/>
          <w:szCs w:val="24"/>
          <w:rtl/>
        </w:rPr>
      </w:pPr>
      <w:r>
        <w:rPr>
          <w:rFonts w:hint="cs"/>
          <w:sz w:val="24"/>
          <w:szCs w:val="24"/>
          <w:rtl/>
        </w:rPr>
        <w:t>לדברי הרמב"ן, הפייס הראשון נעשה בשביל תרומת הדשן שאינה בכלל עבודת היום אלא היא עבודת הלילה. שאר הפייסות נעשו בעבור דברים שהם בגדר 'הכשר עבודה': הפייס השני נעשה בעבור דישון המזבח הפנימי והמנורה, הפייס השלישי נעשה בשביל הולכת המחתה לקטורת, והפייס הרביעי נעשה בשביל העלאת האיברים שנותרו מערב יום הכיפורים למזבח</w:t>
      </w:r>
      <w:r>
        <w:rPr>
          <w:rStyle w:val="a7"/>
          <w:sz w:val="24"/>
          <w:szCs w:val="24"/>
          <w:rtl/>
        </w:rPr>
        <w:footnoteReference w:id="28"/>
      </w:r>
      <w:r>
        <w:rPr>
          <w:rFonts w:hint="cs"/>
          <w:sz w:val="24"/>
          <w:szCs w:val="24"/>
          <w:rtl/>
        </w:rPr>
        <w:t>.</w:t>
      </w:r>
    </w:p>
    <w:p w:rsidR="009337C2" w:rsidRDefault="009337C2" w:rsidP="009337C2">
      <w:pPr>
        <w:spacing w:before="200" w:line="276" w:lineRule="exact"/>
        <w:ind w:firstLine="227"/>
        <w:rPr>
          <w:sz w:val="24"/>
          <w:szCs w:val="24"/>
          <w:rtl/>
        </w:rPr>
      </w:pPr>
      <w:r>
        <w:rPr>
          <w:rFonts w:hint="cs"/>
          <w:sz w:val="24"/>
          <w:szCs w:val="24"/>
          <w:rtl/>
        </w:rPr>
        <w:t>בדברי הריטב"א מובאת שיטה אחרת בשם הרמב"ן:</w:t>
      </w:r>
    </w:p>
    <w:p w:rsidR="009337C2" w:rsidRPr="0055662E" w:rsidRDefault="009337C2" w:rsidP="009337C2">
      <w:pPr>
        <w:spacing w:before="200" w:line="276" w:lineRule="exact"/>
        <w:ind w:left="720"/>
        <w:rPr>
          <w:sz w:val="20"/>
          <w:szCs w:val="20"/>
          <w:rtl/>
        </w:rPr>
      </w:pPr>
      <w:r w:rsidRPr="0055662E">
        <w:rPr>
          <w:sz w:val="24"/>
          <w:szCs w:val="24"/>
          <w:rtl/>
        </w:rPr>
        <w:t>ובשם רבינו הגדול רבו ז"ל אמר לי</w:t>
      </w:r>
      <w:r>
        <w:rPr>
          <w:rFonts w:hint="cs"/>
          <w:sz w:val="24"/>
          <w:szCs w:val="24"/>
          <w:rtl/>
        </w:rPr>
        <w:t>,</w:t>
      </w:r>
      <w:r w:rsidRPr="0055662E">
        <w:rPr>
          <w:sz w:val="24"/>
          <w:szCs w:val="24"/>
          <w:rtl/>
        </w:rPr>
        <w:t xml:space="preserve"> שהיה סובר דמדאורייתא אין חובה בכהן גדול אלא בעבודת היום ממש, אבל תמידין ועבודות של כל יום ויום כשרות אפילו בכהן הדיוט, אלא דמצוה בכהן גדול טפי, ורבנן שוו חובה בכהן גדול אף בתמידין, ולא התירו אלא דברים </w:t>
      </w:r>
      <w:r w:rsidRPr="0055662E">
        <w:rPr>
          <w:sz w:val="24"/>
          <w:szCs w:val="24"/>
          <w:rtl/>
        </w:rPr>
        <w:lastRenderedPageBreak/>
        <w:t>ש</w:t>
      </w:r>
      <w:r>
        <w:rPr>
          <w:sz w:val="24"/>
          <w:szCs w:val="24"/>
          <w:rtl/>
        </w:rPr>
        <w:t xml:space="preserve">אינם עיקר עבודה כאותה שאמרו </w:t>
      </w:r>
      <w:r>
        <w:rPr>
          <w:rFonts w:hint="cs"/>
          <w:sz w:val="24"/>
          <w:szCs w:val="24"/>
          <w:rtl/>
        </w:rPr>
        <w:t>'</w:t>
      </w:r>
      <w:r w:rsidRPr="0055662E">
        <w:rPr>
          <w:sz w:val="24"/>
          <w:szCs w:val="24"/>
          <w:rtl/>
        </w:rPr>
        <w:t>קרצו ומירק אחר שחיטה על ידו</w:t>
      </w:r>
      <w:r>
        <w:rPr>
          <w:rFonts w:hint="cs"/>
          <w:sz w:val="24"/>
          <w:szCs w:val="24"/>
          <w:rtl/>
        </w:rPr>
        <w:t>'</w:t>
      </w:r>
      <w:r w:rsidRPr="0055662E">
        <w:rPr>
          <w:sz w:val="24"/>
          <w:szCs w:val="24"/>
          <w:rtl/>
        </w:rPr>
        <w:t>, וכגון להפך במזלג, ולהזמין איברים להעלותן, והיכא דכהן גדול חלוש ע</w:t>
      </w:r>
      <w:r>
        <w:rPr>
          <w:sz w:val="24"/>
          <w:szCs w:val="24"/>
          <w:rtl/>
        </w:rPr>
        <w:t>ושין עבודת תמידין אף בכהן הדיוט</w:t>
      </w:r>
      <w:r>
        <w:rPr>
          <w:rFonts w:hint="cs"/>
          <w:sz w:val="24"/>
          <w:szCs w:val="24"/>
          <w:rtl/>
        </w:rPr>
        <w:t>.</w:t>
      </w:r>
      <w:r w:rsidRPr="0055662E">
        <w:rPr>
          <w:sz w:val="24"/>
          <w:szCs w:val="24"/>
          <w:rtl/>
        </w:rPr>
        <w:t xml:space="preserve"> והיינו דקתני תנא דיני פייסות במכילתין.</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[ריטב"א יב. ד"ה הכי גרסינן]</w:t>
      </w:r>
    </w:p>
    <w:p w:rsidR="009337C2" w:rsidRDefault="009337C2" w:rsidP="009337C2">
      <w:pPr>
        <w:spacing w:before="200" w:line="276" w:lineRule="exact"/>
        <w:ind w:firstLine="227"/>
        <w:rPr>
          <w:sz w:val="24"/>
          <w:szCs w:val="24"/>
          <w:rtl/>
        </w:rPr>
      </w:pPr>
      <w:r>
        <w:rPr>
          <w:rFonts w:hint="cs"/>
          <w:sz w:val="24"/>
          <w:szCs w:val="24"/>
          <w:rtl/>
        </w:rPr>
        <w:t>לפי שיטה זו, מדין תורה הכהן הגדול חייב לעשות בעצמו רק את "עבודות היום ממש". לגבי העבודות האחרות אין חובה גמורה שהכהן הגדול יעשה אותן בעצמו, אלא "מצוה בכהן גדול טפי"</w:t>
      </w:r>
      <w:r>
        <w:rPr>
          <w:rStyle w:val="a7"/>
          <w:sz w:val="24"/>
          <w:szCs w:val="24"/>
          <w:rtl/>
        </w:rPr>
        <w:footnoteReference w:id="29"/>
      </w:r>
      <w:r>
        <w:rPr>
          <w:rFonts w:hint="cs"/>
          <w:sz w:val="24"/>
          <w:szCs w:val="24"/>
          <w:rtl/>
        </w:rPr>
        <w:t>. מדרבנן יש בכך חובה גמורה, אך הם התירו לכהן חלוש שהעבודות האחרות, כעבודת התמידים, תיעשה על ידי כהן אחר, ובמקרים אלו נעשה פייס על אותן העבודות.</w:t>
      </w:r>
    </w:p>
    <w:p w:rsidR="009337C2" w:rsidRDefault="009337C2" w:rsidP="009337C2">
      <w:pPr>
        <w:spacing w:before="200" w:line="276" w:lineRule="exact"/>
        <w:ind w:firstLine="227"/>
        <w:rPr>
          <w:sz w:val="24"/>
          <w:szCs w:val="24"/>
          <w:rtl/>
        </w:rPr>
      </w:pPr>
    </w:p>
    <w:p w:rsidR="009337C2" w:rsidRDefault="009337C2" w:rsidP="009337C2">
      <w:pPr>
        <w:spacing w:before="200" w:line="276" w:lineRule="exact"/>
        <w:ind w:firstLine="227"/>
        <w:rPr>
          <w:sz w:val="24"/>
          <w:szCs w:val="24"/>
          <w:rtl/>
        </w:rPr>
      </w:pPr>
      <w:r>
        <w:rPr>
          <w:rFonts w:hint="cs"/>
          <w:sz w:val="24"/>
          <w:szCs w:val="24"/>
          <w:rtl/>
        </w:rPr>
        <w:t xml:space="preserve">שיטת הריטב"א נראית תואמת את ההבנה שעלתה לעיל, שהצורך בכהן גדול נאמר ביחס לעבודת הכפרה בלבד. לעומתה, שיטת הרז"ה והרמב"ן טעונה ביאור: מדוע גם שאר העבודות טעונות כהן גדול? </w:t>
      </w:r>
    </w:p>
    <w:p w:rsidR="009337C2" w:rsidRDefault="009337C2" w:rsidP="009337C2">
      <w:pPr>
        <w:spacing w:before="200" w:line="276" w:lineRule="exact"/>
        <w:ind w:firstLine="227"/>
        <w:rPr>
          <w:sz w:val="24"/>
          <w:szCs w:val="24"/>
          <w:rtl/>
        </w:rPr>
      </w:pPr>
      <w:r>
        <w:rPr>
          <w:rFonts w:hint="cs"/>
          <w:sz w:val="24"/>
          <w:szCs w:val="24"/>
          <w:rtl/>
        </w:rPr>
        <w:t>בעל הפרי חדש בספרו 'מים חיים' כותב ביישוב תמיהה זו:</w:t>
      </w:r>
    </w:p>
    <w:p w:rsidR="009337C2" w:rsidRPr="00F865B6" w:rsidRDefault="009337C2" w:rsidP="009337C2">
      <w:pPr>
        <w:spacing w:before="200" w:line="276" w:lineRule="exact"/>
        <w:ind w:left="720"/>
        <w:rPr>
          <w:sz w:val="20"/>
          <w:szCs w:val="20"/>
          <w:rtl/>
        </w:rPr>
      </w:pPr>
      <w:r>
        <w:rPr>
          <w:rFonts w:hint="cs"/>
          <w:sz w:val="24"/>
          <w:szCs w:val="24"/>
          <w:rtl/>
        </w:rPr>
        <w:t>ומה שהקשינו דמהיכא תיתי 'אהרן' ו'חוקה' לעבודות של כל יום. יש לומר דהכי גמירי, וכדאמרינן בפרק אמר להם הממונה: 'גמירי חמש טבילות ועשרה קידושין טובל כהן גדול ומקדש בו ביום'.</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[מים חיים הל' עבודת יום הכיפורים פ"א ה"ב]</w:t>
      </w:r>
    </w:p>
    <w:p w:rsidR="009337C2" w:rsidRDefault="009337C2" w:rsidP="009337C2">
      <w:pPr>
        <w:spacing w:before="200" w:line="276" w:lineRule="exact"/>
        <w:ind w:firstLine="227"/>
        <w:rPr>
          <w:sz w:val="24"/>
          <w:szCs w:val="24"/>
          <w:rtl/>
        </w:rPr>
      </w:pPr>
      <w:r>
        <w:rPr>
          <w:rFonts w:hint="cs"/>
          <w:sz w:val="24"/>
          <w:szCs w:val="24"/>
          <w:rtl/>
        </w:rPr>
        <w:t>לפי דבריו, ההלכה שעל הכהן הגדול לטבול חמש טבילות ולקדש את ידיו ורגליו עשרה קידושים במהלך עבודות היום</w:t>
      </w:r>
      <w:r>
        <w:rPr>
          <w:rStyle w:val="a7"/>
          <w:sz w:val="24"/>
          <w:szCs w:val="24"/>
          <w:rtl/>
        </w:rPr>
        <w:footnoteReference w:id="30"/>
      </w:r>
      <w:r>
        <w:rPr>
          <w:rFonts w:hint="cs"/>
          <w:sz w:val="24"/>
          <w:szCs w:val="24"/>
          <w:rtl/>
        </w:rPr>
        <w:t>, מורה שהוא מחליף את בגדיו מבגדי זהב לבגדי לבן ולהיפך, ומכך יש ללמוד שהוא לבדו אמור לעשות את כל עבודות היום.</w:t>
      </w:r>
    </w:p>
    <w:p w:rsidR="009337C2" w:rsidRDefault="009337C2" w:rsidP="009337C2">
      <w:pPr>
        <w:spacing w:before="200" w:line="276" w:lineRule="exact"/>
        <w:ind w:firstLine="227"/>
        <w:rPr>
          <w:sz w:val="24"/>
          <w:szCs w:val="24"/>
          <w:rtl/>
        </w:rPr>
      </w:pPr>
      <w:r>
        <w:rPr>
          <w:rFonts w:hint="cs"/>
          <w:sz w:val="24"/>
          <w:szCs w:val="24"/>
          <w:rtl/>
        </w:rPr>
        <w:t>על פי הבנה זו, קיימת מחלוקת ראשונים בגדר הצורך בכהן גדול ביום הכיפורים: לפי הריטב"א זהו דין בעבודות הכפרה, ואילו לפי הרז"ה והרמב"ן זהו דין בעיצומו של יום, שביום זה הכהן הגדול כשר לבדו לעבודה</w:t>
      </w:r>
      <w:r>
        <w:rPr>
          <w:rStyle w:val="a7"/>
          <w:sz w:val="24"/>
          <w:szCs w:val="24"/>
          <w:rtl/>
        </w:rPr>
        <w:footnoteReference w:id="31"/>
      </w:r>
      <w:r>
        <w:rPr>
          <w:rFonts w:hint="cs"/>
          <w:sz w:val="24"/>
          <w:szCs w:val="24"/>
          <w:rtl/>
        </w:rPr>
        <w:t xml:space="preserve">. </w:t>
      </w:r>
    </w:p>
    <w:p w:rsidR="009337C2" w:rsidRDefault="009337C2" w:rsidP="009337C2">
      <w:pPr>
        <w:spacing w:before="200" w:line="276" w:lineRule="exact"/>
        <w:ind w:firstLine="227"/>
        <w:rPr>
          <w:sz w:val="24"/>
          <w:szCs w:val="24"/>
          <w:rtl/>
        </w:rPr>
      </w:pPr>
      <w:r>
        <w:rPr>
          <w:rFonts w:hint="cs"/>
          <w:sz w:val="24"/>
          <w:szCs w:val="24"/>
          <w:rtl/>
        </w:rPr>
        <w:t>הגרי"ד סולוביצ'יק מציע דרך אחרת בביאור שיטת הרז"ה והרמב"ן:</w:t>
      </w:r>
    </w:p>
    <w:p w:rsidR="009337C2" w:rsidRPr="003A2EB5" w:rsidRDefault="009337C2" w:rsidP="009337C2">
      <w:pPr>
        <w:spacing w:before="200" w:line="276" w:lineRule="exact"/>
        <w:ind w:left="720"/>
        <w:rPr>
          <w:sz w:val="20"/>
          <w:szCs w:val="20"/>
          <w:rtl/>
        </w:rPr>
      </w:pPr>
      <w:r>
        <w:rPr>
          <w:rFonts w:hint="cs"/>
          <w:sz w:val="24"/>
          <w:szCs w:val="24"/>
          <w:rtl/>
        </w:rPr>
        <w:t>רוב הראשונים חולקים על הריטב"א, ולשיטתם כל עבודות יום הכפורים, בין אלו המוזכרות בפרשת אחרי מות ובין אלו שמופיעות בפרשת פינחס, זקוקות לכהן גדול. אמנם יש להבין מדוע צריכים כהן גדול עבור עבודות שאינן קשורות לעבודת היום המופיעה בפרשת אחרי מות. לדוגמה, הקרבת התמיד של יום הכיפורים הרי היא אותה הקרבה המתבצעת בכל יום, ומה נשתנה יום הכיפורים מכל יום אחר, עד שנאמר שביום זה עבודת התמיד פסולה בכהן הדיוט. לכאורה מוכרח מזה, שקרבן התמיד ביום הכיפורים אינו רק בבחינת תמיד של יום רגיל. ביום הכיפורים, הקרבת התמיד מהווה גם קיום בעבודת היום, ובלי הקרבתו גם עבודת יום הכפורים פגומה.</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[שיעורי הגרי"ד עמ' מג]</w:t>
      </w:r>
    </w:p>
    <w:p w:rsidR="009337C2" w:rsidRDefault="009337C2" w:rsidP="009337C2">
      <w:pPr>
        <w:spacing w:before="200" w:line="276" w:lineRule="exact"/>
        <w:ind w:firstLine="227"/>
        <w:rPr>
          <w:sz w:val="24"/>
          <w:szCs w:val="24"/>
          <w:rtl/>
        </w:rPr>
      </w:pPr>
      <w:r>
        <w:rPr>
          <w:rFonts w:hint="cs"/>
          <w:sz w:val="24"/>
          <w:szCs w:val="24"/>
          <w:rtl/>
        </w:rPr>
        <w:lastRenderedPageBreak/>
        <w:t>לדברי הגרי"ד, הרז"ה והרמב"ן מודים כי הצורך בכהן גדול נאמר ביחס לסדר העבודה בלבד. אמנם, לשיטתם העבודות הנעשות בכל יום במקדש מהוות חלק בלתי נפרד מסדר עבודת יום הכיפורים, ולכן גם הן צריכות להיעשות בכהן גדול.</w:t>
      </w:r>
    </w:p>
    <w:p w:rsidR="009337C2" w:rsidRDefault="009337C2" w:rsidP="009337C2">
      <w:pPr>
        <w:spacing w:before="200" w:line="276" w:lineRule="exact"/>
        <w:ind w:firstLine="227"/>
        <w:rPr>
          <w:sz w:val="24"/>
          <w:szCs w:val="24"/>
          <w:rtl/>
        </w:rPr>
      </w:pPr>
      <w:r>
        <w:rPr>
          <w:rFonts w:hint="cs"/>
          <w:sz w:val="24"/>
          <w:szCs w:val="24"/>
          <w:rtl/>
        </w:rPr>
        <w:t>הגרי"ד מוסיף ומבסס את טענתו על דין 'חמש טבילות ועשרה קידושים':</w:t>
      </w:r>
    </w:p>
    <w:p w:rsidR="009337C2" w:rsidRDefault="009337C2" w:rsidP="009337C2">
      <w:pPr>
        <w:spacing w:before="200" w:line="276" w:lineRule="exact"/>
        <w:ind w:left="720"/>
        <w:rPr>
          <w:sz w:val="24"/>
          <w:szCs w:val="24"/>
          <w:rtl/>
        </w:rPr>
      </w:pPr>
      <w:r>
        <w:rPr>
          <w:rFonts w:hint="cs"/>
          <w:sz w:val="24"/>
          <w:szCs w:val="24"/>
          <w:rtl/>
        </w:rPr>
        <w:t>ונראה להביא סימוכין לזה מההלכה שהקרבת התמיד ביום הכיפורים זקוקה לטבילה וקידוש ידים ורגלים מדין חמש טבילות ועשרה קידושים המיוחד לעבודת היום. מכאן, שכל העבודות הנעשות ביום הכיפורים מצטרפות למערכת כפרה אחת, ועל כן כולן זקוקות לכהן הגדול.</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[שם]</w:t>
      </w:r>
    </w:p>
    <w:p w:rsidR="009337C2" w:rsidRDefault="009337C2" w:rsidP="009337C2">
      <w:pPr>
        <w:spacing w:before="200" w:line="276" w:lineRule="exact"/>
        <w:ind w:firstLine="227"/>
        <w:rPr>
          <w:sz w:val="24"/>
          <w:szCs w:val="24"/>
          <w:rtl/>
        </w:rPr>
      </w:pPr>
      <w:r>
        <w:rPr>
          <w:rFonts w:hint="cs"/>
          <w:sz w:val="24"/>
          <w:szCs w:val="24"/>
          <w:rtl/>
        </w:rPr>
        <w:t>דברי הגרי"ד דומים לדברי המים חיים דלעיל, אך יש ביניהם הבדל עקרוני: המים חיים לומד מהצורך בחמש טבילות ועשרה קידושים שכל העבודות הנעשות ביום צריכות להיעשות על ידי הכהן הגדול, גם אלו שאינן חלק מ'סדר העבודה'. הגרי"ד, לעומתו, סבור שהצורך בחמש טבילות ועשרה קידושים, בהם הכהן הגדול עובר בין העבודות המפורטות בפרשת אחרי מות לעבודות השגרתיות הנעשות במקדש בכל יום, מלמד שגם העבודות השגרתיות הנעשות בכל יום הן מהוות חלק בלתי נפרד מ'סדר העבודה'. באופן זה הגרי"ד מקיים גם לשיטת הרז"ה והרמב"ן את ההבנה שהכהן הגדול נצרך רק בשביל 'סדר העבודה', אלא שהוא כולל ב'סדר העבודה' גם את שאר עבודות היום.</w:t>
      </w:r>
    </w:p>
    <w:p w:rsidR="009337C2" w:rsidRDefault="009337C2" w:rsidP="009337C2">
      <w:pPr>
        <w:spacing w:before="200" w:line="276" w:lineRule="exact"/>
        <w:ind w:firstLine="227"/>
        <w:rPr>
          <w:sz w:val="24"/>
          <w:szCs w:val="24"/>
          <w:rtl/>
        </w:rPr>
      </w:pPr>
    </w:p>
    <w:p w:rsidR="009337C2" w:rsidRDefault="009337C2" w:rsidP="009337C2">
      <w:pPr>
        <w:spacing w:before="200" w:line="276" w:lineRule="exact"/>
        <w:ind w:firstLine="227"/>
        <w:rPr>
          <w:sz w:val="24"/>
          <w:szCs w:val="24"/>
          <w:rtl/>
        </w:rPr>
      </w:pPr>
      <w:r>
        <w:rPr>
          <w:rFonts w:hint="cs"/>
          <w:sz w:val="24"/>
          <w:szCs w:val="24"/>
          <w:rtl/>
        </w:rPr>
        <w:t>בשולי הדברים נציין לדברי הרמב"ם:</w:t>
      </w:r>
    </w:p>
    <w:p w:rsidR="009337C2" w:rsidRDefault="009337C2" w:rsidP="009337C2">
      <w:pPr>
        <w:spacing w:before="200" w:line="276" w:lineRule="exact"/>
        <w:ind w:left="720" w:firstLine="2"/>
        <w:rPr>
          <w:sz w:val="20"/>
          <w:szCs w:val="20"/>
          <w:rtl/>
        </w:rPr>
      </w:pPr>
      <w:r w:rsidRPr="002565C5">
        <w:rPr>
          <w:sz w:val="24"/>
          <w:szCs w:val="24"/>
          <w:rtl/>
        </w:rPr>
        <w:t>עבודת כל חמש עשרה בהמות אלו הקריבין ביום זה אינה אלא בכהן גדול בלבד</w:t>
      </w:r>
      <w:r>
        <w:rPr>
          <w:rFonts w:hint="cs"/>
          <w:sz w:val="24"/>
          <w:szCs w:val="24"/>
          <w:rtl/>
        </w:rPr>
        <w:t>...</w:t>
      </w:r>
      <w:r w:rsidRPr="002565C5">
        <w:rPr>
          <w:sz w:val="24"/>
          <w:szCs w:val="24"/>
          <w:rtl/>
        </w:rPr>
        <w:t xml:space="preserve"> </w:t>
      </w:r>
      <w:r w:rsidRPr="003B08EE">
        <w:rPr>
          <w:b/>
          <w:bCs/>
          <w:sz w:val="24"/>
          <w:szCs w:val="24"/>
          <w:rtl/>
        </w:rPr>
        <w:t>ואם היתה שבת אף מוסף שבת אין מקריב אותו אלא כהן גדול</w:t>
      </w:r>
      <w:r>
        <w:rPr>
          <w:rFonts w:hint="cs"/>
          <w:sz w:val="24"/>
          <w:szCs w:val="24"/>
          <w:rtl/>
        </w:rPr>
        <w:t xml:space="preserve">. </w:t>
      </w:r>
      <w:r w:rsidRPr="002565C5">
        <w:rPr>
          <w:sz w:val="24"/>
          <w:szCs w:val="24"/>
          <w:rtl/>
        </w:rPr>
        <w:t>וכן שאר העבודות של יום זה</w:t>
      </w:r>
      <w:r>
        <w:rPr>
          <w:rFonts w:hint="cs"/>
          <w:sz w:val="24"/>
          <w:szCs w:val="24"/>
          <w:rtl/>
        </w:rPr>
        <w:t>,</w:t>
      </w:r>
      <w:r w:rsidRPr="002565C5">
        <w:rPr>
          <w:sz w:val="24"/>
          <w:szCs w:val="24"/>
          <w:rtl/>
        </w:rPr>
        <w:t xml:space="preserve"> כגון הקטרת הקטורת של כל יום והטבת הנרות</w:t>
      </w:r>
      <w:r>
        <w:rPr>
          <w:rFonts w:hint="cs"/>
          <w:sz w:val="24"/>
          <w:szCs w:val="24"/>
          <w:rtl/>
        </w:rPr>
        <w:t>,</w:t>
      </w:r>
      <w:r w:rsidRPr="002565C5">
        <w:rPr>
          <w:sz w:val="24"/>
          <w:szCs w:val="24"/>
          <w:rtl/>
        </w:rPr>
        <w:t xml:space="preserve"> הכל עשוי בכהן גדול נשוי</w:t>
      </w:r>
      <w:r>
        <w:rPr>
          <w:rFonts w:hint="cs"/>
          <w:sz w:val="24"/>
          <w:szCs w:val="24"/>
          <w:rtl/>
        </w:rPr>
        <w:t>,</w:t>
      </w:r>
      <w:r w:rsidRPr="002565C5">
        <w:rPr>
          <w:sz w:val="24"/>
          <w:szCs w:val="24"/>
          <w:rtl/>
        </w:rPr>
        <w:t xml:space="preserve"> שנאמר </w:t>
      </w:r>
      <w:r>
        <w:rPr>
          <w:rFonts w:hint="cs"/>
          <w:sz w:val="24"/>
          <w:szCs w:val="24"/>
          <w:rtl/>
        </w:rPr>
        <w:t>'</w:t>
      </w:r>
      <w:r w:rsidRPr="002565C5">
        <w:rPr>
          <w:sz w:val="24"/>
          <w:szCs w:val="24"/>
          <w:rtl/>
        </w:rPr>
        <w:t>וכפר בעדו ובעד ביתו</w:t>
      </w:r>
      <w:r>
        <w:rPr>
          <w:rFonts w:hint="cs"/>
          <w:sz w:val="24"/>
          <w:szCs w:val="24"/>
          <w:rtl/>
        </w:rPr>
        <w:t xml:space="preserve">' </w:t>
      </w:r>
      <w:r>
        <w:rPr>
          <w:sz w:val="24"/>
          <w:szCs w:val="24"/>
          <w:rtl/>
        </w:rPr>
        <w:t>–</w:t>
      </w:r>
      <w:r w:rsidRPr="002565C5">
        <w:rPr>
          <w:sz w:val="24"/>
          <w:szCs w:val="24"/>
          <w:rtl/>
        </w:rPr>
        <w:t xml:space="preserve"> ביתו זו אשתו.</w:t>
      </w:r>
      <w:r>
        <w:rPr>
          <w:sz w:val="24"/>
          <w:szCs w:val="24"/>
          <w:rtl/>
        </w:rPr>
        <w:tab/>
      </w:r>
      <w:r>
        <w:rPr>
          <w:sz w:val="24"/>
          <w:szCs w:val="24"/>
          <w:rtl/>
        </w:rPr>
        <w:tab/>
      </w:r>
      <w:r>
        <w:rPr>
          <w:rFonts w:hint="cs"/>
          <w:sz w:val="24"/>
          <w:szCs w:val="24"/>
          <w:rtl/>
        </w:rPr>
        <w:t xml:space="preserve">         </w:t>
      </w:r>
      <w:r w:rsidRPr="002565C5">
        <w:rPr>
          <w:rFonts w:hint="cs"/>
          <w:sz w:val="24"/>
          <w:szCs w:val="24"/>
          <w:rtl/>
        </w:rPr>
        <w:t xml:space="preserve"> </w:t>
      </w:r>
      <w:r>
        <w:rPr>
          <w:rFonts w:hint="cs"/>
          <w:sz w:val="20"/>
          <w:szCs w:val="20"/>
          <w:rtl/>
        </w:rPr>
        <w:t xml:space="preserve">   [הל' עבודת יום הכיפורים פ"א ה"ד]</w:t>
      </w:r>
    </w:p>
    <w:p w:rsidR="009337C2" w:rsidRDefault="009337C2" w:rsidP="009337C2">
      <w:pPr>
        <w:spacing w:before="200" w:line="276" w:lineRule="exact"/>
        <w:ind w:firstLine="227"/>
        <w:rPr>
          <w:sz w:val="24"/>
          <w:szCs w:val="24"/>
          <w:rtl/>
        </w:rPr>
      </w:pPr>
      <w:r>
        <w:rPr>
          <w:rFonts w:hint="cs"/>
          <w:sz w:val="24"/>
          <w:szCs w:val="24"/>
          <w:rtl/>
        </w:rPr>
        <w:t>הרמב"ם כותב כי גם מוסף השבת צריך להיעשות על ידי כהן גדול. דין זה מתיישב היטב עם טענת המים חיים, שיסוד הדין הוא שביום הכיפורים רק הכהן הגדול כשר לעבודה, ולכן הוא צריך להקריב את מוסף השבת. אמנם, האור שמח מבאר את טעמו של הרמב"ם באופן אחר:</w:t>
      </w:r>
    </w:p>
    <w:p w:rsidR="009337C2" w:rsidRDefault="009337C2" w:rsidP="009337C2">
      <w:pPr>
        <w:spacing w:before="200" w:line="276" w:lineRule="exact"/>
        <w:ind w:left="720"/>
        <w:rPr>
          <w:sz w:val="24"/>
          <w:szCs w:val="24"/>
          <w:rtl/>
        </w:rPr>
      </w:pPr>
      <w:r w:rsidRPr="002565C5">
        <w:rPr>
          <w:sz w:val="24"/>
          <w:szCs w:val="24"/>
          <w:rtl/>
        </w:rPr>
        <w:t xml:space="preserve">דאמרו בפרק כל התדיר (זבחים צ"א ע"א) </w:t>
      </w:r>
      <w:r>
        <w:rPr>
          <w:rFonts w:hint="cs"/>
          <w:sz w:val="24"/>
          <w:szCs w:val="24"/>
          <w:rtl/>
        </w:rPr>
        <w:t>'</w:t>
      </w:r>
      <w:r>
        <w:rPr>
          <w:sz w:val="24"/>
          <w:szCs w:val="24"/>
          <w:rtl/>
        </w:rPr>
        <w:t>אטו ר</w:t>
      </w:r>
      <w:r>
        <w:rPr>
          <w:rFonts w:hint="cs"/>
          <w:sz w:val="24"/>
          <w:szCs w:val="24"/>
          <w:rtl/>
        </w:rPr>
        <w:t>אש חודש</w:t>
      </w:r>
      <w:r w:rsidRPr="002565C5">
        <w:rPr>
          <w:sz w:val="24"/>
          <w:szCs w:val="24"/>
          <w:rtl/>
        </w:rPr>
        <w:t xml:space="preserve"> למוספין דידיה אהני למוספי שבת לא אהני</w:t>
      </w:r>
      <w:r>
        <w:rPr>
          <w:rFonts w:hint="cs"/>
          <w:sz w:val="24"/>
          <w:szCs w:val="24"/>
          <w:rtl/>
        </w:rPr>
        <w:t>'</w:t>
      </w:r>
      <w:r>
        <w:rPr>
          <w:sz w:val="24"/>
          <w:szCs w:val="24"/>
          <w:rtl/>
        </w:rPr>
        <w:t>, יעו"ש, הרי דמקדשי בקדושת ר</w:t>
      </w:r>
      <w:r>
        <w:rPr>
          <w:rFonts w:hint="cs"/>
          <w:sz w:val="24"/>
          <w:szCs w:val="24"/>
          <w:rtl/>
        </w:rPr>
        <w:t>אש חודש</w:t>
      </w:r>
      <w:r>
        <w:rPr>
          <w:sz w:val="24"/>
          <w:szCs w:val="24"/>
          <w:rtl/>
        </w:rPr>
        <w:t>, כן הכא מוספי שבת בקדושת יו</w:t>
      </w:r>
      <w:r>
        <w:rPr>
          <w:rFonts w:hint="cs"/>
          <w:sz w:val="24"/>
          <w:szCs w:val="24"/>
          <w:rtl/>
        </w:rPr>
        <w:t>ם הכיפורים</w:t>
      </w:r>
      <w:r>
        <w:rPr>
          <w:sz w:val="24"/>
          <w:szCs w:val="24"/>
          <w:rtl/>
        </w:rPr>
        <w:t xml:space="preserve"> מקדשי, ומצותן בכה</w:t>
      </w:r>
      <w:r>
        <w:rPr>
          <w:rFonts w:hint="cs"/>
          <w:sz w:val="24"/>
          <w:szCs w:val="24"/>
          <w:rtl/>
        </w:rPr>
        <w:t xml:space="preserve">אי גוונא </w:t>
      </w:r>
      <w:r w:rsidRPr="002565C5">
        <w:rPr>
          <w:sz w:val="24"/>
          <w:szCs w:val="24"/>
          <w:rtl/>
        </w:rPr>
        <w:t>כמו תמידים.</w:t>
      </w:r>
    </w:p>
    <w:p w:rsidR="009337C2" w:rsidRPr="002565C5" w:rsidRDefault="009337C2" w:rsidP="009337C2">
      <w:pPr>
        <w:spacing w:before="200" w:line="276" w:lineRule="exact"/>
        <w:ind w:left="720"/>
        <w:jc w:val="right"/>
        <w:rPr>
          <w:sz w:val="20"/>
          <w:szCs w:val="20"/>
          <w:rtl/>
        </w:rPr>
      </w:pPr>
      <w:r>
        <w:rPr>
          <w:rFonts w:hint="cs"/>
          <w:sz w:val="20"/>
          <w:szCs w:val="20"/>
          <w:rtl/>
        </w:rPr>
        <w:t>[אור שמח הל' עבודת יום הכיפורים פ"ד ה"א]</w:t>
      </w:r>
    </w:p>
    <w:p w:rsidR="009337C2" w:rsidRDefault="009337C2" w:rsidP="009337C2">
      <w:pPr>
        <w:spacing w:before="200" w:after="0" w:line="276" w:lineRule="exact"/>
        <w:ind w:firstLine="227"/>
        <w:rPr>
          <w:sz w:val="24"/>
          <w:szCs w:val="24"/>
          <w:rtl/>
        </w:rPr>
      </w:pPr>
      <w:r>
        <w:rPr>
          <w:rFonts w:hint="cs"/>
          <w:sz w:val="24"/>
          <w:szCs w:val="24"/>
          <w:rtl/>
        </w:rPr>
        <w:t>לטענת האור שמח, טעמו של הרמב"ם הוא משום שמוסף השבת מתקדש בקדושת יום הכיפורים. בשל כך, באותו שנה נכלל גם מוסף השבת ב'סדר עבודת יום הכיפורים', ולכן גם הוא צריך להיעשות דווקא על ידי הכהן הגדול</w:t>
      </w:r>
      <w:r>
        <w:rPr>
          <w:rStyle w:val="a7"/>
          <w:sz w:val="24"/>
          <w:szCs w:val="24"/>
          <w:rtl/>
        </w:rPr>
        <w:footnoteReference w:id="32"/>
      </w:r>
      <w:r>
        <w:rPr>
          <w:rFonts w:hint="cs"/>
          <w:sz w:val="24"/>
          <w:szCs w:val="24"/>
          <w:rtl/>
        </w:rPr>
        <w:t>.</w:t>
      </w:r>
    </w:p>
    <w:p w:rsidR="009337C2" w:rsidRPr="00AB5403" w:rsidRDefault="009337C2" w:rsidP="009337C2">
      <w:pPr>
        <w:spacing w:before="200" w:line="276" w:lineRule="exact"/>
        <w:ind w:firstLine="266"/>
        <w:jc w:val="right"/>
        <w:rPr>
          <w:sz w:val="24"/>
          <w:szCs w:val="24"/>
        </w:rPr>
      </w:pPr>
      <w:r w:rsidRPr="00AB5403">
        <w:rPr>
          <w:rFonts w:hint="cs"/>
          <w:sz w:val="24"/>
          <w:szCs w:val="24"/>
          <w:u w:val="single"/>
          <w:rtl/>
        </w:rPr>
        <w:t>להערות ולתגובות</w:t>
      </w:r>
      <w:r w:rsidRPr="00AB5403">
        <w:rPr>
          <w:rFonts w:hint="cs"/>
          <w:sz w:val="24"/>
          <w:szCs w:val="24"/>
          <w:rtl/>
        </w:rPr>
        <w:t>: שלמה ליפשיץ</w:t>
      </w:r>
    </w:p>
    <w:p w:rsidR="009337C2" w:rsidRPr="00AB5403" w:rsidRDefault="009337C2" w:rsidP="009337C2">
      <w:pPr>
        <w:spacing w:line="276" w:lineRule="exact"/>
        <w:ind w:firstLine="227"/>
        <w:jc w:val="right"/>
        <w:rPr>
          <w:rtl/>
        </w:rPr>
      </w:pPr>
      <w:hyperlink r:id="rId12" w:history="1">
        <w:r w:rsidRPr="00AB5403">
          <w:rPr>
            <w:rStyle w:val="Hyperlink"/>
            <w:sz w:val="24"/>
            <w:szCs w:val="24"/>
          </w:rPr>
          <w:t>lshlomo26@gmail.com</w:t>
        </w:r>
      </w:hyperlink>
    </w:p>
    <w:p w:rsidR="009337C2" w:rsidRDefault="009337C2">
      <w:pPr>
        <w:spacing w:after="0" w:line="240" w:lineRule="auto"/>
        <w:rPr>
          <w:color w:val="525252" w:themeColor="accent3" w:themeShade="80"/>
          <w:sz w:val="24"/>
          <w:szCs w:val="24"/>
          <w:rtl/>
        </w:rPr>
      </w:pPr>
      <w:r>
        <w:rPr>
          <w:color w:val="525252" w:themeColor="accent3" w:themeShade="80"/>
          <w:sz w:val="24"/>
          <w:szCs w:val="24"/>
          <w:rtl/>
        </w:rPr>
        <w:br w:type="page"/>
      </w:r>
    </w:p>
    <w:p w:rsidR="009337C2" w:rsidRPr="00B51B3D" w:rsidRDefault="009337C2" w:rsidP="009337C2">
      <w:pPr>
        <w:keepNext/>
        <w:keepLines/>
        <w:spacing w:before="160" w:after="0" w:line="276" w:lineRule="exact"/>
        <w:jc w:val="center"/>
        <w:outlineLvl w:val="0"/>
        <w:rPr>
          <w:rFonts w:asciiTheme="majorHAnsi" w:eastAsiaTheme="majorEastAsia" w:hAnsiTheme="majorHAnsi"/>
          <w:bCs/>
          <w:sz w:val="36"/>
          <w:szCs w:val="36"/>
          <w:rtl/>
        </w:rPr>
      </w:pPr>
      <w:bookmarkStart w:id="36" w:name="_Toc76718405"/>
      <w:bookmarkStart w:id="37" w:name="_Toc76718810"/>
      <w:bookmarkStart w:id="38" w:name="_Toc76719150"/>
      <w:r w:rsidRPr="00B51B3D">
        <w:rPr>
          <w:rFonts w:asciiTheme="majorHAnsi" w:eastAsiaTheme="majorEastAsia" w:hAnsiTheme="majorHAnsi" w:hint="cs"/>
          <w:bCs/>
          <w:sz w:val="40"/>
          <w:szCs w:val="40"/>
          <w:rtl/>
        </w:rPr>
        <w:lastRenderedPageBreak/>
        <w:t>יסודות יומא</w:t>
      </w:r>
      <w:bookmarkEnd w:id="36"/>
      <w:bookmarkEnd w:id="37"/>
      <w:bookmarkEnd w:id="38"/>
    </w:p>
    <w:p w:rsidR="009337C2" w:rsidRPr="00B51B3D" w:rsidRDefault="009337C2" w:rsidP="009337C2">
      <w:pPr>
        <w:keepNext/>
        <w:keepLines/>
        <w:spacing w:before="160" w:after="0" w:line="276" w:lineRule="exact"/>
        <w:jc w:val="center"/>
        <w:outlineLvl w:val="0"/>
        <w:rPr>
          <w:rFonts w:asciiTheme="majorHAnsi" w:eastAsiaTheme="majorEastAsia" w:hAnsiTheme="majorHAnsi"/>
          <w:b/>
          <w:sz w:val="32"/>
          <w:szCs w:val="32"/>
          <w:rtl/>
        </w:rPr>
      </w:pPr>
      <w:bookmarkStart w:id="39" w:name="_Toc76719151"/>
      <w:r w:rsidRPr="00B51B3D">
        <w:rPr>
          <w:rFonts w:asciiTheme="majorHAnsi" w:eastAsiaTheme="majorEastAsia" w:hAnsiTheme="majorHAnsi" w:hint="cs"/>
          <w:b/>
          <w:sz w:val="32"/>
          <w:szCs w:val="32"/>
          <w:rtl/>
        </w:rPr>
        <w:t>שיעור שישי</w:t>
      </w:r>
      <w:bookmarkEnd w:id="39"/>
    </w:p>
    <w:p w:rsidR="009337C2" w:rsidRPr="00B51B3D" w:rsidRDefault="009337C2" w:rsidP="009337C2">
      <w:pPr>
        <w:keepNext/>
        <w:keepLines/>
        <w:spacing w:before="160" w:after="0" w:line="276" w:lineRule="exact"/>
        <w:jc w:val="center"/>
        <w:outlineLvl w:val="0"/>
        <w:rPr>
          <w:rFonts w:asciiTheme="majorHAnsi" w:eastAsiaTheme="majorEastAsia" w:hAnsiTheme="majorHAnsi"/>
          <w:bCs/>
          <w:sz w:val="32"/>
          <w:szCs w:val="32"/>
          <w:rtl/>
        </w:rPr>
      </w:pPr>
      <w:bookmarkStart w:id="40" w:name="_Toc76718407"/>
      <w:bookmarkStart w:id="41" w:name="_Toc76718812"/>
      <w:bookmarkStart w:id="42" w:name="_Toc76719152"/>
      <w:r w:rsidRPr="00B51B3D">
        <w:rPr>
          <w:rFonts w:asciiTheme="majorHAnsi" w:eastAsiaTheme="majorEastAsia" w:hAnsiTheme="majorHAnsi" w:hint="cs"/>
          <w:bCs/>
          <w:sz w:val="36"/>
          <w:szCs w:val="36"/>
          <w:rtl/>
        </w:rPr>
        <w:t>בגדי זהב ובגדי לבן</w:t>
      </w:r>
      <w:bookmarkEnd w:id="40"/>
      <w:bookmarkEnd w:id="41"/>
      <w:bookmarkEnd w:id="42"/>
    </w:p>
    <w:p w:rsidR="009337C2" w:rsidRPr="00B51B3D" w:rsidRDefault="009337C2" w:rsidP="009337C2">
      <w:pPr>
        <w:spacing w:before="160" w:line="276" w:lineRule="exact"/>
        <w:rPr>
          <w:highlight w:val="green"/>
          <w:rtl/>
        </w:rPr>
      </w:pPr>
      <w:r w:rsidRPr="00B51B3D">
        <w:rPr>
          <w:noProof/>
          <w:highlight w:val="green"/>
          <w:rtl/>
        </w:rPr>
        <mc:AlternateContent>
          <mc:Choice Requires="wps">
            <w:drawing>
              <wp:anchor distT="0" distB="0" distL="114300" distR="114300" simplePos="0" relativeHeight="251674624" behindDoc="1" locked="0" layoutInCell="1" allowOverlap="1" wp14:anchorId="478C83E8" wp14:editId="74AD3903">
                <wp:simplePos x="0" y="0"/>
                <wp:positionH relativeFrom="column">
                  <wp:posOffset>-259080</wp:posOffset>
                </wp:positionH>
                <wp:positionV relativeFrom="paragraph">
                  <wp:posOffset>231140</wp:posOffset>
                </wp:positionV>
                <wp:extent cx="5765800" cy="8008620"/>
                <wp:effectExtent l="0" t="0" r="25400" b="11430"/>
                <wp:wrapNone/>
                <wp:docPr id="11" name="מלבן 11"/>
                <wp:cNvGraphicFramePr/>
                <a:graphic xmlns:a="http://schemas.openxmlformats.org/drawingml/2006/main">
                  <a:graphicData uri="http://schemas.microsoft.com/office/word/2010/wordprocessingShape">
                    <wps:wsp>
                      <wps:cNvSpPr/>
                      <wps:spPr>
                        <a:xfrm>
                          <a:off x="0" y="0"/>
                          <a:ext cx="5765800" cy="800862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948C" id="מלבן 11" o:spid="_x0000_s1026" style="position:absolute;left:0;text-align:left;margin-left:-20.4pt;margin-top:18.2pt;width:454pt;height:630.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LmhwIAAAMFAAAOAAAAZHJzL2Uyb0RvYy54bWysVMlu2zAQvRfoPxC8N5INO4sQOTAcuCgQ&#10;JAGcImeaomwB3ErSlt2/6L1oP8u/00dKcZbmVNQHeoYznOXNG11e7ZQkW+F8Y3RJByc5JUJzUzV6&#10;VdKvD/NP55T4wHTFpNGipHvh6dXk44fL1hZiaNZGVsIRBNG+aG1J1yHYIss8XwvF/ImxQsNYG6dY&#10;gOpWWeVYi+hKZsM8P81a4yrrDBfe4/a6M9JJil/Xgoe7uvYiEFlS1BbS6dK5jGc2uWTFyjG7bnhf&#10;BvuHKhRrNJIeQ12zwMjGNX+FUg13xps6nHCjMlPXDRepB3QzyN90s1gzK1IvAMfbI0z+/4Xlt9t7&#10;R5oKsxtQopnCjA6/Dj8PPw6/Ca6AT2t9AbeFvXe95iHGZne1U/EfbZBdwnR/xFTsAuG4HJ+djs9z&#10;QM9hg3B+OkyoZ8/PrfPhszCKRKGkDkNLWLLtjQ9ICdcnl5jNG9lU80bKpOz9TDqyZZgvaFGZlhLJ&#10;fMBlSefpF3tAiFfPpCYtWr7Ix7EyBuLVkgWIygIKr1eUMLkCo3lwqZZXr71bLY9ZR6Oz4Wz0XpJY&#10;9DXz6666FCG6sUI1AaSXjUqI5ECnK1HqaBWJtn3rEfwO7igtTbXHuJzpeOwtnzdIcoOG75kDcdEN&#10;ljHc4ailQYumlyhZG/f9vfvoDz7BSkmLRUD73zbMCeD4RYNpF4PRKG5OUkbjM4yPuJeW5UuL3qiZ&#10;wSxAJlSXxOgf5NNt7Yx6xM5OY1aYmObI3QHdK7PQLSi2novpNLlhWywLN3pheQwecYrwPuwembM9&#10;cQI4d2ueloYVb/jT+caX2kw3wdRNItczrqBJVLBpiTD9VyGu8ks9eT1/uyZ/AAAA//8DAFBLAwQU&#10;AAYACAAAACEAkjlhdeEAAAALAQAADwAAAGRycy9kb3ducmV2LnhtbEyPwU7DMBBE70j8g7VI3Fq7&#10;oXLbEKeiSAg4FNEWcXZjk0TY6xC7Tfh7lhMcV/M087ZYj96xs+1jG1DBbCqAWayCabFW8HZ4mCyB&#10;xaTRaBfQKvi2Edbl5UWhcxMG3NnzPtWMSjDmWkGTUpdzHqvGeh2nobNI2UfovU509jU3vR6o3Due&#10;CSG51y3SQqM7e9/Y6nN/8gqeN/XX+1M920nvXocNPoqXbRBKXV+Nd7fAkh3THwy/+qQOJTkdwwlN&#10;ZE7BZC5IPSm4kXNgBCzlIgN2JDJbLSTwsuD/fyh/AAAA//8DAFBLAQItABQABgAIAAAAIQC2gziS&#10;/gAAAOEBAAATAAAAAAAAAAAAAAAAAAAAAABbQ29udGVudF9UeXBlc10ueG1sUEsBAi0AFAAGAAgA&#10;AAAhADj9If/WAAAAlAEAAAsAAAAAAAAAAAAAAAAALwEAAF9yZWxzLy5yZWxzUEsBAi0AFAAGAAgA&#10;AAAhABfLcuaHAgAAAwUAAA4AAAAAAAAAAAAAAAAALgIAAGRycy9lMm9Eb2MueG1sUEsBAi0AFAAG&#10;AAgAAAAhAJI5YXXhAAAACwEAAA8AAAAAAAAAAAAAAAAA4QQAAGRycy9kb3ducmV2LnhtbFBLBQYA&#10;AAAABAAEAPMAAADvBQAAAAA=&#10;" fillcolor="window" strokecolor="#4472c4" strokeweight="1.5pt"/>
            </w:pict>
          </mc:Fallback>
        </mc:AlternateContent>
      </w:r>
    </w:p>
    <w:p w:rsidR="009337C2" w:rsidRPr="00393625" w:rsidRDefault="009337C2" w:rsidP="009337C2">
      <w:pPr>
        <w:spacing w:before="160" w:line="276" w:lineRule="exact"/>
        <w:jc w:val="center"/>
        <w:rPr>
          <w:b/>
          <w:bCs/>
          <w:sz w:val="24"/>
          <w:szCs w:val="24"/>
          <w:rtl/>
        </w:rPr>
      </w:pPr>
      <w:r w:rsidRPr="00393625">
        <w:rPr>
          <w:rFonts w:hint="cs"/>
          <w:b/>
          <w:bCs/>
          <w:sz w:val="24"/>
          <w:szCs w:val="24"/>
          <w:rtl/>
        </w:rPr>
        <w:t>מקורות</w:t>
      </w:r>
    </w:p>
    <w:p w:rsidR="009337C2" w:rsidRDefault="009337C2" w:rsidP="009337C2">
      <w:pPr>
        <w:spacing w:before="160" w:line="276" w:lineRule="exact"/>
        <w:rPr>
          <w:sz w:val="24"/>
          <w:szCs w:val="24"/>
          <w:rtl/>
        </w:rPr>
      </w:pPr>
      <w:r w:rsidRPr="00393625">
        <w:rPr>
          <w:rFonts w:hint="cs"/>
          <w:sz w:val="24"/>
          <w:szCs w:val="24"/>
          <w:rtl/>
        </w:rPr>
        <w:t xml:space="preserve">א. </w:t>
      </w:r>
      <w:r>
        <w:rPr>
          <w:rFonts w:hint="cs"/>
          <w:sz w:val="24"/>
          <w:szCs w:val="24"/>
          <w:rtl/>
        </w:rPr>
        <w:t>ויקרא פרק טז פס' ד; [רש"י ורמב"ן על אתר]</w:t>
      </w:r>
    </w:p>
    <w:p w:rsidR="009337C2" w:rsidRDefault="009337C2" w:rsidP="009337C2">
      <w:pPr>
        <w:spacing w:before="160" w:line="276" w:lineRule="exact"/>
        <w:rPr>
          <w:sz w:val="24"/>
          <w:szCs w:val="24"/>
          <w:rtl/>
        </w:rPr>
      </w:pPr>
      <w:r>
        <w:rPr>
          <w:rFonts w:hint="cs"/>
          <w:sz w:val="24"/>
          <w:szCs w:val="24"/>
          <w:rtl/>
        </w:rPr>
        <w:t>ב. גמ' ראש השנה כו. "עולא אמר... כבפנים דמי"; טורי אבן שם, ד"ה מפני מה</w:t>
      </w:r>
    </w:p>
    <w:p w:rsidR="009337C2" w:rsidRDefault="009337C2" w:rsidP="009337C2">
      <w:pPr>
        <w:spacing w:before="160" w:line="276" w:lineRule="exact"/>
        <w:rPr>
          <w:sz w:val="24"/>
          <w:szCs w:val="24"/>
          <w:rtl/>
        </w:rPr>
      </w:pPr>
      <w:r>
        <w:rPr>
          <w:rFonts w:hint="cs"/>
          <w:sz w:val="24"/>
          <w:szCs w:val="24"/>
          <w:rtl/>
        </w:rPr>
        <w:t>ג. ירושלמי יומא פ"ז ה"ב "ולמה בבגדי לבן... קדש ילבש"; פ"ז ה"ג "מפני מה אינו... בבגדי זהב"</w:t>
      </w:r>
    </w:p>
    <w:p w:rsidR="009337C2" w:rsidRDefault="009337C2" w:rsidP="009337C2">
      <w:pPr>
        <w:spacing w:before="160" w:line="276" w:lineRule="exact"/>
        <w:rPr>
          <w:sz w:val="24"/>
          <w:szCs w:val="24"/>
          <w:rtl/>
        </w:rPr>
      </w:pPr>
      <w:r>
        <w:rPr>
          <w:rFonts w:hint="cs"/>
          <w:sz w:val="24"/>
          <w:szCs w:val="24"/>
          <w:rtl/>
        </w:rPr>
        <w:t>ד. גמ' יב: "כי אתא רב דימי... יום הכיפורים אחר"; מקדש דוד סי' לו ס"ק א "ונראה לענ"ד... לשם בגדי כהן גדול"</w:t>
      </w:r>
    </w:p>
    <w:p w:rsidR="009337C2" w:rsidRDefault="009337C2" w:rsidP="009337C2">
      <w:pPr>
        <w:spacing w:before="160" w:line="276" w:lineRule="exact"/>
        <w:rPr>
          <w:sz w:val="24"/>
          <w:szCs w:val="24"/>
          <w:rtl/>
        </w:rPr>
      </w:pPr>
      <w:r>
        <w:rPr>
          <w:rFonts w:hint="cs"/>
          <w:sz w:val="24"/>
          <w:szCs w:val="24"/>
          <w:rtl/>
        </w:rPr>
        <w:t>ה. רמב"ם הל' כלי המקדש והעובדים בו פ"ח ה"א-ג</w:t>
      </w:r>
    </w:p>
    <w:p w:rsidR="009337C2" w:rsidRDefault="009337C2" w:rsidP="009337C2">
      <w:pPr>
        <w:spacing w:before="160" w:line="276" w:lineRule="exact"/>
        <w:rPr>
          <w:sz w:val="24"/>
          <w:szCs w:val="24"/>
          <w:rtl/>
        </w:rPr>
      </w:pPr>
      <w:r>
        <w:rPr>
          <w:rFonts w:hint="cs"/>
          <w:sz w:val="24"/>
          <w:szCs w:val="24"/>
          <w:rtl/>
        </w:rPr>
        <w:t>ו. ספרי פרשת חוקת פסקה קכג ד"ה זאת חוקת; [משנה פרה פ"ד מ"א; פיה"מ לרמב"ם, שם]; הל' פרה אדומה פ"א הי"ב; [משנה למלך, שם]</w:t>
      </w:r>
    </w:p>
    <w:p w:rsidR="009337C2" w:rsidRDefault="009337C2" w:rsidP="009337C2">
      <w:pPr>
        <w:spacing w:before="160" w:line="276" w:lineRule="exact"/>
        <w:rPr>
          <w:sz w:val="24"/>
          <w:szCs w:val="24"/>
          <w:rtl/>
        </w:rPr>
      </w:pPr>
      <w:r>
        <w:rPr>
          <w:rFonts w:hint="cs"/>
          <w:sz w:val="24"/>
          <w:szCs w:val="24"/>
          <w:rtl/>
        </w:rPr>
        <w:t>ז. רש"י פסחים עז. ד"ה שאינו; גליון הש"ס, שם</w:t>
      </w:r>
    </w:p>
    <w:p w:rsidR="009337C2" w:rsidRDefault="009337C2" w:rsidP="009337C2">
      <w:pPr>
        <w:spacing w:before="160" w:after="0" w:line="276" w:lineRule="exact"/>
        <w:rPr>
          <w:sz w:val="24"/>
          <w:szCs w:val="24"/>
          <w:rtl/>
        </w:rPr>
      </w:pPr>
    </w:p>
    <w:p w:rsidR="009337C2" w:rsidRDefault="009337C2" w:rsidP="009337C2">
      <w:pPr>
        <w:spacing w:before="160" w:line="276" w:lineRule="exact"/>
        <w:rPr>
          <w:rFonts w:ascii="FrankRuehl" w:hAnsi="FrankRuehl" w:cs="FrankRuehl"/>
          <w:b/>
          <w:bCs/>
          <w:sz w:val="24"/>
          <w:szCs w:val="24"/>
          <w:rtl/>
        </w:rPr>
      </w:pPr>
      <w:r>
        <w:rPr>
          <w:rFonts w:ascii="FrankRuehl" w:hAnsi="FrankRuehl" w:cs="FrankRuehl" w:hint="cs"/>
          <w:b/>
          <w:bCs/>
          <w:sz w:val="24"/>
          <w:szCs w:val="24"/>
          <w:rtl/>
        </w:rPr>
        <w:t>טורי אבן ראש השנה כו. ד"ה מפני מה</w:t>
      </w:r>
    </w:p>
    <w:p w:rsidR="009337C2" w:rsidRDefault="009337C2" w:rsidP="009337C2">
      <w:pPr>
        <w:spacing w:before="160" w:line="276" w:lineRule="exact"/>
        <w:rPr>
          <w:rFonts w:ascii="FrankRuehl" w:hAnsi="FrankRuehl" w:cs="FrankRuehl"/>
          <w:sz w:val="24"/>
          <w:szCs w:val="24"/>
          <w:rtl/>
        </w:rPr>
      </w:pPr>
      <w:r>
        <w:rPr>
          <w:rFonts w:ascii="FrankRuehl" w:hAnsi="FrankRuehl" w:cs="FrankRuehl"/>
          <w:sz w:val="24"/>
          <w:szCs w:val="24"/>
          <w:rtl/>
        </w:rPr>
        <w:t>מפני מה אין כהן גדול נכנס</w:t>
      </w:r>
      <w:r>
        <w:rPr>
          <w:rFonts w:ascii="FrankRuehl" w:hAnsi="FrankRuehl" w:cs="FrankRuehl" w:hint="cs"/>
          <w:sz w:val="24"/>
          <w:szCs w:val="24"/>
          <w:rtl/>
        </w:rPr>
        <w:t xml:space="preserve"> </w:t>
      </w:r>
      <w:r>
        <w:rPr>
          <w:rFonts w:ascii="FrankRuehl" w:hAnsi="FrankRuehl" w:cs="FrankRuehl"/>
          <w:sz w:val="24"/>
          <w:szCs w:val="24"/>
          <w:rtl/>
        </w:rPr>
        <w:t>–</w:t>
      </w:r>
      <w:r>
        <w:rPr>
          <w:rFonts w:ascii="FrankRuehl" w:hAnsi="FrankRuehl" w:cs="FrankRuehl" w:hint="cs"/>
          <w:sz w:val="24"/>
          <w:szCs w:val="24"/>
          <w:rtl/>
        </w:rPr>
        <w:t xml:space="preserve"> קשיא לי, אם כן</w:t>
      </w:r>
      <w:r w:rsidRPr="00A676C8">
        <w:rPr>
          <w:rFonts w:ascii="FrankRuehl" w:hAnsi="FrankRuehl" w:cs="FrankRuehl"/>
          <w:sz w:val="24"/>
          <w:szCs w:val="24"/>
          <w:rtl/>
        </w:rPr>
        <w:t xml:space="preserve"> למה נשתנה אבנט של כה</w:t>
      </w:r>
      <w:r>
        <w:rPr>
          <w:rFonts w:ascii="FrankRuehl" w:hAnsi="FrankRuehl" w:cs="FrankRuehl" w:hint="cs"/>
          <w:sz w:val="24"/>
          <w:szCs w:val="24"/>
          <w:rtl/>
        </w:rPr>
        <w:t>ן גדול, דביום הכיפורים</w:t>
      </w:r>
      <w:r w:rsidRPr="00A676C8">
        <w:rPr>
          <w:rFonts w:ascii="FrankRuehl" w:hAnsi="FrankRuehl" w:cs="FrankRuehl"/>
          <w:sz w:val="24"/>
          <w:szCs w:val="24"/>
          <w:rtl/>
        </w:rPr>
        <w:t xml:space="preserve"> של בוץ וכל השנה של כלאים</w:t>
      </w:r>
      <w:r>
        <w:rPr>
          <w:rFonts w:ascii="FrankRuehl" w:hAnsi="FrankRuehl" w:cs="FrankRuehl" w:hint="cs"/>
          <w:sz w:val="24"/>
          <w:szCs w:val="24"/>
          <w:rtl/>
        </w:rPr>
        <w:t>,</w:t>
      </w:r>
      <w:r w:rsidRPr="00A676C8">
        <w:rPr>
          <w:rFonts w:ascii="FrankRuehl" w:hAnsi="FrankRuehl" w:cs="FrankRuehl"/>
          <w:sz w:val="24"/>
          <w:szCs w:val="24"/>
          <w:rtl/>
        </w:rPr>
        <w:t xml:space="preserve"> כדאמ</w:t>
      </w:r>
      <w:r>
        <w:rPr>
          <w:rFonts w:ascii="FrankRuehl" w:hAnsi="FrankRuehl" w:cs="FrankRuehl"/>
          <w:sz w:val="24"/>
          <w:szCs w:val="24"/>
          <w:rtl/>
        </w:rPr>
        <w:t>ר בפ"ק דיומא (דף י"ב). מיהו למ</w:t>
      </w:r>
      <w:r>
        <w:rPr>
          <w:rFonts w:ascii="FrankRuehl" w:hAnsi="FrankRuehl" w:cs="FrankRuehl" w:hint="cs"/>
          <w:sz w:val="24"/>
          <w:szCs w:val="24"/>
          <w:rtl/>
        </w:rPr>
        <w:t>אן דאמר</w:t>
      </w:r>
      <w:r w:rsidRPr="00A676C8">
        <w:rPr>
          <w:rFonts w:ascii="FrankRuehl" w:hAnsi="FrankRuehl" w:cs="FrankRuehl"/>
          <w:sz w:val="24"/>
          <w:szCs w:val="24"/>
          <w:rtl/>
        </w:rPr>
        <w:t xml:space="preserve"> התם דשל כהן הדיוט של בוץ יש קצת טעם כיון </w:t>
      </w:r>
      <w:r>
        <w:rPr>
          <w:rFonts w:ascii="FrankRuehl" w:hAnsi="FrankRuehl" w:cs="FrankRuehl"/>
          <w:sz w:val="24"/>
          <w:szCs w:val="24"/>
          <w:rtl/>
        </w:rPr>
        <w:t>דאין נכנס בשל זהב מהאי טעמא דר</w:t>
      </w:r>
      <w:r>
        <w:rPr>
          <w:rFonts w:ascii="FrankRuehl" w:hAnsi="FrankRuehl" w:cs="FrankRuehl" w:hint="cs"/>
          <w:sz w:val="24"/>
          <w:szCs w:val="24"/>
          <w:rtl/>
        </w:rPr>
        <w:t>ב חסדא</w:t>
      </w:r>
      <w:r w:rsidRPr="00A676C8">
        <w:rPr>
          <w:rFonts w:ascii="FrankRuehl" w:hAnsi="FrankRuehl" w:cs="FrankRuehl"/>
          <w:sz w:val="24"/>
          <w:szCs w:val="24"/>
          <w:rtl/>
        </w:rPr>
        <w:t>, אלא בד' בגדים של הדיוט לא רצתה התורה לשנות נמי האבנט שלו משל הדיוט אלא לגמרי כשל הדיוט</w:t>
      </w:r>
      <w:r>
        <w:rPr>
          <w:rFonts w:ascii="FrankRuehl" w:hAnsi="FrankRuehl" w:cs="FrankRuehl" w:hint="cs"/>
          <w:sz w:val="24"/>
          <w:szCs w:val="24"/>
          <w:rtl/>
        </w:rPr>
        <w:t>,</w:t>
      </w:r>
      <w:r w:rsidRPr="00A676C8">
        <w:rPr>
          <w:rFonts w:ascii="FrankRuehl" w:hAnsi="FrankRuehl" w:cs="FrankRuehl"/>
          <w:sz w:val="24"/>
          <w:szCs w:val="24"/>
          <w:rtl/>
        </w:rPr>
        <w:t xml:space="preserve"> אבל למ"ד התם של הדי</w:t>
      </w:r>
      <w:r>
        <w:rPr>
          <w:rFonts w:ascii="FrankRuehl" w:hAnsi="FrankRuehl" w:cs="FrankRuehl"/>
          <w:sz w:val="24"/>
          <w:szCs w:val="24"/>
          <w:rtl/>
        </w:rPr>
        <w:t>וט של כלאים תקשה שינוי אבנט למה</w:t>
      </w:r>
      <w:r>
        <w:rPr>
          <w:rFonts w:ascii="FrankRuehl" w:hAnsi="FrankRuehl" w:cs="FrankRuehl" w:hint="cs"/>
          <w:sz w:val="24"/>
          <w:szCs w:val="24"/>
          <w:rtl/>
        </w:rPr>
        <w:t>.</w:t>
      </w:r>
    </w:p>
    <w:p w:rsidR="009337C2" w:rsidRPr="00A676C8" w:rsidRDefault="009337C2" w:rsidP="009337C2">
      <w:pPr>
        <w:spacing w:before="160" w:after="0" w:line="276" w:lineRule="exact"/>
        <w:rPr>
          <w:rFonts w:ascii="FrankRuehl" w:hAnsi="FrankRuehl" w:cs="FrankRuehl"/>
          <w:sz w:val="24"/>
          <w:szCs w:val="24"/>
          <w:rtl/>
        </w:rPr>
      </w:pPr>
    </w:p>
    <w:p w:rsidR="009337C2" w:rsidRDefault="009337C2" w:rsidP="009337C2">
      <w:pPr>
        <w:spacing w:before="160" w:line="276" w:lineRule="exact"/>
        <w:rPr>
          <w:rFonts w:ascii="FrankRuehl" w:hAnsi="FrankRuehl" w:cs="FrankRuehl"/>
          <w:b/>
          <w:bCs/>
          <w:sz w:val="24"/>
          <w:szCs w:val="24"/>
          <w:rtl/>
        </w:rPr>
      </w:pPr>
      <w:r>
        <w:rPr>
          <w:rFonts w:ascii="FrankRuehl" w:hAnsi="FrankRuehl" w:cs="FrankRuehl" w:hint="cs"/>
          <w:b/>
          <w:bCs/>
          <w:sz w:val="24"/>
          <w:szCs w:val="24"/>
          <w:rtl/>
        </w:rPr>
        <w:t>ירושלמי יומא פ"ז ה"ב</w:t>
      </w:r>
    </w:p>
    <w:p w:rsidR="009337C2" w:rsidRDefault="009337C2" w:rsidP="009337C2">
      <w:pPr>
        <w:spacing w:before="160" w:line="276" w:lineRule="exact"/>
        <w:rPr>
          <w:rFonts w:ascii="FrankRuehl" w:hAnsi="FrankRuehl" w:cs="FrankRuehl"/>
          <w:sz w:val="24"/>
          <w:szCs w:val="24"/>
          <w:rtl/>
        </w:rPr>
      </w:pPr>
      <w:r w:rsidRPr="00A676C8">
        <w:rPr>
          <w:rFonts w:ascii="FrankRuehl" w:hAnsi="FrankRuehl" w:cs="FrankRuehl"/>
          <w:sz w:val="24"/>
          <w:szCs w:val="24"/>
          <w:rtl/>
        </w:rPr>
        <w:t>ולמה בבגדי לבן</w:t>
      </w:r>
      <w:r>
        <w:rPr>
          <w:rFonts w:ascii="FrankRuehl" w:hAnsi="FrankRuehl" w:cs="FrankRuehl" w:hint="cs"/>
          <w:sz w:val="24"/>
          <w:szCs w:val="24"/>
          <w:rtl/>
        </w:rPr>
        <w:t>?</w:t>
      </w:r>
      <w:r>
        <w:rPr>
          <w:rFonts w:ascii="FrankRuehl" w:hAnsi="FrankRuehl" w:cs="FrankRuehl"/>
          <w:sz w:val="24"/>
          <w:szCs w:val="24"/>
          <w:rtl/>
        </w:rPr>
        <w:t xml:space="preserve"> א</w:t>
      </w:r>
      <w:r>
        <w:rPr>
          <w:rFonts w:ascii="FrankRuehl" w:hAnsi="FrankRuehl" w:cs="FrankRuehl" w:hint="cs"/>
          <w:sz w:val="24"/>
          <w:szCs w:val="24"/>
          <w:rtl/>
        </w:rPr>
        <w:t>מר רבי</w:t>
      </w:r>
      <w:r w:rsidRPr="00A676C8">
        <w:rPr>
          <w:rFonts w:ascii="FrankRuehl" w:hAnsi="FrankRuehl" w:cs="FrankRuehl"/>
          <w:sz w:val="24"/>
          <w:szCs w:val="24"/>
          <w:rtl/>
        </w:rPr>
        <w:t xml:space="preserve"> חייה בר בא</w:t>
      </w:r>
      <w:r>
        <w:rPr>
          <w:rFonts w:ascii="FrankRuehl" w:hAnsi="FrankRuehl" w:cs="FrankRuehl" w:hint="cs"/>
          <w:sz w:val="24"/>
          <w:szCs w:val="24"/>
          <w:rtl/>
        </w:rPr>
        <w:t>:</w:t>
      </w:r>
      <w:r w:rsidRPr="00A676C8">
        <w:rPr>
          <w:rFonts w:ascii="FrankRuehl" w:hAnsi="FrankRuehl" w:cs="FrankRuehl"/>
          <w:sz w:val="24"/>
          <w:szCs w:val="24"/>
          <w:rtl/>
        </w:rPr>
        <w:t xml:space="preserve"> כשירות של מעלן כך שירות של מטן</w:t>
      </w:r>
      <w:r>
        <w:rPr>
          <w:rFonts w:ascii="FrankRuehl" w:hAnsi="FrankRuehl" w:cs="FrankRuehl" w:hint="cs"/>
          <w:sz w:val="24"/>
          <w:szCs w:val="24"/>
          <w:rtl/>
        </w:rPr>
        <w:t>.</w:t>
      </w:r>
      <w:r>
        <w:rPr>
          <w:rFonts w:ascii="FrankRuehl" w:hAnsi="FrankRuehl" w:cs="FrankRuehl"/>
          <w:sz w:val="24"/>
          <w:szCs w:val="24"/>
          <w:rtl/>
        </w:rPr>
        <w:t xml:space="preserve"> מה למעלן </w:t>
      </w:r>
      <w:r>
        <w:rPr>
          <w:rFonts w:ascii="FrankRuehl" w:hAnsi="FrankRuehl" w:cs="FrankRuehl" w:hint="cs"/>
          <w:sz w:val="24"/>
          <w:szCs w:val="24"/>
          <w:rtl/>
        </w:rPr>
        <w:t>'</w:t>
      </w:r>
      <w:r w:rsidRPr="00A676C8">
        <w:rPr>
          <w:rFonts w:ascii="FrankRuehl" w:hAnsi="FrankRuehl" w:cs="FrankRuehl"/>
          <w:sz w:val="24"/>
          <w:szCs w:val="24"/>
          <w:rtl/>
        </w:rPr>
        <w:t>ואיש אחד בתוכם לבוש בדים</w:t>
      </w:r>
      <w:r>
        <w:rPr>
          <w:rFonts w:ascii="FrankRuehl" w:hAnsi="FrankRuehl" w:cs="FrankRuehl" w:hint="cs"/>
          <w:sz w:val="24"/>
          <w:szCs w:val="24"/>
          <w:rtl/>
        </w:rPr>
        <w:t>',</w:t>
      </w:r>
      <w:r>
        <w:rPr>
          <w:rFonts w:ascii="FrankRuehl" w:hAnsi="FrankRuehl" w:cs="FrankRuehl"/>
          <w:sz w:val="24"/>
          <w:szCs w:val="24"/>
          <w:rtl/>
        </w:rPr>
        <w:t xml:space="preserve"> אף למטן </w:t>
      </w:r>
      <w:r>
        <w:rPr>
          <w:rFonts w:ascii="FrankRuehl" w:hAnsi="FrankRuehl" w:cs="FrankRuehl" w:hint="cs"/>
          <w:sz w:val="24"/>
          <w:szCs w:val="24"/>
          <w:rtl/>
        </w:rPr>
        <w:t>'</w:t>
      </w:r>
      <w:r>
        <w:rPr>
          <w:rFonts w:ascii="FrankRuehl" w:hAnsi="FrankRuehl" w:cs="FrankRuehl"/>
          <w:sz w:val="24"/>
          <w:szCs w:val="24"/>
          <w:rtl/>
        </w:rPr>
        <w:t>כתנת בד קדש ילבש</w:t>
      </w:r>
      <w:r>
        <w:rPr>
          <w:rFonts w:ascii="FrankRuehl" w:hAnsi="FrankRuehl" w:cs="FrankRuehl" w:hint="cs"/>
          <w:sz w:val="24"/>
          <w:szCs w:val="24"/>
          <w:rtl/>
        </w:rPr>
        <w:t>'.</w:t>
      </w:r>
    </w:p>
    <w:p w:rsidR="009337C2" w:rsidRPr="00A676C8" w:rsidRDefault="009337C2" w:rsidP="009337C2">
      <w:pPr>
        <w:spacing w:before="160" w:after="0" w:line="276" w:lineRule="exact"/>
        <w:rPr>
          <w:rFonts w:ascii="FrankRuehl" w:hAnsi="FrankRuehl" w:cs="FrankRuehl"/>
          <w:sz w:val="24"/>
          <w:szCs w:val="24"/>
          <w:rtl/>
        </w:rPr>
      </w:pPr>
    </w:p>
    <w:p w:rsidR="009337C2" w:rsidRPr="00A676C8" w:rsidRDefault="009337C2" w:rsidP="009337C2">
      <w:pPr>
        <w:spacing w:before="160" w:line="276" w:lineRule="exact"/>
        <w:rPr>
          <w:rFonts w:ascii="FrankRuehl" w:hAnsi="FrankRuehl" w:cs="FrankRuehl"/>
          <w:b/>
          <w:bCs/>
          <w:sz w:val="24"/>
          <w:szCs w:val="24"/>
          <w:rtl/>
        </w:rPr>
      </w:pPr>
      <w:r w:rsidRPr="00A676C8">
        <w:rPr>
          <w:rFonts w:ascii="FrankRuehl" w:hAnsi="FrankRuehl" w:cs="FrankRuehl" w:hint="cs"/>
          <w:b/>
          <w:bCs/>
          <w:sz w:val="24"/>
          <w:szCs w:val="24"/>
          <w:rtl/>
        </w:rPr>
        <w:t>ירושלמי יומא פ"ז ה"ג</w:t>
      </w:r>
    </w:p>
    <w:p w:rsidR="009337C2" w:rsidRDefault="009337C2" w:rsidP="009337C2">
      <w:pPr>
        <w:spacing w:before="160" w:line="276" w:lineRule="exact"/>
        <w:rPr>
          <w:rFonts w:ascii="FrankRuehl" w:hAnsi="FrankRuehl" w:cs="FrankRuehl"/>
          <w:sz w:val="24"/>
          <w:szCs w:val="24"/>
          <w:rtl/>
        </w:rPr>
      </w:pPr>
      <w:r w:rsidRPr="00A676C8">
        <w:rPr>
          <w:rFonts w:ascii="FrankRuehl" w:hAnsi="FrankRuehl" w:cs="FrankRuehl"/>
          <w:sz w:val="24"/>
          <w:szCs w:val="24"/>
          <w:rtl/>
        </w:rPr>
        <w:t>מפני מה אינו משמש בבגדי זהב</w:t>
      </w:r>
      <w:r>
        <w:rPr>
          <w:rFonts w:ascii="FrankRuehl" w:hAnsi="FrankRuehl" w:cs="FrankRuehl" w:hint="cs"/>
          <w:sz w:val="24"/>
          <w:szCs w:val="24"/>
          <w:rtl/>
        </w:rPr>
        <w:t>?</w:t>
      </w:r>
      <w:r w:rsidRPr="00A676C8">
        <w:rPr>
          <w:rFonts w:ascii="FrankRuehl" w:hAnsi="FrankRuehl" w:cs="FrankRuehl"/>
          <w:sz w:val="24"/>
          <w:szCs w:val="24"/>
          <w:rtl/>
        </w:rPr>
        <w:t xml:space="preserve"> מפני הגאוה</w:t>
      </w:r>
      <w:r>
        <w:rPr>
          <w:rFonts w:ascii="FrankRuehl" w:hAnsi="FrankRuehl" w:cs="FrankRuehl" w:hint="cs"/>
          <w:sz w:val="24"/>
          <w:szCs w:val="24"/>
          <w:rtl/>
        </w:rPr>
        <w:t>.</w:t>
      </w:r>
      <w:r w:rsidRPr="00A676C8">
        <w:rPr>
          <w:rFonts w:ascii="FrankRuehl" w:hAnsi="FrankRuehl" w:cs="FrankRuehl"/>
          <w:sz w:val="24"/>
          <w:szCs w:val="24"/>
          <w:rtl/>
        </w:rPr>
        <w:t xml:space="preserve"> א</w:t>
      </w:r>
      <w:r>
        <w:rPr>
          <w:rFonts w:ascii="FrankRuehl" w:hAnsi="FrankRuehl" w:cs="FrankRuehl" w:hint="cs"/>
          <w:sz w:val="24"/>
          <w:szCs w:val="24"/>
          <w:rtl/>
        </w:rPr>
        <w:t>מר רבי</w:t>
      </w:r>
      <w:r w:rsidRPr="00A676C8">
        <w:rPr>
          <w:rFonts w:ascii="FrankRuehl" w:hAnsi="FrankRuehl" w:cs="FrankRuehl"/>
          <w:sz w:val="24"/>
          <w:szCs w:val="24"/>
          <w:rtl/>
        </w:rPr>
        <w:t xml:space="preserve"> סימון</w:t>
      </w:r>
      <w:r>
        <w:rPr>
          <w:rFonts w:ascii="FrankRuehl" w:hAnsi="FrankRuehl" w:cs="FrankRuehl" w:hint="cs"/>
          <w:sz w:val="24"/>
          <w:szCs w:val="24"/>
          <w:rtl/>
        </w:rPr>
        <w:t>:</w:t>
      </w:r>
      <w:r>
        <w:rPr>
          <w:rFonts w:ascii="FrankRuehl" w:hAnsi="FrankRuehl" w:cs="FrankRuehl"/>
          <w:sz w:val="24"/>
          <w:szCs w:val="24"/>
          <w:rtl/>
        </w:rPr>
        <w:t xml:space="preserve"> על שם </w:t>
      </w:r>
      <w:r>
        <w:rPr>
          <w:rFonts w:ascii="FrankRuehl" w:hAnsi="FrankRuehl" w:cs="FrankRuehl" w:hint="cs"/>
          <w:sz w:val="24"/>
          <w:szCs w:val="24"/>
          <w:rtl/>
        </w:rPr>
        <w:t>'</w:t>
      </w:r>
      <w:r w:rsidRPr="00A676C8">
        <w:rPr>
          <w:rFonts w:ascii="FrankRuehl" w:hAnsi="FrankRuehl" w:cs="FrankRuehl"/>
          <w:sz w:val="24"/>
          <w:szCs w:val="24"/>
          <w:rtl/>
        </w:rPr>
        <w:t>אל תתהדר לפני מלך</w:t>
      </w:r>
      <w:r>
        <w:rPr>
          <w:rFonts w:ascii="FrankRuehl" w:hAnsi="FrankRuehl" w:cs="FrankRuehl" w:hint="cs"/>
          <w:sz w:val="24"/>
          <w:szCs w:val="24"/>
          <w:rtl/>
        </w:rPr>
        <w:t>'.</w:t>
      </w:r>
      <w:r>
        <w:rPr>
          <w:rFonts w:ascii="FrankRuehl" w:hAnsi="FrankRuehl" w:cs="FrankRuehl"/>
          <w:sz w:val="24"/>
          <w:szCs w:val="24"/>
          <w:rtl/>
        </w:rPr>
        <w:t xml:space="preserve"> א</w:t>
      </w:r>
      <w:r>
        <w:rPr>
          <w:rFonts w:ascii="FrankRuehl" w:hAnsi="FrankRuehl" w:cs="FrankRuehl" w:hint="cs"/>
          <w:sz w:val="24"/>
          <w:szCs w:val="24"/>
          <w:rtl/>
        </w:rPr>
        <w:t>מר רבי</w:t>
      </w:r>
      <w:r w:rsidRPr="00A676C8">
        <w:rPr>
          <w:rFonts w:ascii="FrankRuehl" w:hAnsi="FrankRuehl" w:cs="FrankRuehl"/>
          <w:sz w:val="24"/>
          <w:szCs w:val="24"/>
          <w:rtl/>
        </w:rPr>
        <w:t xml:space="preserve"> לוי</w:t>
      </w:r>
      <w:r>
        <w:rPr>
          <w:rFonts w:ascii="FrankRuehl" w:hAnsi="FrankRuehl" w:cs="FrankRuehl" w:hint="cs"/>
          <w:sz w:val="24"/>
          <w:szCs w:val="24"/>
          <w:rtl/>
        </w:rPr>
        <w:t>:</w:t>
      </w:r>
      <w:r w:rsidRPr="00A676C8">
        <w:rPr>
          <w:rFonts w:ascii="FrankRuehl" w:hAnsi="FrankRuehl" w:cs="FrankRuehl"/>
          <w:sz w:val="24"/>
          <w:szCs w:val="24"/>
          <w:rtl/>
        </w:rPr>
        <w:t xml:space="preserve"> שאין קטיגור נעשה סניגור</w:t>
      </w:r>
      <w:r>
        <w:rPr>
          <w:rFonts w:ascii="FrankRuehl" w:hAnsi="FrankRuehl" w:cs="FrankRuehl" w:hint="cs"/>
          <w:sz w:val="24"/>
          <w:szCs w:val="24"/>
          <w:rtl/>
        </w:rPr>
        <w:t>.</w:t>
      </w:r>
      <w:r>
        <w:rPr>
          <w:rFonts w:ascii="FrankRuehl" w:hAnsi="FrankRuehl" w:cs="FrankRuehl"/>
          <w:sz w:val="24"/>
          <w:szCs w:val="24"/>
          <w:rtl/>
        </w:rPr>
        <w:t xml:space="preserve"> אתמול כתיב בהם</w:t>
      </w:r>
      <w:r>
        <w:rPr>
          <w:rFonts w:ascii="FrankRuehl" w:hAnsi="FrankRuehl" w:cs="FrankRuehl" w:hint="cs"/>
          <w:sz w:val="24"/>
          <w:szCs w:val="24"/>
          <w:rtl/>
        </w:rPr>
        <w:t xml:space="preserve"> '</w:t>
      </w:r>
      <w:r w:rsidRPr="00A676C8">
        <w:rPr>
          <w:rFonts w:ascii="FrankRuehl" w:hAnsi="FrankRuehl" w:cs="FrankRuehl"/>
          <w:sz w:val="24"/>
          <w:szCs w:val="24"/>
          <w:rtl/>
        </w:rPr>
        <w:t>ויעשו להם אלהי זהב</w:t>
      </w:r>
      <w:r>
        <w:rPr>
          <w:rFonts w:ascii="FrankRuehl" w:hAnsi="FrankRuehl" w:cs="FrankRuehl" w:hint="cs"/>
          <w:sz w:val="24"/>
          <w:szCs w:val="24"/>
          <w:rtl/>
        </w:rPr>
        <w:t>',</w:t>
      </w:r>
      <w:r w:rsidRPr="00A676C8">
        <w:rPr>
          <w:rFonts w:ascii="FrankRuehl" w:hAnsi="FrankRuehl" w:cs="FrankRuehl"/>
          <w:sz w:val="24"/>
          <w:szCs w:val="24"/>
          <w:rtl/>
        </w:rPr>
        <w:t xml:space="preserve"> ועכשיו הוא עומד ומשמש בבגדי זהב</w:t>
      </w:r>
      <w:r>
        <w:rPr>
          <w:rFonts w:ascii="FrankRuehl" w:hAnsi="FrankRuehl" w:cs="FrankRuehl" w:hint="cs"/>
          <w:sz w:val="24"/>
          <w:szCs w:val="24"/>
          <w:rtl/>
        </w:rPr>
        <w:t>?!</w:t>
      </w:r>
    </w:p>
    <w:p w:rsidR="009337C2" w:rsidRDefault="009337C2" w:rsidP="009337C2">
      <w:pPr>
        <w:spacing w:before="160" w:after="0" w:line="276" w:lineRule="exact"/>
        <w:rPr>
          <w:rFonts w:ascii="FrankRuehl" w:hAnsi="FrankRuehl" w:cs="FrankRuehl"/>
          <w:sz w:val="24"/>
          <w:szCs w:val="24"/>
          <w:rtl/>
        </w:rPr>
      </w:pPr>
    </w:p>
    <w:p w:rsidR="009337C2" w:rsidRDefault="009337C2" w:rsidP="009337C2">
      <w:pPr>
        <w:spacing w:before="160" w:line="276" w:lineRule="exact"/>
        <w:rPr>
          <w:rFonts w:ascii="FrankRuehl" w:hAnsi="FrankRuehl" w:cs="FrankRuehl"/>
          <w:b/>
          <w:bCs/>
          <w:sz w:val="24"/>
          <w:szCs w:val="24"/>
          <w:rtl/>
        </w:rPr>
      </w:pPr>
      <w:r>
        <w:rPr>
          <w:rFonts w:ascii="FrankRuehl" w:hAnsi="FrankRuehl" w:cs="FrankRuehl" w:hint="cs"/>
          <w:b/>
          <w:bCs/>
          <w:sz w:val="24"/>
          <w:szCs w:val="24"/>
          <w:rtl/>
        </w:rPr>
        <w:t>מקדש דוד סי' לו ס"ק א</w:t>
      </w:r>
    </w:p>
    <w:p w:rsidR="009337C2" w:rsidRDefault="009337C2" w:rsidP="009337C2">
      <w:pPr>
        <w:spacing w:before="160" w:line="276" w:lineRule="exact"/>
        <w:rPr>
          <w:rFonts w:ascii="FrankRuehl" w:hAnsi="FrankRuehl" w:cs="FrankRuehl"/>
          <w:sz w:val="24"/>
          <w:szCs w:val="24"/>
          <w:rtl/>
        </w:rPr>
      </w:pPr>
      <w:r w:rsidRPr="00A676C8">
        <w:rPr>
          <w:rFonts w:ascii="FrankRuehl" w:hAnsi="FrankRuehl" w:cs="FrankRuehl"/>
          <w:sz w:val="24"/>
          <w:szCs w:val="24"/>
          <w:rtl/>
        </w:rPr>
        <w:t>ונראה לענ</w:t>
      </w:r>
      <w:r>
        <w:rPr>
          <w:rFonts w:ascii="FrankRuehl" w:hAnsi="FrankRuehl" w:cs="FrankRuehl" w:hint="cs"/>
          <w:sz w:val="24"/>
          <w:szCs w:val="24"/>
          <w:rtl/>
        </w:rPr>
        <w:t xml:space="preserve">יות דעתי לומר דבגדי כהן גדול, אפילו אותם השוים לכהן הדיוט, אינם ראויים לכהן הדיוט, כיון שהם בגדי כהן גדול וצריכים הבגדים חינוך לשם בגדי כהן גדול, הם נעשים בגדי כהן גדול ואינם ראויים לכהן הדיוט לפי שאינם בגדיו. ובזה נראה לי </w:t>
      </w:r>
      <w:r w:rsidRPr="00A676C8">
        <w:rPr>
          <w:rFonts w:ascii="FrankRuehl" w:hAnsi="FrankRuehl" w:cs="FrankRuehl"/>
          <w:sz w:val="24"/>
          <w:szCs w:val="24"/>
          <w:rtl/>
        </w:rPr>
        <w:t>לפרש הא דאמרינן ביומא (כ"ג ע"ב)</w:t>
      </w:r>
      <w:r>
        <w:rPr>
          <w:rFonts w:ascii="FrankRuehl" w:hAnsi="FrankRuehl" w:cs="FrankRuehl" w:hint="cs"/>
          <w:sz w:val="24"/>
          <w:szCs w:val="24"/>
          <w:rtl/>
        </w:rPr>
        <w:t>:</w:t>
      </w:r>
      <w:r w:rsidRPr="00A676C8">
        <w:rPr>
          <w:rFonts w:ascii="FrankRuehl" w:hAnsi="FrankRuehl" w:cs="FrankRuehl"/>
          <w:sz w:val="24"/>
          <w:szCs w:val="24"/>
          <w:rtl/>
        </w:rPr>
        <w:t xml:space="preserve"> </w:t>
      </w:r>
      <w:r>
        <w:rPr>
          <w:rFonts w:ascii="FrankRuehl" w:hAnsi="FrankRuehl" w:cs="FrankRuehl" w:hint="cs"/>
          <w:sz w:val="24"/>
          <w:szCs w:val="24"/>
          <w:rtl/>
        </w:rPr>
        <w:t>'</w:t>
      </w:r>
      <w:r w:rsidRPr="00A676C8">
        <w:rPr>
          <w:rFonts w:ascii="FrankRuehl" w:hAnsi="FrankRuehl" w:cs="FrankRuehl"/>
          <w:sz w:val="24"/>
          <w:szCs w:val="24"/>
          <w:rtl/>
        </w:rPr>
        <w:t>ר' דוסא אומר</w:t>
      </w:r>
      <w:r>
        <w:rPr>
          <w:rFonts w:ascii="FrankRuehl" w:hAnsi="FrankRuehl" w:cs="FrankRuehl" w:hint="cs"/>
          <w:sz w:val="24"/>
          <w:szCs w:val="24"/>
          <w:rtl/>
        </w:rPr>
        <w:t>:</w:t>
      </w:r>
      <w:r>
        <w:rPr>
          <w:rFonts w:ascii="FrankRuehl" w:hAnsi="FrankRuehl" w:cs="FrankRuehl"/>
          <w:sz w:val="24"/>
          <w:szCs w:val="24"/>
          <w:rtl/>
        </w:rPr>
        <w:t xml:space="preserve"> לרבות בגדי כ</w:t>
      </w:r>
      <w:r>
        <w:rPr>
          <w:rFonts w:ascii="FrankRuehl" w:hAnsi="FrankRuehl" w:cs="FrankRuehl" w:hint="cs"/>
          <w:sz w:val="24"/>
          <w:szCs w:val="24"/>
          <w:rtl/>
        </w:rPr>
        <w:t xml:space="preserve">הן גדול ביום הכיפורים שכשרים לכהן הדיוט. אמר רבי: </w:t>
      </w:r>
      <w:r w:rsidRPr="00A676C8">
        <w:rPr>
          <w:rFonts w:ascii="FrankRuehl" w:hAnsi="FrankRuehl" w:cs="FrankRuehl"/>
          <w:sz w:val="24"/>
          <w:szCs w:val="24"/>
          <w:rtl/>
        </w:rPr>
        <w:t>ב' תשובות בדבר</w:t>
      </w:r>
      <w:r>
        <w:rPr>
          <w:rFonts w:ascii="FrankRuehl" w:hAnsi="FrankRuehl" w:cs="FrankRuehl" w:hint="cs"/>
          <w:sz w:val="24"/>
          <w:szCs w:val="24"/>
          <w:rtl/>
        </w:rPr>
        <w:t>,</w:t>
      </w:r>
      <w:r w:rsidRPr="00A676C8">
        <w:rPr>
          <w:rFonts w:ascii="FrankRuehl" w:hAnsi="FrankRuehl" w:cs="FrankRuehl"/>
          <w:sz w:val="24"/>
          <w:szCs w:val="24"/>
          <w:rtl/>
        </w:rPr>
        <w:t xml:space="preserve"> חדא דאבנטו של כ</w:t>
      </w:r>
      <w:r>
        <w:rPr>
          <w:rFonts w:ascii="FrankRuehl" w:hAnsi="FrankRuehl" w:cs="FrankRuehl" w:hint="cs"/>
          <w:sz w:val="24"/>
          <w:szCs w:val="24"/>
          <w:rtl/>
        </w:rPr>
        <w:t>הן גדול</w:t>
      </w:r>
      <w:r>
        <w:rPr>
          <w:rFonts w:ascii="FrankRuehl" w:hAnsi="FrankRuehl" w:cs="FrankRuehl"/>
          <w:sz w:val="24"/>
          <w:szCs w:val="24"/>
          <w:rtl/>
        </w:rPr>
        <w:t xml:space="preserve"> לא זהו אבנטו של כ</w:t>
      </w:r>
      <w:r>
        <w:rPr>
          <w:rFonts w:ascii="FrankRuehl" w:hAnsi="FrankRuehl" w:cs="FrankRuehl" w:hint="cs"/>
          <w:sz w:val="24"/>
          <w:szCs w:val="24"/>
          <w:rtl/>
        </w:rPr>
        <w:t>הן הדיוט'</w:t>
      </w:r>
      <w:r>
        <w:rPr>
          <w:rFonts w:ascii="FrankRuehl" w:hAnsi="FrankRuehl" w:cs="FrankRuehl"/>
          <w:sz w:val="24"/>
          <w:szCs w:val="24"/>
          <w:rtl/>
        </w:rPr>
        <w:t xml:space="preserve"> כו'</w:t>
      </w:r>
      <w:r>
        <w:rPr>
          <w:rFonts w:ascii="FrankRuehl" w:hAnsi="FrankRuehl" w:cs="FrankRuehl" w:hint="cs"/>
          <w:sz w:val="24"/>
          <w:szCs w:val="24"/>
          <w:rtl/>
        </w:rPr>
        <w:t>.</w:t>
      </w:r>
      <w:r>
        <w:rPr>
          <w:rFonts w:ascii="FrankRuehl" w:hAnsi="FrankRuehl" w:cs="FrankRuehl"/>
          <w:sz w:val="24"/>
          <w:szCs w:val="24"/>
          <w:rtl/>
        </w:rPr>
        <w:t xml:space="preserve"> והקשו בת</w:t>
      </w:r>
      <w:r>
        <w:rPr>
          <w:rFonts w:ascii="FrankRuehl" w:hAnsi="FrankRuehl" w:cs="FrankRuehl" w:hint="cs"/>
          <w:sz w:val="24"/>
          <w:szCs w:val="24"/>
          <w:rtl/>
        </w:rPr>
        <w:t>וס' ישנים, ה</w:t>
      </w:r>
      <w:r>
        <w:rPr>
          <w:rFonts w:ascii="FrankRuehl" w:hAnsi="FrankRuehl" w:cs="FrankRuehl"/>
          <w:sz w:val="24"/>
          <w:szCs w:val="24"/>
          <w:rtl/>
        </w:rPr>
        <w:t>א מ</w:t>
      </w:r>
      <w:r>
        <w:rPr>
          <w:rFonts w:ascii="FrankRuehl" w:hAnsi="FrankRuehl" w:cs="FrankRuehl" w:hint="cs"/>
          <w:sz w:val="24"/>
          <w:szCs w:val="24"/>
          <w:rtl/>
        </w:rPr>
        <w:t>כל מקום</w:t>
      </w:r>
      <w:r>
        <w:rPr>
          <w:rFonts w:ascii="FrankRuehl" w:hAnsi="FrankRuehl" w:cs="FrankRuehl"/>
          <w:sz w:val="24"/>
          <w:szCs w:val="24"/>
          <w:rtl/>
        </w:rPr>
        <w:t xml:space="preserve"> אפשר בשאר בגדים שכשרים לכה</w:t>
      </w:r>
      <w:r>
        <w:rPr>
          <w:rFonts w:ascii="FrankRuehl" w:hAnsi="FrankRuehl" w:cs="FrankRuehl" w:hint="cs"/>
          <w:sz w:val="24"/>
          <w:szCs w:val="24"/>
          <w:rtl/>
        </w:rPr>
        <w:t>ן הדיוט.</w:t>
      </w:r>
      <w:r w:rsidRPr="00A676C8">
        <w:rPr>
          <w:rFonts w:ascii="FrankRuehl" w:hAnsi="FrankRuehl" w:cs="FrankRuehl"/>
          <w:sz w:val="24"/>
          <w:szCs w:val="24"/>
          <w:rtl/>
        </w:rPr>
        <w:t xml:space="preserve"> ונראה דבזה פליגי</w:t>
      </w:r>
      <w:r>
        <w:rPr>
          <w:rFonts w:ascii="FrankRuehl" w:hAnsi="FrankRuehl" w:cs="FrankRuehl" w:hint="cs"/>
          <w:sz w:val="24"/>
          <w:szCs w:val="24"/>
          <w:rtl/>
        </w:rPr>
        <w:t>,</w:t>
      </w:r>
      <w:r>
        <w:rPr>
          <w:rFonts w:ascii="FrankRuehl" w:hAnsi="FrankRuehl" w:cs="FrankRuehl"/>
          <w:sz w:val="24"/>
          <w:szCs w:val="24"/>
          <w:rtl/>
        </w:rPr>
        <w:t xml:space="preserve"> דלמ</w:t>
      </w:r>
      <w:r>
        <w:rPr>
          <w:rFonts w:ascii="FrankRuehl" w:hAnsi="FrankRuehl" w:cs="FrankRuehl" w:hint="cs"/>
          <w:sz w:val="24"/>
          <w:szCs w:val="24"/>
          <w:rtl/>
        </w:rPr>
        <w:t>אן דאמר</w:t>
      </w:r>
      <w:r w:rsidRPr="00A676C8">
        <w:rPr>
          <w:rFonts w:ascii="FrankRuehl" w:hAnsi="FrankRuehl" w:cs="FrankRuehl"/>
          <w:sz w:val="24"/>
          <w:szCs w:val="24"/>
          <w:rtl/>
        </w:rPr>
        <w:t xml:space="preserve"> אבנטו של כ</w:t>
      </w:r>
      <w:r>
        <w:rPr>
          <w:rFonts w:ascii="FrankRuehl" w:hAnsi="FrankRuehl" w:cs="FrankRuehl" w:hint="cs"/>
          <w:sz w:val="24"/>
          <w:szCs w:val="24"/>
          <w:rtl/>
        </w:rPr>
        <w:t xml:space="preserve">הן גדול ביום הכיפורים </w:t>
      </w:r>
      <w:r>
        <w:rPr>
          <w:rFonts w:ascii="FrankRuehl" w:hAnsi="FrankRuehl" w:cs="FrankRuehl"/>
          <w:sz w:val="24"/>
          <w:szCs w:val="24"/>
          <w:rtl/>
        </w:rPr>
        <w:t>זהו אבנטו של כה</w:t>
      </w:r>
      <w:r>
        <w:rPr>
          <w:rFonts w:ascii="FrankRuehl" w:hAnsi="FrankRuehl" w:cs="FrankRuehl" w:hint="cs"/>
          <w:sz w:val="24"/>
          <w:szCs w:val="24"/>
          <w:rtl/>
        </w:rPr>
        <w:t>ן הדיוט</w:t>
      </w:r>
      <w:r w:rsidRPr="00A676C8">
        <w:rPr>
          <w:rFonts w:ascii="FrankRuehl" w:hAnsi="FrankRuehl" w:cs="FrankRuehl"/>
          <w:sz w:val="24"/>
          <w:szCs w:val="24"/>
          <w:rtl/>
        </w:rPr>
        <w:t xml:space="preserve"> והם שוים לגמרי בבגדיהם, א</w:t>
      </w:r>
      <w:r>
        <w:rPr>
          <w:rFonts w:ascii="FrankRuehl" w:hAnsi="FrankRuehl" w:cs="FrankRuehl" w:hint="cs"/>
          <w:sz w:val="24"/>
          <w:szCs w:val="24"/>
          <w:rtl/>
        </w:rPr>
        <w:t>ם כן כהן גדול ביום הכיפורים עובד בבגדי כהן הדיוט,</w:t>
      </w:r>
      <w:r>
        <w:rPr>
          <w:rFonts w:ascii="FrankRuehl" w:hAnsi="FrankRuehl" w:cs="FrankRuehl"/>
          <w:sz w:val="24"/>
          <w:szCs w:val="24"/>
          <w:rtl/>
        </w:rPr>
        <w:t xml:space="preserve"> וכמו בפרה דאפילו כ</w:t>
      </w:r>
      <w:r>
        <w:rPr>
          <w:rFonts w:ascii="FrankRuehl" w:hAnsi="FrankRuehl" w:cs="FrankRuehl" w:hint="cs"/>
          <w:sz w:val="24"/>
          <w:szCs w:val="24"/>
          <w:rtl/>
        </w:rPr>
        <w:t>הן גדול</w:t>
      </w:r>
      <w:r>
        <w:rPr>
          <w:rFonts w:ascii="FrankRuehl" w:hAnsi="FrankRuehl" w:cs="FrankRuehl"/>
          <w:sz w:val="24"/>
          <w:szCs w:val="24"/>
          <w:rtl/>
        </w:rPr>
        <w:t xml:space="preserve"> עושאה בבגדי כה</w:t>
      </w:r>
      <w:r>
        <w:rPr>
          <w:rFonts w:ascii="FrankRuehl" w:hAnsi="FrankRuehl" w:cs="FrankRuehl" w:hint="cs"/>
          <w:sz w:val="24"/>
          <w:szCs w:val="24"/>
          <w:rtl/>
        </w:rPr>
        <w:t>ן הדיוט.</w:t>
      </w:r>
      <w:r w:rsidRPr="00A676C8">
        <w:rPr>
          <w:rFonts w:ascii="FrankRuehl" w:hAnsi="FrankRuehl" w:cs="FrankRuehl"/>
          <w:sz w:val="24"/>
          <w:szCs w:val="24"/>
          <w:rtl/>
        </w:rPr>
        <w:t xml:space="preserve"> אבל </w:t>
      </w:r>
      <w:r w:rsidR="0096770B" w:rsidRPr="00B51B3D">
        <w:rPr>
          <w:noProof/>
          <w:highlight w:val="green"/>
          <w:rtl/>
        </w:rPr>
        <w:lastRenderedPageBreak/>
        <mc:AlternateContent>
          <mc:Choice Requires="wps">
            <w:drawing>
              <wp:anchor distT="0" distB="0" distL="114300" distR="114300" simplePos="0" relativeHeight="251741184" behindDoc="1" locked="0" layoutInCell="1" allowOverlap="1" wp14:anchorId="17F9B5CE" wp14:editId="61C0643E">
                <wp:simplePos x="0" y="0"/>
                <wp:positionH relativeFrom="margin">
                  <wp:align>center</wp:align>
                </wp:positionH>
                <wp:positionV relativeFrom="paragraph">
                  <wp:posOffset>-247650</wp:posOffset>
                </wp:positionV>
                <wp:extent cx="5765800" cy="2867025"/>
                <wp:effectExtent l="0" t="0" r="25400" b="28575"/>
                <wp:wrapNone/>
                <wp:docPr id="12" name="מלבן 12"/>
                <wp:cNvGraphicFramePr/>
                <a:graphic xmlns:a="http://schemas.openxmlformats.org/drawingml/2006/main">
                  <a:graphicData uri="http://schemas.microsoft.com/office/word/2010/wordprocessingShape">
                    <wps:wsp>
                      <wps:cNvSpPr/>
                      <wps:spPr>
                        <a:xfrm>
                          <a:off x="0" y="0"/>
                          <a:ext cx="5765800" cy="2867025"/>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7BE4D" id="מלבן 12" o:spid="_x0000_s1026" style="position:absolute;left:0;text-align:left;margin-left:0;margin-top:-19.5pt;width:454pt;height:225.75pt;z-index:-251575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FKhgIAAAMFAAAOAAAAZHJzL2Uyb0RvYy54bWysVMtuGjEU3VfqP1jeNwMjCAnKECEiqkpR&#10;EimpsjYeDzOSX7UNA/2L7qv2s/idHnsm5NGsqrIwvg/fx7nnzsXlTkmyFc43Rhd0eDKgRGhuykav&#10;C/r1YfnpjBIfmC6ZNFoUdC88vZx9/HDR2qnITW1kKRxBEO2nrS1oHYKdZpnntVDMnxgrNIyVcYoF&#10;iG6dlY61iK5klg8Gp1lrXGmd4cJ7aK86I52l+FUleLitKi8CkQVFbSGdLp2reGazCzZdO2brhvdl&#10;sH+oQrFGI+kx1BULjGxc81co1XBnvKnCCTcqM1XVcJF6QDfDwZtu7mtmReoF4Hh7hMn/v7D8Znvn&#10;SFNidjklminM6PDr8PPw4/CbQAV8WuuncLu3d66XPK6x2V3lVPxHG2SXMN0fMRW7QDiU48np+GwA&#10;6Dls+dnpZJCPY9Ts+bl1PnwWRpF4KajD0BKWbHvtQ+f65BKzeSObctlImYS9X0hHtgzzBS1K01Ii&#10;mQ9QFnSZfn22V8+kJi1aPh+MY2UMxKskC7gqCyi8XlPC5BqM5sGlWl699m69OmYdjSb5YvReklj0&#10;FfN1V12KEN3YVDUBpJeNKiigwa9/LXW0ikTbvvUIfgd3vK1Muce4nOl47C1fNkhyjYbvmANx0Q2W&#10;MdziqKRBi6a/UVIb9/09ffQHn2ClpMUioP1vG+YEcPyiwbTz4WgUNycJo/Ekh+BeWlYvLXqjFgaz&#10;GGLtLU/X6B/kk7ZyRj1iZ+cxK0xMc+TugO6FRegWFFvPxXye3LAtloVrfW95DB5xivA+7B6Zsz1x&#10;Ajh3Y56Whk3f8KfzjS+1mW+CqZpErmdcQcooYNMSPfuvQlzll3Lyev52zf4AAAD//wMAUEsDBBQA&#10;BgAIAAAAIQBx2Iua3gAAAAgBAAAPAAAAZHJzL2Rvd25yZXYueG1sTI/BTsMwEETvSPyDtUjcWjsF&#10;qjbEqSgSAg4gWqqe3XhJIux1iN0m/D3LCW6zmtHsm2I1eidO2Mc2kIZsqkAgVcG2VGvYvT9MFiBi&#10;MmSNC4QavjHCqjw/K0xuw0AbPG1TLbiEYm40NCl1uZSxatCbOA0dEnsfofcm8dnX0vZm4HLv5Eyp&#10;ufSmJf7QmA7vG6w+t0ev4Xldf+2f6mwz9+5tWNOjen0JSuvLi/HuFkTCMf2F4Ref0aFkpkM4ko3C&#10;aeAhScPkasmC7aVasDhouM5mNyDLQv4fUP4AAAD//wMAUEsBAi0AFAAGAAgAAAAhALaDOJL+AAAA&#10;4QEAABMAAAAAAAAAAAAAAAAAAAAAAFtDb250ZW50X1R5cGVzXS54bWxQSwECLQAUAAYACAAAACEA&#10;OP0h/9YAAACUAQAACwAAAAAAAAAAAAAAAAAvAQAAX3JlbHMvLnJlbHNQSwECLQAUAAYACAAAACEA&#10;bNKBSoYCAAADBQAADgAAAAAAAAAAAAAAAAAuAgAAZHJzL2Uyb0RvYy54bWxQSwECLQAUAAYACAAA&#10;ACEAcdiLmt4AAAAIAQAADwAAAAAAAAAAAAAAAADgBAAAZHJzL2Rvd25yZXYueG1sUEsFBgAAAAAE&#10;AAQA8wAAAOsFAAAAAA==&#10;" fillcolor="window" strokecolor="#4472c4" strokeweight="1.5pt">
                <w10:wrap anchorx="margin"/>
              </v:rect>
            </w:pict>
          </mc:Fallback>
        </mc:AlternateContent>
      </w:r>
      <w:r w:rsidRPr="00A676C8">
        <w:rPr>
          <w:rFonts w:ascii="FrankRuehl" w:hAnsi="FrankRuehl" w:cs="FrankRuehl"/>
          <w:sz w:val="24"/>
          <w:szCs w:val="24"/>
          <w:rtl/>
        </w:rPr>
        <w:t>אם אינם שוים באבנטיהם</w:t>
      </w:r>
      <w:r>
        <w:rPr>
          <w:rFonts w:ascii="FrankRuehl" w:hAnsi="FrankRuehl" w:cs="FrankRuehl" w:hint="cs"/>
          <w:sz w:val="24"/>
          <w:szCs w:val="24"/>
          <w:rtl/>
        </w:rPr>
        <w:t>, אם כן על כרחך</w:t>
      </w:r>
      <w:r>
        <w:rPr>
          <w:rFonts w:ascii="FrankRuehl" w:hAnsi="FrankRuehl" w:cs="FrankRuehl"/>
          <w:sz w:val="24"/>
          <w:szCs w:val="24"/>
          <w:rtl/>
        </w:rPr>
        <w:t xml:space="preserve"> בגדי לבן של י</w:t>
      </w:r>
      <w:r>
        <w:rPr>
          <w:rFonts w:ascii="FrankRuehl" w:hAnsi="FrankRuehl" w:cs="FrankRuehl" w:hint="cs"/>
          <w:sz w:val="24"/>
          <w:szCs w:val="24"/>
          <w:rtl/>
        </w:rPr>
        <w:t xml:space="preserve">ום הכיפורים אינם בגדי כהן הדיוט, </w:t>
      </w:r>
      <w:r w:rsidRPr="00A676C8">
        <w:rPr>
          <w:rFonts w:ascii="FrankRuehl" w:hAnsi="FrankRuehl" w:cs="FrankRuehl"/>
          <w:sz w:val="24"/>
          <w:szCs w:val="24"/>
          <w:rtl/>
        </w:rPr>
        <w:t>שהרי אינם שוים, א</w:t>
      </w:r>
      <w:r>
        <w:rPr>
          <w:rFonts w:ascii="FrankRuehl" w:hAnsi="FrankRuehl" w:cs="FrankRuehl" w:hint="cs"/>
          <w:sz w:val="24"/>
          <w:szCs w:val="24"/>
          <w:rtl/>
        </w:rPr>
        <w:t>ם כן על כרחך כל הד' בגדים הם בגדי כהן גדול, שהרי אי אפשר שילבש מקצת בגדים של כהן הדיוט, וכיון שכל הד' כלים הם בגדי כהן גדול וצריכים חינוך לשם בגדי כהן גדול, אין ראויים לכהן הדיוט לפי שהם בגדי כהן גדול ולא של כהן הדיוט.</w:t>
      </w:r>
      <w:r>
        <w:rPr>
          <w:rFonts w:ascii="FrankRuehl" w:hAnsi="FrankRuehl" w:cs="FrankRuehl"/>
          <w:sz w:val="24"/>
          <w:szCs w:val="24"/>
          <w:rtl/>
        </w:rPr>
        <w:t xml:space="preserve"> וכן למ</w:t>
      </w:r>
      <w:r>
        <w:rPr>
          <w:rFonts w:ascii="FrankRuehl" w:hAnsi="FrankRuehl" w:cs="FrankRuehl" w:hint="cs"/>
          <w:sz w:val="24"/>
          <w:szCs w:val="24"/>
          <w:rtl/>
        </w:rPr>
        <w:t>אן דאמר</w:t>
      </w:r>
      <w:r>
        <w:rPr>
          <w:rFonts w:ascii="FrankRuehl" w:hAnsi="FrankRuehl" w:cs="FrankRuehl"/>
          <w:sz w:val="24"/>
          <w:szCs w:val="24"/>
          <w:rtl/>
        </w:rPr>
        <w:t xml:space="preserve"> אבנטו של כה</w:t>
      </w:r>
      <w:r>
        <w:rPr>
          <w:rFonts w:ascii="FrankRuehl" w:hAnsi="FrankRuehl" w:cs="FrankRuehl" w:hint="cs"/>
          <w:sz w:val="24"/>
          <w:szCs w:val="24"/>
          <w:rtl/>
        </w:rPr>
        <w:t>ן הדיוט</w:t>
      </w:r>
      <w:r>
        <w:rPr>
          <w:rFonts w:ascii="FrankRuehl" w:hAnsi="FrankRuehl" w:cs="FrankRuehl"/>
          <w:sz w:val="24"/>
          <w:szCs w:val="24"/>
          <w:rtl/>
        </w:rPr>
        <w:t xml:space="preserve"> שוה לאבנטו של כ</w:t>
      </w:r>
      <w:r>
        <w:rPr>
          <w:rFonts w:ascii="FrankRuehl" w:hAnsi="FrankRuehl" w:cs="FrankRuehl" w:hint="cs"/>
          <w:sz w:val="24"/>
          <w:szCs w:val="24"/>
          <w:rtl/>
        </w:rPr>
        <w:t>הן גדול</w:t>
      </w:r>
      <w:r w:rsidRPr="00A676C8">
        <w:rPr>
          <w:rFonts w:ascii="FrankRuehl" w:hAnsi="FrankRuehl" w:cs="FrankRuehl"/>
          <w:sz w:val="24"/>
          <w:szCs w:val="24"/>
          <w:rtl/>
        </w:rPr>
        <w:t xml:space="preserve"> בשאר ימות השנה</w:t>
      </w:r>
      <w:r>
        <w:rPr>
          <w:rFonts w:ascii="FrankRuehl" w:hAnsi="FrankRuehl" w:cs="FrankRuehl" w:hint="cs"/>
          <w:sz w:val="24"/>
          <w:szCs w:val="24"/>
          <w:rtl/>
        </w:rPr>
        <w:t>,</w:t>
      </w:r>
      <w:r>
        <w:rPr>
          <w:rFonts w:ascii="FrankRuehl" w:hAnsi="FrankRuehl" w:cs="FrankRuehl"/>
          <w:sz w:val="24"/>
          <w:szCs w:val="24"/>
          <w:rtl/>
        </w:rPr>
        <w:t xml:space="preserve"> הד' כלים של בגדי כ</w:t>
      </w:r>
      <w:r>
        <w:rPr>
          <w:rFonts w:ascii="FrankRuehl" w:hAnsi="FrankRuehl" w:cs="FrankRuehl" w:hint="cs"/>
          <w:sz w:val="24"/>
          <w:szCs w:val="24"/>
          <w:rtl/>
        </w:rPr>
        <w:t>הן גדול</w:t>
      </w:r>
      <w:r w:rsidRPr="00A676C8">
        <w:rPr>
          <w:rFonts w:ascii="FrankRuehl" w:hAnsi="FrankRuehl" w:cs="FrankRuehl"/>
          <w:sz w:val="24"/>
          <w:szCs w:val="24"/>
          <w:rtl/>
        </w:rPr>
        <w:t xml:space="preserve"> בשאר ימות השנה השוים</w:t>
      </w:r>
      <w:r>
        <w:rPr>
          <w:rFonts w:ascii="FrankRuehl" w:hAnsi="FrankRuehl" w:cs="FrankRuehl"/>
          <w:sz w:val="24"/>
          <w:szCs w:val="24"/>
          <w:rtl/>
        </w:rPr>
        <w:t xml:space="preserve"> לשל כ</w:t>
      </w:r>
      <w:r>
        <w:rPr>
          <w:rFonts w:ascii="FrankRuehl" w:hAnsi="FrankRuehl" w:cs="FrankRuehl" w:hint="cs"/>
          <w:sz w:val="24"/>
          <w:szCs w:val="24"/>
          <w:rtl/>
        </w:rPr>
        <w:t>הן הדיוט</w:t>
      </w:r>
      <w:r>
        <w:rPr>
          <w:rFonts w:ascii="FrankRuehl" w:hAnsi="FrankRuehl" w:cs="FrankRuehl"/>
          <w:sz w:val="24"/>
          <w:szCs w:val="24"/>
          <w:rtl/>
        </w:rPr>
        <w:t xml:space="preserve"> הם בגדי כה</w:t>
      </w:r>
      <w:r>
        <w:rPr>
          <w:rFonts w:ascii="FrankRuehl" w:hAnsi="FrankRuehl" w:cs="FrankRuehl" w:hint="cs"/>
          <w:sz w:val="24"/>
          <w:szCs w:val="24"/>
          <w:rtl/>
        </w:rPr>
        <w:t>ן הדיוט</w:t>
      </w:r>
      <w:r>
        <w:rPr>
          <w:rFonts w:ascii="FrankRuehl" w:hAnsi="FrankRuehl" w:cs="FrankRuehl"/>
          <w:sz w:val="24"/>
          <w:szCs w:val="24"/>
          <w:rtl/>
        </w:rPr>
        <w:t xml:space="preserve"> ממש, ובגדי כ</w:t>
      </w:r>
      <w:r>
        <w:rPr>
          <w:rFonts w:ascii="FrankRuehl" w:hAnsi="FrankRuehl" w:cs="FrankRuehl" w:hint="cs"/>
          <w:sz w:val="24"/>
          <w:szCs w:val="24"/>
          <w:rtl/>
        </w:rPr>
        <w:t>הן גדול</w:t>
      </w:r>
      <w:r w:rsidRPr="00A676C8">
        <w:rPr>
          <w:rFonts w:ascii="FrankRuehl" w:hAnsi="FrankRuehl" w:cs="FrankRuehl"/>
          <w:sz w:val="24"/>
          <w:szCs w:val="24"/>
          <w:rtl/>
        </w:rPr>
        <w:t xml:space="preserve"> הם רק הד' בגדים היתרים על של כה</w:t>
      </w:r>
      <w:r>
        <w:rPr>
          <w:rFonts w:ascii="FrankRuehl" w:hAnsi="FrankRuehl" w:cs="FrankRuehl" w:hint="cs"/>
          <w:sz w:val="24"/>
          <w:szCs w:val="24"/>
          <w:rtl/>
        </w:rPr>
        <w:t>ן הדיוט, ומשום הכי כהן הדיוט שעבד בבגדי כהן גדול</w:t>
      </w:r>
      <w:r w:rsidRPr="00A676C8">
        <w:rPr>
          <w:rFonts w:ascii="FrankRuehl" w:hAnsi="FrankRuehl" w:cs="FrankRuehl"/>
          <w:sz w:val="24"/>
          <w:szCs w:val="24"/>
          <w:rtl/>
        </w:rPr>
        <w:t xml:space="preserve"> אין זה רק יתור בגדים כדאמרינן בפ"ב דזבחים (י"ח א), ואותן הד' כלים השוים לשל כ</w:t>
      </w:r>
      <w:r>
        <w:rPr>
          <w:rFonts w:ascii="FrankRuehl" w:hAnsi="FrankRuehl" w:cs="FrankRuehl" w:hint="cs"/>
          <w:sz w:val="24"/>
          <w:szCs w:val="24"/>
          <w:rtl/>
        </w:rPr>
        <w:t xml:space="preserve">הן הדיוט אינם צריכים </w:t>
      </w:r>
      <w:r>
        <w:rPr>
          <w:rFonts w:ascii="FrankRuehl" w:hAnsi="FrankRuehl" w:cs="FrankRuehl"/>
          <w:sz w:val="24"/>
          <w:szCs w:val="24"/>
          <w:rtl/>
        </w:rPr>
        <w:t>להתחנך כלל לשם בגדי כ</w:t>
      </w:r>
      <w:r>
        <w:rPr>
          <w:rFonts w:ascii="FrankRuehl" w:hAnsi="FrankRuehl" w:cs="FrankRuehl" w:hint="cs"/>
          <w:sz w:val="24"/>
          <w:szCs w:val="24"/>
          <w:rtl/>
        </w:rPr>
        <w:t>הן גדול</w:t>
      </w:r>
      <w:r w:rsidRPr="00A676C8">
        <w:rPr>
          <w:rFonts w:ascii="FrankRuehl" w:hAnsi="FrankRuehl" w:cs="FrankRuehl"/>
          <w:sz w:val="24"/>
          <w:szCs w:val="24"/>
          <w:rtl/>
        </w:rPr>
        <w:t>.</w:t>
      </w:r>
    </w:p>
    <w:p w:rsidR="009337C2" w:rsidRDefault="009337C2" w:rsidP="009337C2">
      <w:pPr>
        <w:spacing w:before="160" w:line="276" w:lineRule="exact"/>
        <w:rPr>
          <w:rFonts w:ascii="FrankRuehl" w:hAnsi="FrankRuehl" w:cs="FrankRuehl"/>
          <w:sz w:val="24"/>
          <w:szCs w:val="24"/>
          <w:rtl/>
        </w:rPr>
      </w:pPr>
    </w:p>
    <w:p w:rsidR="009337C2" w:rsidRDefault="009337C2" w:rsidP="009337C2">
      <w:pPr>
        <w:spacing w:before="160" w:line="276" w:lineRule="exact"/>
        <w:rPr>
          <w:rFonts w:ascii="FrankRuehl" w:hAnsi="FrankRuehl" w:cs="FrankRuehl"/>
          <w:b/>
          <w:bCs/>
          <w:sz w:val="24"/>
          <w:szCs w:val="24"/>
          <w:rtl/>
        </w:rPr>
      </w:pPr>
      <w:r>
        <w:rPr>
          <w:rFonts w:ascii="FrankRuehl" w:hAnsi="FrankRuehl" w:cs="FrankRuehl" w:hint="cs"/>
          <w:b/>
          <w:bCs/>
          <w:sz w:val="24"/>
          <w:szCs w:val="24"/>
          <w:rtl/>
        </w:rPr>
        <w:t>ספרי פרשת חוקת פסקה קכג</w:t>
      </w:r>
    </w:p>
    <w:p w:rsidR="009337C2" w:rsidRPr="00B51B3D" w:rsidRDefault="009337C2" w:rsidP="009337C2">
      <w:pPr>
        <w:spacing w:before="160" w:line="276" w:lineRule="exact"/>
        <w:rPr>
          <w:rFonts w:ascii="FrankRuehl" w:hAnsi="FrankRuehl" w:cs="FrankRuehl"/>
          <w:sz w:val="24"/>
          <w:szCs w:val="24"/>
        </w:rPr>
      </w:pPr>
      <w:r>
        <w:rPr>
          <w:rFonts w:ascii="FrankRuehl" w:hAnsi="FrankRuehl" w:cs="FrankRuehl"/>
          <w:sz w:val="24"/>
          <w:szCs w:val="24"/>
          <w:rtl/>
        </w:rPr>
        <w:t>זאת חקת התורה</w:t>
      </w:r>
      <w:r>
        <w:rPr>
          <w:rFonts w:ascii="FrankRuehl" w:hAnsi="FrankRuehl" w:cs="FrankRuehl" w:hint="cs"/>
          <w:sz w:val="24"/>
          <w:szCs w:val="24"/>
          <w:rtl/>
        </w:rPr>
        <w:t xml:space="preserve"> - </w:t>
      </w:r>
      <w:r w:rsidRPr="003F5C90">
        <w:rPr>
          <w:rFonts w:ascii="FrankRuehl" w:hAnsi="FrankRuehl" w:cs="FrankRuehl"/>
          <w:sz w:val="24"/>
          <w:szCs w:val="24"/>
          <w:rtl/>
        </w:rPr>
        <w:t>רבי אליעזר אומר</w:t>
      </w:r>
      <w:r>
        <w:rPr>
          <w:rFonts w:ascii="FrankRuehl" w:hAnsi="FrankRuehl" w:cs="FrankRuehl" w:hint="cs"/>
          <w:sz w:val="24"/>
          <w:szCs w:val="24"/>
          <w:rtl/>
        </w:rPr>
        <w:t>:</w:t>
      </w:r>
      <w:r w:rsidRPr="003F5C90">
        <w:rPr>
          <w:rFonts w:ascii="FrankRuehl" w:hAnsi="FrankRuehl" w:cs="FrankRuehl"/>
          <w:sz w:val="24"/>
          <w:szCs w:val="24"/>
          <w:rtl/>
        </w:rPr>
        <w:t xml:space="preserve"> נאמר כאן חקה ונאמר להלן חקה</w:t>
      </w:r>
      <w:r>
        <w:rPr>
          <w:rFonts w:ascii="FrankRuehl" w:hAnsi="FrankRuehl" w:cs="FrankRuehl" w:hint="cs"/>
          <w:sz w:val="24"/>
          <w:szCs w:val="24"/>
          <w:rtl/>
        </w:rPr>
        <w:t>.</w:t>
      </w:r>
      <w:r w:rsidRPr="003F5C90">
        <w:rPr>
          <w:rFonts w:ascii="FrankRuehl" w:hAnsi="FrankRuehl" w:cs="FrankRuehl"/>
          <w:sz w:val="24"/>
          <w:szCs w:val="24"/>
          <w:rtl/>
        </w:rPr>
        <w:t xml:space="preserve"> מה חקה האמורה להלן בבגדי לבן הכתוב מדבר</w:t>
      </w:r>
      <w:r>
        <w:rPr>
          <w:rFonts w:ascii="FrankRuehl" w:hAnsi="FrankRuehl" w:cs="FrankRuehl" w:hint="cs"/>
          <w:sz w:val="24"/>
          <w:szCs w:val="24"/>
          <w:rtl/>
        </w:rPr>
        <w:t>,</w:t>
      </w:r>
      <w:r w:rsidRPr="003F5C90">
        <w:rPr>
          <w:rFonts w:ascii="FrankRuehl" w:hAnsi="FrankRuehl" w:cs="FrankRuehl"/>
          <w:sz w:val="24"/>
          <w:szCs w:val="24"/>
          <w:rtl/>
        </w:rPr>
        <w:t xml:space="preserve"> אף חקה</w:t>
      </w:r>
      <w:r>
        <w:rPr>
          <w:rFonts w:ascii="FrankRuehl" w:hAnsi="FrankRuehl" w:cs="FrankRuehl"/>
          <w:sz w:val="24"/>
          <w:szCs w:val="24"/>
          <w:rtl/>
        </w:rPr>
        <w:t xml:space="preserve"> האמורה כאן בבגדי לבן הכתוב מדב</w:t>
      </w:r>
      <w:r>
        <w:rPr>
          <w:rFonts w:ascii="FrankRuehl" w:hAnsi="FrankRuehl" w:cs="FrankRuehl" w:hint="cs"/>
          <w:sz w:val="24"/>
          <w:szCs w:val="24"/>
          <w:rtl/>
        </w:rPr>
        <w:t>ר.</w:t>
      </w:r>
    </w:p>
    <w:p w:rsidR="009337C2" w:rsidRPr="00B51B3D" w:rsidRDefault="009337C2" w:rsidP="009337C2">
      <w:pPr>
        <w:spacing w:before="160" w:line="276" w:lineRule="exact"/>
        <w:rPr>
          <w:rFonts w:ascii="FrankRuehl" w:hAnsi="FrankRuehl" w:cs="FrankRuehl"/>
          <w:sz w:val="24"/>
          <w:szCs w:val="24"/>
          <w:highlight w:val="green"/>
          <w:rtl/>
        </w:rPr>
      </w:pPr>
    </w:p>
    <w:p w:rsidR="009337C2" w:rsidRDefault="009337C2" w:rsidP="00675F1C">
      <w:pPr>
        <w:spacing w:before="240" w:line="276" w:lineRule="exact"/>
        <w:ind w:firstLine="227"/>
        <w:rPr>
          <w:sz w:val="24"/>
          <w:szCs w:val="24"/>
          <w:rtl/>
        </w:rPr>
      </w:pPr>
      <w:r w:rsidRPr="00B51B3D">
        <w:rPr>
          <w:rFonts w:hint="cs"/>
          <w:sz w:val="24"/>
          <w:szCs w:val="24"/>
          <w:rtl/>
        </w:rPr>
        <w:t>ב</w:t>
      </w:r>
      <w:r>
        <w:rPr>
          <w:rFonts w:hint="cs"/>
          <w:sz w:val="24"/>
          <w:szCs w:val="24"/>
          <w:rtl/>
        </w:rPr>
        <w:t xml:space="preserve">תחילת פרשת אחרי מות כתוב: </w:t>
      </w:r>
    </w:p>
    <w:p w:rsidR="009337C2" w:rsidRPr="00B51B3D" w:rsidRDefault="009337C2" w:rsidP="009337C2">
      <w:pPr>
        <w:spacing w:before="160" w:line="276" w:lineRule="exact"/>
        <w:ind w:left="720"/>
        <w:rPr>
          <w:sz w:val="20"/>
          <w:szCs w:val="20"/>
          <w:rtl/>
        </w:rPr>
      </w:pPr>
      <w:r w:rsidRPr="00B51B3D">
        <w:rPr>
          <w:sz w:val="24"/>
          <w:szCs w:val="24"/>
          <w:rtl/>
        </w:rPr>
        <w:t>בזאת יבא אהרן אל ה</w:t>
      </w:r>
      <w:r>
        <w:rPr>
          <w:sz w:val="24"/>
          <w:szCs w:val="24"/>
          <w:rtl/>
        </w:rPr>
        <w:t>קדש</w:t>
      </w:r>
      <w:r>
        <w:rPr>
          <w:rFonts w:hint="cs"/>
          <w:sz w:val="24"/>
          <w:szCs w:val="24"/>
          <w:rtl/>
        </w:rPr>
        <w:t>...</w:t>
      </w:r>
      <w:r w:rsidRPr="00B51B3D">
        <w:rPr>
          <w:sz w:val="24"/>
          <w:szCs w:val="24"/>
          <w:rtl/>
        </w:rPr>
        <w:t xml:space="preserve"> כתנת בד קדש ילבש ומכנסי בד יהיו על בשרו ובאבנט בד יחגר ובמצנפת בד יצנף</w:t>
      </w:r>
      <w:r>
        <w:rPr>
          <w:rFonts w:hint="cs"/>
          <w:sz w:val="24"/>
          <w:szCs w:val="24"/>
          <w:rtl/>
        </w:rPr>
        <w:t>,</w:t>
      </w:r>
      <w:r w:rsidRPr="00B51B3D">
        <w:rPr>
          <w:sz w:val="24"/>
          <w:szCs w:val="24"/>
          <w:rtl/>
        </w:rPr>
        <w:t xml:space="preserve"> בגדי קדש הם ורחץ במים את בשרו ולבשם</w:t>
      </w:r>
      <w:r>
        <w:rPr>
          <w:rFonts w:hint="cs"/>
          <w:sz w:val="24"/>
          <w:szCs w:val="24"/>
          <w:rtl/>
        </w:rPr>
        <w:t>.</w:t>
      </w:r>
      <w:r>
        <w:rPr>
          <w:rFonts w:hint="cs"/>
          <w:sz w:val="20"/>
          <w:szCs w:val="20"/>
          <w:rtl/>
        </w:rPr>
        <w:t xml:space="preserve">            </w:t>
      </w:r>
      <w:r>
        <w:rPr>
          <w:sz w:val="20"/>
          <w:szCs w:val="20"/>
          <w:rtl/>
        </w:rPr>
        <w:tab/>
      </w:r>
      <w:r>
        <w:rPr>
          <w:rFonts w:hint="cs"/>
          <w:sz w:val="20"/>
          <w:szCs w:val="20"/>
          <w:rtl/>
        </w:rPr>
        <w:t xml:space="preserve"> [ויקרא טז, ג-ד]</w:t>
      </w:r>
    </w:p>
    <w:p w:rsidR="009337C2" w:rsidRDefault="009337C2" w:rsidP="009337C2">
      <w:pPr>
        <w:spacing w:before="160" w:line="276" w:lineRule="exact"/>
        <w:ind w:firstLine="227"/>
        <w:rPr>
          <w:sz w:val="24"/>
          <w:szCs w:val="24"/>
          <w:rtl/>
        </w:rPr>
      </w:pPr>
      <w:r>
        <w:rPr>
          <w:rFonts w:hint="cs"/>
          <w:sz w:val="24"/>
          <w:szCs w:val="24"/>
          <w:rtl/>
        </w:rPr>
        <w:t xml:space="preserve">בכתובים אלו מבואר, שאחד הדינים המייחדים את עבודת יום הכיפורים הוא הבגדים: לעומת עבודות כל השנה, אותן עושה הכהן הגדול עם שמונת בגדיו </w:t>
      </w:r>
      <w:r>
        <w:rPr>
          <w:sz w:val="24"/>
          <w:szCs w:val="24"/>
          <w:rtl/>
        </w:rPr>
        <w:t>–</w:t>
      </w:r>
      <w:r>
        <w:rPr>
          <w:rFonts w:hint="cs"/>
          <w:sz w:val="24"/>
          <w:szCs w:val="24"/>
          <w:rtl/>
        </w:rPr>
        <w:t xml:space="preserve"> "בגדי זהב", את העבודות המפורטות בפרשה זו עושה הכהן הגדול בבגדי לבן.</w:t>
      </w:r>
    </w:p>
    <w:p w:rsidR="009337C2" w:rsidRDefault="009337C2" w:rsidP="009337C2">
      <w:pPr>
        <w:spacing w:before="160" w:line="276" w:lineRule="exact"/>
        <w:ind w:firstLine="227"/>
        <w:rPr>
          <w:sz w:val="24"/>
          <w:szCs w:val="24"/>
          <w:rtl/>
        </w:rPr>
      </w:pPr>
      <w:r>
        <w:rPr>
          <w:rFonts w:hint="cs"/>
          <w:sz w:val="24"/>
          <w:szCs w:val="24"/>
          <w:rtl/>
        </w:rPr>
        <w:t>הגמרא במסכת ראש השנה מבארת את טעמו של דין זה:</w:t>
      </w:r>
    </w:p>
    <w:p w:rsidR="009337C2" w:rsidRPr="00E86804" w:rsidRDefault="009337C2" w:rsidP="009337C2">
      <w:pPr>
        <w:spacing w:before="160" w:line="276" w:lineRule="exact"/>
        <w:ind w:left="720"/>
        <w:rPr>
          <w:sz w:val="20"/>
          <w:szCs w:val="20"/>
        </w:rPr>
      </w:pPr>
      <w:r w:rsidRPr="00E86804">
        <w:rPr>
          <w:sz w:val="24"/>
          <w:szCs w:val="24"/>
          <w:rtl/>
        </w:rPr>
        <w:t>דאמר רב חסדא</w:t>
      </w:r>
      <w:r>
        <w:rPr>
          <w:rFonts w:hint="cs"/>
          <w:sz w:val="24"/>
          <w:szCs w:val="24"/>
          <w:rtl/>
        </w:rPr>
        <w:t>:</w:t>
      </w:r>
      <w:r w:rsidRPr="00E86804">
        <w:rPr>
          <w:sz w:val="24"/>
          <w:szCs w:val="24"/>
          <w:rtl/>
        </w:rPr>
        <w:t xml:space="preserve"> מפני מה אין כהן גדול נכנס בבגדי זהב לפני ולפנים לעבוד עבודה</w:t>
      </w:r>
      <w:r>
        <w:rPr>
          <w:rFonts w:hint="cs"/>
          <w:sz w:val="24"/>
          <w:szCs w:val="24"/>
          <w:rtl/>
        </w:rPr>
        <w:t>,</w:t>
      </w:r>
      <w:r w:rsidRPr="00E86804">
        <w:rPr>
          <w:sz w:val="24"/>
          <w:szCs w:val="24"/>
          <w:rtl/>
        </w:rPr>
        <w:t xml:space="preserve"> לפי שאין קטיגור נעשה סניגור</w:t>
      </w:r>
      <w:r>
        <w:rPr>
          <w:rFonts w:hint="cs"/>
          <w:sz w:val="24"/>
          <w:szCs w:val="24"/>
          <w:rtl/>
        </w:rPr>
        <w:t xml:space="preserve">. </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[ראש השנה כו.]</w:t>
      </w:r>
    </w:p>
    <w:p w:rsidR="009337C2" w:rsidRDefault="009337C2" w:rsidP="009337C2">
      <w:pPr>
        <w:spacing w:before="160" w:after="0" w:line="276" w:lineRule="exact"/>
        <w:ind w:firstLine="227"/>
        <w:rPr>
          <w:sz w:val="24"/>
          <w:szCs w:val="24"/>
          <w:rtl/>
        </w:rPr>
      </w:pPr>
      <w:r>
        <w:rPr>
          <w:rFonts w:hint="cs"/>
          <w:sz w:val="24"/>
          <w:szCs w:val="24"/>
          <w:rtl/>
        </w:rPr>
        <w:t xml:space="preserve">לדברי רב חסדא, הכהן הגדול אינו לובש בגדי זהב בשעת כניסתו לקודש הקדשים "לפי שאין קטיגור נעשה סניגור" </w:t>
      </w:r>
      <w:r>
        <w:rPr>
          <w:sz w:val="24"/>
          <w:szCs w:val="24"/>
          <w:rtl/>
        </w:rPr>
        <w:t>–</w:t>
      </w:r>
      <w:r>
        <w:rPr>
          <w:rFonts w:hint="cs"/>
          <w:sz w:val="24"/>
          <w:szCs w:val="24"/>
          <w:rtl/>
        </w:rPr>
        <w:t xml:space="preserve"> כניסתו לקודש הקדשים כדי לרצות על ישראל, אינה יכולה להיעשות עם זהב המזכיר את חטא העגל. מכך עולה, כי ההבדל בבגדי הכהן הגדול בין יום הכיפורים לשאר ימות השנה הוא מחמת כניסתו לקודש הקדשים ביום זה; כניסתו לקודש הקדשים מחייבת אותו להיות ללא בגדי זהב</w:t>
      </w:r>
      <w:r>
        <w:rPr>
          <w:rStyle w:val="a7"/>
          <w:sz w:val="24"/>
          <w:szCs w:val="24"/>
          <w:rtl/>
        </w:rPr>
        <w:footnoteReference w:id="33"/>
      </w:r>
      <w:r>
        <w:rPr>
          <w:rFonts w:hint="cs"/>
          <w:sz w:val="24"/>
          <w:szCs w:val="24"/>
          <w:rtl/>
        </w:rPr>
        <w:t xml:space="preserve">. </w:t>
      </w:r>
    </w:p>
    <w:p w:rsidR="00675F1C" w:rsidRDefault="00675F1C" w:rsidP="009337C2">
      <w:pPr>
        <w:spacing w:before="160" w:after="0" w:line="276" w:lineRule="exact"/>
        <w:ind w:firstLine="227"/>
        <w:rPr>
          <w:sz w:val="24"/>
          <w:szCs w:val="24"/>
          <w:rtl/>
        </w:rPr>
      </w:pPr>
    </w:p>
    <w:p w:rsidR="009337C2" w:rsidRDefault="009337C2" w:rsidP="00675F1C">
      <w:pPr>
        <w:spacing w:after="0" w:line="276" w:lineRule="exact"/>
        <w:ind w:firstLine="227"/>
        <w:rPr>
          <w:sz w:val="24"/>
          <w:szCs w:val="24"/>
          <w:rtl/>
        </w:rPr>
      </w:pPr>
      <w:r>
        <w:rPr>
          <w:rFonts w:hint="cs"/>
          <w:sz w:val="24"/>
          <w:szCs w:val="24"/>
          <w:rtl/>
        </w:rPr>
        <w:t xml:space="preserve">לכאורה על פי זה, הדין אינו שעל הכהן הגדול להיות עם בגדי לבן בדווקא, אלא יסוד הדין הוא שעליו להיות ללא בגדי הזהב: הציץ, החושן, האפוד והמעיל, וכך הוא נשאר רק עם ארבעת בגדיו האחרים: כתונת, מכנסים, מצנפת ואבנט. אמנם, לפי זה תמוה מדוע האבנט של הכהן הגדול ביום הכיפורים עשוי מבד </w:t>
      </w:r>
      <w:r>
        <w:rPr>
          <w:sz w:val="24"/>
          <w:szCs w:val="24"/>
          <w:rtl/>
        </w:rPr>
        <w:t>–</w:t>
      </w:r>
      <w:r>
        <w:rPr>
          <w:rFonts w:hint="cs"/>
          <w:sz w:val="24"/>
          <w:szCs w:val="24"/>
          <w:rtl/>
        </w:rPr>
        <w:t xml:space="preserve"> כפי שמפורש בתורה: "ובאבנט בד יחגור" </w:t>
      </w:r>
      <w:r>
        <w:rPr>
          <w:sz w:val="24"/>
          <w:szCs w:val="24"/>
          <w:rtl/>
        </w:rPr>
        <w:t>–</w:t>
      </w:r>
      <w:r>
        <w:rPr>
          <w:rFonts w:hint="cs"/>
          <w:sz w:val="24"/>
          <w:szCs w:val="24"/>
          <w:rtl/>
        </w:rPr>
        <w:t xml:space="preserve"> והוא אינו "</w:t>
      </w:r>
      <w:r w:rsidRPr="007D5839">
        <w:rPr>
          <w:sz w:val="24"/>
          <w:szCs w:val="24"/>
          <w:rtl/>
        </w:rPr>
        <w:t>שש משזר ותכלת וארגמן ותולעת שני מעשה רקם</w:t>
      </w:r>
      <w:r>
        <w:rPr>
          <w:rFonts w:hint="cs"/>
          <w:sz w:val="24"/>
          <w:szCs w:val="24"/>
          <w:rtl/>
        </w:rPr>
        <w:t>", כאבנטו של הכהן הגדול בכל השנה</w:t>
      </w:r>
      <w:r>
        <w:rPr>
          <w:rStyle w:val="a7"/>
          <w:sz w:val="24"/>
          <w:szCs w:val="24"/>
          <w:rtl/>
        </w:rPr>
        <w:footnoteReference w:id="34"/>
      </w:r>
      <w:r>
        <w:rPr>
          <w:rFonts w:hint="cs"/>
          <w:sz w:val="24"/>
          <w:szCs w:val="24"/>
          <w:rtl/>
        </w:rPr>
        <w:t>?</w:t>
      </w:r>
    </w:p>
    <w:p w:rsidR="009337C2" w:rsidRDefault="009337C2" w:rsidP="009337C2">
      <w:pPr>
        <w:spacing w:before="160" w:after="0" w:line="276" w:lineRule="exact"/>
        <w:ind w:firstLine="227"/>
        <w:rPr>
          <w:sz w:val="24"/>
          <w:szCs w:val="24"/>
          <w:rtl/>
        </w:rPr>
      </w:pPr>
      <w:r>
        <w:rPr>
          <w:rFonts w:hint="cs"/>
          <w:sz w:val="24"/>
          <w:szCs w:val="24"/>
          <w:rtl/>
        </w:rPr>
        <w:t>הטורי אבן כותב על כך:</w:t>
      </w:r>
    </w:p>
    <w:p w:rsidR="009337C2" w:rsidRPr="007D5839" w:rsidRDefault="009337C2" w:rsidP="009337C2">
      <w:pPr>
        <w:spacing w:before="160" w:after="0" w:line="276" w:lineRule="exact"/>
        <w:ind w:left="720"/>
        <w:rPr>
          <w:sz w:val="20"/>
          <w:szCs w:val="20"/>
          <w:rtl/>
        </w:rPr>
      </w:pPr>
      <w:r>
        <w:rPr>
          <w:sz w:val="24"/>
          <w:szCs w:val="24"/>
          <w:rtl/>
        </w:rPr>
        <w:t>ק</w:t>
      </w:r>
      <w:r>
        <w:rPr>
          <w:rFonts w:hint="cs"/>
          <w:sz w:val="24"/>
          <w:szCs w:val="24"/>
          <w:rtl/>
        </w:rPr>
        <w:t>שיא לי,</w:t>
      </w:r>
      <w:r>
        <w:rPr>
          <w:sz w:val="24"/>
          <w:szCs w:val="24"/>
          <w:rtl/>
        </w:rPr>
        <w:t xml:space="preserve"> א</w:t>
      </w:r>
      <w:r>
        <w:rPr>
          <w:rFonts w:hint="cs"/>
          <w:sz w:val="24"/>
          <w:szCs w:val="24"/>
          <w:rtl/>
        </w:rPr>
        <w:t>ם כן</w:t>
      </w:r>
      <w:r w:rsidRPr="00041799">
        <w:rPr>
          <w:sz w:val="24"/>
          <w:szCs w:val="24"/>
          <w:rtl/>
        </w:rPr>
        <w:t xml:space="preserve"> למה נשתנה אבנט של כ</w:t>
      </w:r>
      <w:r>
        <w:rPr>
          <w:rFonts w:hint="cs"/>
          <w:sz w:val="24"/>
          <w:szCs w:val="24"/>
          <w:rtl/>
        </w:rPr>
        <w:t>הן גדול דביום הכיפורים</w:t>
      </w:r>
      <w:r w:rsidRPr="00041799">
        <w:rPr>
          <w:sz w:val="24"/>
          <w:szCs w:val="24"/>
          <w:rtl/>
        </w:rPr>
        <w:t xml:space="preserve"> של </w:t>
      </w:r>
      <w:r>
        <w:rPr>
          <w:sz w:val="24"/>
          <w:szCs w:val="24"/>
          <w:rtl/>
        </w:rPr>
        <w:t>בוץ וכל השנה של כלאים כדאמר בפ</w:t>
      </w:r>
      <w:r>
        <w:rPr>
          <w:rFonts w:hint="cs"/>
          <w:sz w:val="24"/>
          <w:szCs w:val="24"/>
          <w:rtl/>
        </w:rPr>
        <w:t>רק קמא</w:t>
      </w:r>
      <w:r>
        <w:rPr>
          <w:sz w:val="24"/>
          <w:szCs w:val="24"/>
          <w:rtl/>
        </w:rPr>
        <w:t xml:space="preserve"> דיומא (דף י"ב). מיהו למ</w:t>
      </w:r>
      <w:r>
        <w:rPr>
          <w:rFonts w:hint="cs"/>
          <w:sz w:val="24"/>
          <w:szCs w:val="24"/>
          <w:rtl/>
        </w:rPr>
        <w:t>אן דאמר</w:t>
      </w:r>
      <w:r w:rsidRPr="00041799">
        <w:rPr>
          <w:sz w:val="24"/>
          <w:szCs w:val="24"/>
          <w:rtl/>
        </w:rPr>
        <w:t xml:space="preserve"> התם דשל כהן הדיוט של בוץ יש קצת טעם</w:t>
      </w:r>
      <w:r>
        <w:rPr>
          <w:rFonts w:hint="cs"/>
          <w:sz w:val="24"/>
          <w:szCs w:val="24"/>
          <w:rtl/>
        </w:rPr>
        <w:t>,</w:t>
      </w:r>
      <w:r w:rsidRPr="00041799">
        <w:rPr>
          <w:sz w:val="24"/>
          <w:szCs w:val="24"/>
          <w:rtl/>
        </w:rPr>
        <w:t xml:space="preserve"> כיון </w:t>
      </w:r>
      <w:r>
        <w:rPr>
          <w:sz w:val="24"/>
          <w:szCs w:val="24"/>
          <w:rtl/>
        </w:rPr>
        <w:t>דאין נכנס בשל זהב מהאי טעמא דר</w:t>
      </w:r>
      <w:r>
        <w:rPr>
          <w:rFonts w:hint="cs"/>
          <w:sz w:val="24"/>
          <w:szCs w:val="24"/>
          <w:rtl/>
        </w:rPr>
        <w:t>ב חסדא</w:t>
      </w:r>
      <w:r w:rsidRPr="00041799">
        <w:rPr>
          <w:sz w:val="24"/>
          <w:szCs w:val="24"/>
          <w:rtl/>
        </w:rPr>
        <w:t xml:space="preserve"> אלא בד' בגדים של הדיוט</w:t>
      </w:r>
      <w:r>
        <w:rPr>
          <w:rFonts w:hint="cs"/>
          <w:sz w:val="24"/>
          <w:szCs w:val="24"/>
          <w:rtl/>
        </w:rPr>
        <w:t>,</w:t>
      </w:r>
      <w:r w:rsidRPr="00041799">
        <w:rPr>
          <w:sz w:val="24"/>
          <w:szCs w:val="24"/>
          <w:rtl/>
        </w:rPr>
        <w:t xml:space="preserve"> </w:t>
      </w:r>
      <w:r w:rsidRPr="00041799">
        <w:rPr>
          <w:sz w:val="24"/>
          <w:szCs w:val="24"/>
          <w:rtl/>
        </w:rPr>
        <w:lastRenderedPageBreak/>
        <w:t>לא רצתה התורה לשנות נמי האבנט שלו משל הדיוט</w:t>
      </w:r>
      <w:r>
        <w:rPr>
          <w:rFonts w:hint="cs"/>
          <w:sz w:val="24"/>
          <w:szCs w:val="24"/>
          <w:rtl/>
        </w:rPr>
        <w:t>,</w:t>
      </w:r>
      <w:r w:rsidRPr="00041799">
        <w:rPr>
          <w:sz w:val="24"/>
          <w:szCs w:val="24"/>
          <w:rtl/>
        </w:rPr>
        <w:t xml:space="preserve"> אלא לגמרי כשל הדיוט</w:t>
      </w:r>
      <w:r>
        <w:rPr>
          <w:rFonts w:hint="cs"/>
          <w:sz w:val="24"/>
          <w:szCs w:val="24"/>
          <w:rtl/>
        </w:rPr>
        <w:t>.</w:t>
      </w:r>
      <w:r>
        <w:rPr>
          <w:sz w:val="24"/>
          <w:szCs w:val="24"/>
          <w:rtl/>
        </w:rPr>
        <w:t xml:space="preserve"> אבל למ</w:t>
      </w:r>
      <w:r>
        <w:rPr>
          <w:rFonts w:hint="cs"/>
          <w:sz w:val="24"/>
          <w:szCs w:val="24"/>
          <w:rtl/>
        </w:rPr>
        <w:t xml:space="preserve">אן דאמר </w:t>
      </w:r>
      <w:r w:rsidRPr="00041799">
        <w:rPr>
          <w:sz w:val="24"/>
          <w:szCs w:val="24"/>
          <w:rtl/>
        </w:rPr>
        <w:t>התם של הדי</w:t>
      </w:r>
      <w:r>
        <w:rPr>
          <w:sz w:val="24"/>
          <w:szCs w:val="24"/>
          <w:rtl/>
        </w:rPr>
        <w:t>וט של כלאים</w:t>
      </w:r>
      <w:r>
        <w:rPr>
          <w:rFonts w:hint="cs"/>
          <w:sz w:val="24"/>
          <w:szCs w:val="24"/>
          <w:rtl/>
        </w:rPr>
        <w:t>,</w:t>
      </w:r>
      <w:r>
        <w:rPr>
          <w:sz w:val="24"/>
          <w:szCs w:val="24"/>
          <w:rtl/>
        </w:rPr>
        <w:t xml:space="preserve"> תקשה שינוי אבנט למה</w:t>
      </w:r>
      <w:r>
        <w:rPr>
          <w:rFonts w:hint="cs"/>
          <w:sz w:val="24"/>
          <w:szCs w:val="24"/>
          <w:rtl/>
        </w:rPr>
        <w:t>.</w:t>
      </w:r>
      <w:r>
        <w:rPr>
          <w:sz w:val="24"/>
          <w:szCs w:val="24"/>
          <w:rtl/>
        </w:rPr>
        <w:tab/>
      </w:r>
      <w:r>
        <w:rPr>
          <w:rFonts w:hint="cs"/>
          <w:sz w:val="24"/>
          <w:szCs w:val="24"/>
          <w:rtl/>
        </w:rPr>
        <w:t xml:space="preserve">     </w:t>
      </w:r>
      <w:r>
        <w:rPr>
          <w:rFonts w:hint="cs"/>
          <w:sz w:val="20"/>
          <w:szCs w:val="20"/>
          <w:rtl/>
        </w:rPr>
        <w:t>[טורי אבן ר"ה כו. ד"ה מפני מה]</w:t>
      </w:r>
    </w:p>
    <w:p w:rsidR="009337C2" w:rsidRDefault="009337C2" w:rsidP="009337C2">
      <w:pPr>
        <w:spacing w:before="160" w:after="0" w:line="276" w:lineRule="exact"/>
        <w:ind w:firstLine="266"/>
        <w:rPr>
          <w:sz w:val="24"/>
          <w:szCs w:val="24"/>
          <w:rtl/>
        </w:rPr>
      </w:pPr>
      <w:r>
        <w:rPr>
          <w:rFonts w:hint="cs"/>
          <w:sz w:val="24"/>
          <w:szCs w:val="24"/>
          <w:rtl/>
        </w:rPr>
        <w:t xml:space="preserve">הטורי אבן מיישב תמיהה זו על פי השיטה שאבנט של כהן הדיוט שונה מאבנט של כהן גדול, והוא עשוי מבד בלבד. בהתאם לכך, הואיל וביום הכיפורים הכהן הגדול אינו יכול ללבוש את בגדיו המיוחדים, הוא לובש בגדי כהן הדיוט, ולכן גם אבנטו עשוי בד בלבד. </w:t>
      </w:r>
    </w:p>
    <w:p w:rsidR="009337C2" w:rsidRDefault="009337C2" w:rsidP="009337C2">
      <w:pPr>
        <w:spacing w:before="160" w:after="0" w:line="276" w:lineRule="exact"/>
        <w:ind w:firstLine="266"/>
        <w:rPr>
          <w:sz w:val="24"/>
          <w:szCs w:val="24"/>
          <w:rtl/>
        </w:rPr>
      </w:pPr>
      <w:r>
        <w:rPr>
          <w:rFonts w:hint="cs"/>
          <w:sz w:val="24"/>
          <w:szCs w:val="24"/>
          <w:rtl/>
        </w:rPr>
        <w:t>אמנם, כפי שמעיר הטורי אבן עצמו, תירוץ זה ניתן להיאמר רק לפי השיטה שאבנט של כהן הדיוט עשוי מבד בלבד, אך הדבר שנוי במחלוקת תנאים:</w:t>
      </w:r>
    </w:p>
    <w:p w:rsidR="009337C2" w:rsidRPr="00585925" w:rsidRDefault="009337C2" w:rsidP="009337C2">
      <w:pPr>
        <w:spacing w:before="160" w:after="0" w:line="276" w:lineRule="exact"/>
        <w:ind w:left="720"/>
        <w:rPr>
          <w:sz w:val="20"/>
          <w:szCs w:val="20"/>
          <w:rtl/>
        </w:rPr>
      </w:pPr>
      <w:r w:rsidRPr="00585925">
        <w:rPr>
          <w:sz w:val="24"/>
          <w:szCs w:val="24"/>
          <w:rtl/>
        </w:rPr>
        <w:t>כי אתא רב דימי אמר</w:t>
      </w:r>
      <w:r>
        <w:rPr>
          <w:rFonts w:hint="cs"/>
          <w:sz w:val="24"/>
          <w:szCs w:val="24"/>
          <w:rtl/>
        </w:rPr>
        <w:t>:</w:t>
      </w:r>
      <w:r w:rsidRPr="00585925">
        <w:rPr>
          <w:sz w:val="24"/>
          <w:szCs w:val="24"/>
          <w:rtl/>
        </w:rPr>
        <w:t xml:space="preserve"> אבנטו של כהן הדיוט</w:t>
      </w:r>
      <w:r>
        <w:rPr>
          <w:rFonts w:hint="cs"/>
          <w:sz w:val="24"/>
          <w:szCs w:val="24"/>
          <w:rtl/>
        </w:rPr>
        <w:t>,</w:t>
      </w:r>
      <w:r w:rsidRPr="00585925">
        <w:rPr>
          <w:sz w:val="24"/>
          <w:szCs w:val="24"/>
          <w:rtl/>
        </w:rPr>
        <w:t xml:space="preserve"> רבי ורבי אלעזר ברבי שמעון</w:t>
      </w:r>
      <w:r>
        <w:rPr>
          <w:rFonts w:hint="cs"/>
          <w:sz w:val="24"/>
          <w:szCs w:val="24"/>
          <w:rtl/>
        </w:rPr>
        <w:t>,</w:t>
      </w:r>
      <w:r w:rsidRPr="00585925">
        <w:rPr>
          <w:sz w:val="24"/>
          <w:szCs w:val="24"/>
          <w:rtl/>
        </w:rPr>
        <w:t xml:space="preserve"> חד אמר של כלאים וחד אמר של בוץ</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יב:]</w:t>
      </w:r>
    </w:p>
    <w:p w:rsidR="009337C2" w:rsidRPr="00585925" w:rsidRDefault="009337C2" w:rsidP="009337C2">
      <w:pPr>
        <w:spacing w:before="160" w:after="0" w:line="276" w:lineRule="exact"/>
        <w:ind w:firstLine="266"/>
        <w:rPr>
          <w:sz w:val="20"/>
          <w:szCs w:val="20"/>
          <w:rtl/>
        </w:rPr>
      </w:pPr>
      <w:r>
        <w:rPr>
          <w:rFonts w:hint="cs"/>
          <w:sz w:val="24"/>
          <w:szCs w:val="24"/>
          <w:rtl/>
        </w:rPr>
        <w:t xml:space="preserve">ואם כן, לפי השיטה שאבנט של כהן הדיוט עשוי כלאים </w:t>
      </w:r>
      <w:r>
        <w:rPr>
          <w:sz w:val="24"/>
          <w:szCs w:val="24"/>
          <w:rtl/>
        </w:rPr>
        <w:t>–</w:t>
      </w:r>
      <w:r>
        <w:rPr>
          <w:rFonts w:hint="cs"/>
          <w:sz w:val="24"/>
          <w:szCs w:val="24"/>
          <w:rtl/>
        </w:rPr>
        <w:t xml:space="preserve"> כמותה פוסק הרמב"ם </w:t>
      </w:r>
      <w:r>
        <w:rPr>
          <w:rFonts w:hint="cs"/>
          <w:sz w:val="20"/>
          <w:szCs w:val="20"/>
          <w:rtl/>
        </w:rPr>
        <w:t>[הל' כלי המקדש והעובדים בו פ"ח ה"ב]</w:t>
      </w:r>
      <w:r>
        <w:rPr>
          <w:rFonts w:hint="cs"/>
          <w:sz w:val="24"/>
          <w:szCs w:val="24"/>
          <w:rtl/>
        </w:rPr>
        <w:t xml:space="preserve"> </w:t>
      </w:r>
      <w:r>
        <w:rPr>
          <w:sz w:val="24"/>
          <w:szCs w:val="24"/>
          <w:rtl/>
        </w:rPr>
        <w:t>–</w:t>
      </w:r>
      <w:r>
        <w:rPr>
          <w:rFonts w:hint="cs"/>
          <w:sz w:val="24"/>
          <w:szCs w:val="24"/>
          <w:rtl/>
        </w:rPr>
        <w:t xml:space="preserve"> התמיהה דלעיל עומדת בעינה.</w:t>
      </w:r>
    </w:p>
    <w:p w:rsidR="009337C2" w:rsidRDefault="009337C2" w:rsidP="009337C2">
      <w:pPr>
        <w:spacing w:before="160" w:after="0" w:line="276" w:lineRule="exact"/>
        <w:ind w:firstLine="266"/>
        <w:rPr>
          <w:sz w:val="24"/>
          <w:szCs w:val="24"/>
          <w:rtl/>
        </w:rPr>
      </w:pPr>
      <w:r>
        <w:rPr>
          <w:rFonts w:hint="cs"/>
          <w:sz w:val="24"/>
          <w:szCs w:val="24"/>
          <w:rtl/>
        </w:rPr>
        <w:t xml:space="preserve">בנוסף, נחלקו הראשונים </w:t>
      </w:r>
      <w:r>
        <w:rPr>
          <w:rFonts w:hint="cs"/>
          <w:sz w:val="20"/>
          <w:szCs w:val="20"/>
          <w:rtl/>
        </w:rPr>
        <w:t>[רש"י שמות כח, ד ד"ה מצנפת; רמב"ן שם, לז; תוס' יב: ד"ה אלא; רמב"ם הל' כלי המקדש פ"ח ה"ב; ראב"ד, שם]</w:t>
      </w:r>
      <w:r>
        <w:rPr>
          <w:rFonts w:hint="cs"/>
          <w:sz w:val="24"/>
          <w:szCs w:val="24"/>
          <w:rtl/>
        </w:rPr>
        <w:t xml:space="preserve"> האם המצנפת של כהן הדיוט זהה למגבעת של כהן גדול. ולשיטת הראשונים שיש הבדל ביניהם, אין להשוות בין בגדי לבן של הכהן הגדול ביום הכיפורים לבגדי כהן הדיוט</w:t>
      </w:r>
      <w:r>
        <w:rPr>
          <w:rStyle w:val="a7"/>
          <w:sz w:val="24"/>
          <w:szCs w:val="24"/>
          <w:rtl/>
        </w:rPr>
        <w:footnoteReference w:id="35"/>
      </w:r>
      <w:r>
        <w:rPr>
          <w:rFonts w:hint="cs"/>
          <w:sz w:val="24"/>
          <w:szCs w:val="24"/>
          <w:rtl/>
        </w:rPr>
        <w:t>, ואם כן גם לשיטה זו התמיהה דלעיל אינה מיושבת.</w:t>
      </w:r>
    </w:p>
    <w:p w:rsidR="009337C2" w:rsidRDefault="009337C2" w:rsidP="009337C2">
      <w:pPr>
        <w:spacing w:before="160" w:after="0" w:line="276" w:lineRule="exact"/>
        <w:ind w:firstLine="266"/>
        <w:rPr>
          <w:sz w:val="24"/>
          <w:szCs w:val="24"/>
          <w:rtl/>
        </w:rPr>
      </w:pPr>
      <w:r>
        <w:rPr>
          <w:rFonts w:hint="cs"/>
          <w:sz w:val="24"/>
          <w:szCs w:val="24"/>
          <w:rtl/>
        </w:rPr>
        <w:t xml:space="preserve">על כורחנו כי לשיטה זו יש לבאר את הצורך בבגדי לבן באופן אחר: לא כדין האוסר על לבישת בגדי זהב, שבעקבותיו הכהן הגדול ביום הכיפורים לובש בגדי כהן הדיוט, אלא כציווי על לבישת מערכת בגדים מיוחדת לעבודת יום הכיפורים </w:t>
      </w:r>
      <w:r>
        <w:rPr>
          <w:sz w:val="24"/>
          <w:szCs w:val="24"/>
          <w:rtl/>
        </w:rPr>
        <w:t>–</w:t>
      </w:r>
      <w:r>
        <w:rPr>
          <w:rFonts w:hint="cs"/>
          <w:sz w:val="24"/>
          <w:szCs w:val="24"/>
          <w:rtl/>
        </w:rPr>
        <w:t xml:space="preserve"> "בגדי לבן".</w:t>
      </w:r>
    </w:p>
    <w:p w:rsidR="009337C2" w:rsidRDefault="009337C2" w:rsidP="009337C2">
      <w:pPr>
        <w:spacing w:before="160" w:after="0" w:line="276" w:lineRule="exact"/>
        <w:ind w:firstLine="266"/>
        <w:rPr>
          <w:sz w:val="24"/>
          <w:szCs w:val="24"/>
          <w:rtl/>
        </w:rPr>
      </w:pPr>
      <w:r>
        <w:rPr>
          <w:rFonts w:hint="cs"/>
          <w:sz w:val="24"/>
          <w:szCs w:val="24"/>
          <w:rtl/>
        </w:rPr>
        <w:t>הבנה זו עולה מדברי הרמב"ם:</w:t>
      </w:r>
    </w:p>
    <w:p w:rsidR="009337C2" w:rsidRPr="00073E46" w:rsidRDefault="009337C2" w:rsidP="009337C2">
      <w:pPr>
        <w:spacing w:before="160" w:after="0" w:line="276" w:lineRule="exact"/>
        <w:ind w:left="720"/>
        <w:rPr>
          <w:sz w:val="24"/>
          <w:szCs w:val="24"/>
          <w:rtl/>
        </w:rPr>
      </w:pPr>
      <w:r>
        <w:rPr>
          <w:sz w:val="24"/>
          <w:szCs w:val="24"/>
          <w:rtl/>
        </w:rPr>
        <w:t>בגדי כהונה שלשה מינים</w:t>
      </w:r>
      <w:r>
        <w:rPr>
          <w:rFonts w:hint="cs"/>
          <w:sz w:val="24"/>
          <w:szCs w:val="24"/>
          <w:rtl/>
        </w:rPr>
        <w:t>:</w:t>
      </w:r>
      <w:r w:rsidRPr="00073E46">
        <w:rPr>
          <w:sz w:val="24"/>
          <w:szCs w:val="24"/>
          <w:rtl/>
        </w:rPr>
        <w:t xml:space="preserve"> בגדי </w:t>
      </w:r>
      <w:r>
        <w:rPr>
          <w:sz w:val="24"/>
          <w:szCs w:val="24"/>
          <w:rtl/>
        </w:rPr>
        <w:t>כהן הדיוט ובגדי זהב ובגדי לבן</w:t>
      </w:r>
      <w:r>
        <w:rPr>
          <w:rFonts w:hint="cs"/>
          <w:sz w:val="24"/>
          <w:szCs w:val="24"/>
          <w:rtl/>
        </w:rPr>
        <w:t>.</w:t>
      </w:r>
      <w:r w:rsidRPr="00073E46">
        <w:rPr>
          <w:sz w:val="24"/>
          <w:szCs w:val="24"/>
          <w:rtl/>
        </w:rPr>
        <w:t xml:space="preserve"> בגדי כהן הדיוט הם ארבעה כלים</w:t>
      </w:r>
      <w:r>
        <w:rPr>
          <w:rFonts w:hint="cs"/>
          <w:sz w:val="24"/>
          <w:szCs w:val="24"/>
          <w:rtl/>
        </w:rPr>
        <w:t>:</w:t>
      </w:r>
      <w:r w:rsidRPr="00073E46">
        <w:rPr>
          <w:sz w:val="24"/>
          <w:szCs w:val="24"/>
          <w:rtl/>
        </w:rPr>
        <w:t xml:space="preserve"> כתנת ומכנסים ומגבעות ואבנט, וארבעתן של פשתן לבנים וחוטן כפול ששה</w:t>
      </w:r>
      <w:r>
        <w:rPr>
          <w:rFonts w:hint="cs"/>
          <w:sz w:val="24"/>
          <w:szCs w:val="24"/>
          <w:rtl/>
        </w:rPr>
        <w:t>,</w:t>
      </w:r>
      <w:r w:rsidRPr="00073E46">
        <w:rPr>
          <w:sz w:val="24"/>
          <w:szCs w:val="24"/>
          <w:rtl/>
        </w:rPr>
        <w:t xml:space="preserve"> והאבנט לבדו רקום בצמר. בגדי זהב הן בגדי כהן גדול</w:t>
      </w:r>
      <w:r>
        <w:rPr>
          <w:rFonts w:hint="cs"/>
          <w:sz w:val="24"/>
          <w:szCs w:val="24"/>
          <w:rtl/>
        </w:rPr>
        <w:t>,</w:t>
      </w:r>
      <w:r w:rsidRPr="00073E46">
        <w:rPr>
          <w:sz w:val="24"/>
          <w:szCs w:val="24"/>
          <w:rtl/>
        </w:rPr>
        <w:t xml:space="preserve"> והם שמנה כלים: הארבעה של כל כהן, ומעיל ואפוד וחושן וציץ</w:t>
      </w:r>
      <w:r>
        <w:rPr>
          <w:rFonts w:hint="cs"/>
          <w:sz w:val="24"/>
          <w:szCs w:val="24"/>
          <w:rtl/>
        </w:rPr>
        <w:t xml:space="preserve">... </w:t>
      </w:r>
      <w:r w:rsidRPr="00073E46">
        <w:rPr>
          <w:sz w:val="24"/>
          <w:szCs w:val="24"/>
          <w:rtl/>
        </w:rPr>
        <w:t>בגדי לבן הם ארבעה כלים שמשמש בהן כ</w:t>
      </w:r>
      <w:r>
        <w:rPr>
          <w:rFonts w:hint="cs"/>
          <w:sz w:val="24"/>
          <w:szCs w:val="24"/>
          <w:rtl/>
        </w:rPr>
        <w:t>הן גדול ביום הכיפורים</w:t>
      </w:r>
      <w:r w:rsidRPr="00073E46">
        <w:rPr>
          <w:sz w:val="24"/>
          <w:szCs w:val="24"/>
          <w:rtl/>
        </w:rPr>
        <w:t>: כתנת</w:t>
      </w:r>
      <w:r>
        <w:rPr>
          <w:sz w:val="24"/>
          <w:szCs w:val="24"/>
          <w:rtl/>
        </w:rPr>
        <w:t xml:space="preserve"> ומכנסים ואבנט</w:t>
      </w:r>
      <w:r w:rsidRPr="00073E46">
        <w:rPr>
          <w:sz w:val="24"/>
          <w:szCs w:val="24"/>
          <w:rtl/>
        </w:rPr>
        <w:t xml:space="preserve"> ומצנפת</w:t>
      </w:r>
      <w:r>
        <w:rPr>
          <w:rFonts w:hint="cs"/>
          <w:sz w:val="24"/>
          <w:szCs w:val="24"/>
          <w:rtl/>
        </w:rPr>
        <w:t xml:space="preserve">. </w:t>
      </w:r>
      <w:r>
        <w:rPr>
          <w:sz w:val="24"/>
          <w:szCs w:val="24"/>
          <w:rtl/>
        </w:rPr>
        <w:tab/>
      </w:r>
      <w:r>
        <w:rPr>
          <w:rFonts w:hint="cs"/>
          <w:sz w:val="24"/>
          <w:szCs w:val="24"/>
          <w:rtl/>
        </w:rPr>
        <w:t xml:space="preserve">     </w:t>
      </w:r>
      <w:r>
        <w:rPr>
          <w:rFonts w:hint="cs"/>
          <w:sz w:val="20"/>
          <w:szCs w:val="20"/>
          <w:rtl/>
        </w:rPr>
        <w:t>[הל' כלי המקדש והעובדים בו פ"ח ה"א-ג]</w:t>
      </w:r>
    </w:p>
    <w:p w:rsidR="009337C2" w:rsidRDefault="009337C2" w:rsidP="009337C2">
      <w:pPr>
        <w:spacing w:before="160" w:after="0" w:line="276" w:lineRule="exact"/>
        <w:ind w:firstLine="266"/>
        <w:rPr>
          <w:sz w:val="24"/>
          <w:szCs w:val="24"/>
          <w:rtl/>
        </w:rPr>
      </w:pPr>
      <w:r>
        <w:rPr>
          <w:rFonts w:hint="cs"/>
          <w:sz w:val="24"/>
          <w:szCs w:val="24"/>
          <w:rtl/>
        </w:rPr>
        <w:t xml:space="preserve">הרמב"ם מבחין בין שלוש מערכות בגדים: בגדי כהן הדיוט, בגדי זהב ובגדי לבן, ואם כן לשיטתו ציווי התורה "כתונת בד קודש ילבש" וכו' מורה שעל הכהן הגדול ללבוש ביום הכיפורים מערכת בגדים מיוחדת </w:t>
      </w:r>
      <w:r>
        <w:rPr>
          <w:sz w:val="24"/>
          <w:szCs w:val="24"/>
          <w:rtl/>
        </w:rPr>
        <w:t>–</w:t>
      </w:r>
      <w:r>
        <w:rPr>
          <w:rFonts w:hint="cs"/>
          <w:sz w:val="24"/>
          <w:szCs w:val="24"/>
          <w:rtl/>
        </w:rPr>
        <w:t xml:space="preserve"> "בגדי לבן".</w:t>
      </w:r>
    </w:p>
    <w:p w:rsidR="009337C2" w:rsidRDefault="009337C2" w:rsidP="009337C2">
      <w:pPr>
        <w:spacing w:before="160" w:after="0" w:line="276" w:lineRule="exact"/>
        <w:ind w:firstLine="266"/>
        <w:rPr>
          <w:sz w:val="24"/>
          <w:szCs w:val="24"/>
          <w:rtl/>
        </w:rPr>
      </w:pPr>
      <w:r>
        <w:rPr>
          <w:rFonts w:hint="cs"/>
          <w:sz w:val="24"/>
          <w:szCs w:val="24"/>
          <w:rtl/>
        </w:rPr>
        <w:t>שיטה זו עולה מדברי הירושלמי:</w:t>
      </w:r>
    </w:p>
    <w:p w:rsidR="009337C2" w:rsidRPr="001F2242" w:rsidRDefault="009337C2" w:rsidP="009337C2">
      <w:pPr>
        <w:spacing w:before="160" w:after="0" w:line="276" w:lineRule="exact"/>
        <w:ind w:left="720"/>
        <w:rPr>
          <w:sz w:val="24"/>
          <w:szCs w:val="24"/>
          <w:rtl/>
        </w:rPr>
      </w:pPr>
      <w:r w:rsidRPr="001F2242">
        <w:rPr>
          <w:sz w:val="24"/>
          <w:szCs w:val="24"/>
          <w:rtl/>
        </w:rPr>
        <w:t>ולמה בבגדי לבן</w:t>
      </w:r>
      <w:r>
        <w:rPr>
          <w:rFonts w:hint="cs"/>
          <w:sz w:val="24"/>
          <w:szCs w:val="24"/>
          <w:rtl/>
        </w:rPr>
        <w:t>?</w:t>
      </w:r>
      <w:r>
        <w:rPr>
          <w:sz w:val="24"/>
          <w:szCs w:val="24"/>
          <w:rtl/>
        </w:rPr>
        <w:t xml:space="preserve"> א</w:t>
      </w:r>
      <w:r>
        <w:rPr>
          <w:rFonts w:hint="cs"/>
          <w:sz w:val="24"/>
          <w:szCs w:val="24"/>
          <w:rtl/>
        </w:rPr>
        <w:t>מר רבי</w:t>
      </w:r>
      <w:r w:rsidRPr="001F2242">
        <w:rPr>
          <w:sz w:val="24"/>
          <w:szCs w:val="24"/>
          <w:rtl/>
        </w:rPr>
        <w:t xml:space="preserve"> חייה בר בא</w:t>
      </w:r>
      <w:r>
        <w:rPr>
          <w:rFonts w:hint="cs"/>
          <w:sz w:val="24"/>
          <w:szCs w:val="24"/>
          <w:rtl/>
        </w:rPr>
        <w:t>:</w:t>
      </w:r>
      <w:r w:rsidRPr="001F2242">
        <w:rPr>
          <w:sz w:val="24"/>
          <w:szCs w:val="24"/>
          <w:rtl/>
        </w:rPr>
        <w:t xml:space="preserve"> כשירות של מעלן כך שירות של מטן</w:t>
      </w:r>
      <w:r>
        <w:rPr>
          <w:rFonts w:hint="cs"/>
          <w:sz w:val="24"/>
          <w:szCs w:val="24"/>
          <w:rtl/>
        </w:rPr>
        <w:t>.</w:t>
      </w:r>
      <w:r w:rsidRPr="001F2242">
        <w:rPr>
          <w:sz w:val="24"/>
          <w:szCs w:val="24"/>
          <w:rtl/>
        </w:rPr>
        <w:t xml:space="preserve"> מה למעלן </w:t>
      </w:r>
      <w:r>
        <w:rPr>
          <w:rFonts w:hint="cs"/>
          <w:sz w:val="24"/>
          <w:szCs w:val="24"/>
          <w:rtl/>
        </w:rPr>
        <w:t>'</w:t>
      </w:r>
      <w:r w:rsidRPr="001F2242">
        <w:rPr>
          <w:sz w:val="24"/>
          <w:szCs w:val="24"/>
          <w:rtl/>
        </w:rPr>
        <w:t>ואיש אחד בתוכם לבוש בדים</w:t>
      </w:r>
      <w:r>
        <w:rPr>
          <w:rFonts w:hint="cs"/>
          <w:sz w:val="24"/>
          <w:szCs w:val="24"/>
          <w:rtl/>
        </w:rPr>
        <w:t>',</w:t>
      </w:r>
      <w:r>
        <w:rPr>
          <w:sz w:val="24"/>
          <w:szCs w:val="24"/>
          <w:rtl/>
        </w:rPr>
        <w:t xml:space="preserve"> אף למטן </w:t>
      </w:r>
      <w:r>
        <w:rPr>
          <w:rFonts w:hint="cs"/>
          <w:sz w:val="24"/>
          <w:szCs w:val="24"/>
          <w:rtl/>
        </w:rPr>
        <w:t>'</w:t>
      </w:r>
      <w:r w:rsidRPr="001F2242">
        <w:rPr>
          <w:sz w:val="24"/>
          <w:szCs w:val="24"/>
          <w:rtl/>
        </w:rPr>
        <w:t>כתנת בד קדש ילבש</w:t>
      </w:r>
      <w:r>
        <w:rPr>
          <w:rFonts w:hint="cs"/>
          <w:sz w:val="24"/>
          <w:szCs w:val="24"/>
          <w:rtl/>
        </w:rPr>
        <w:t xml:space="preserve">'. </w:t>
      </w:r>
      <w:r>
        <w:rPr>
          <w:sz w:val="24"/>
          <w:szCs w:val="24"/>
          <w:rtl/>
        </w:rPr>
        <w:tab/>
      </w:r>
      <w:r>
        <w:rPr>
          <w:rFonts w:hint="cs"/>
          <w:sz w:val="24"/>
          <w:szCs w:val="24"/>
          <w:rtl/>
        </w:rPr>
        <w:t xml:space="preserve">      </w:t>
      </w:r>
      <w:r>
        <w:rPr>
          <w:rFonts w:hint="cs"/>
          <w:sz w:val="20"/>
          <w:szCs w:val="20"/>
          <w:rtl/>
        </w:rPr>
        <w:t>[ירושלמי פ"ז ה"ג]</w:t>
      </w:r>
      <w:r w:rsidRPr="001F2242">
        <w:rPr>
          <w:rStyle w:val="a7"/>
          <w:sz w:val="24"/>
          <w:szCs w:val="24"/>
          <w:rtl/>
        </w:rPr>
        <w:footnoteReference w:id="36"/>
      </w:r>
    </w:p>
    <w:p w:rsidR="009337C2" w:rsidRDefault="009337C2" w:rsidP="009337C2">
      <w:pPr>
        <w:spacing w:before="160" w:after="0" w:line="276" w:lineRule="exact"/>
        <w:ind w:firstLine="266"/>
        <w:rPr>
          <w:sz w:val="24"/>
          <w:szCs w:val="24"/>
          <w:rtl/>
        </w:rPr>
      </w:pPr>
      <w:r>
        <w:rPr>
          <w:rFonts w:hint="cs"/>
          <w:sz w:val="24"/>
          <w:szCs w:val="24"/>
          <w:rtl/>
        </w:rPr>
        <w:t xml:space="preserve">על פי דברי הירושלמי, הכהן הגדול צריך להידמות ביום הכיפורים למלאך </w:t>
      </w:r>
      <w:r>
        <w:rPr>
          <w:sz w:val="24"/>
          <w:szCs w:val="24"/>
          <w:rtl/>
        </w:rPr>
        <w:t>–</w:t>
      </w:r>
      <w:r>
        <w:rPr>
          <w:rFonts w:hint="cs"/>
          <w:sz w:val="24"/>
          <w:szCs w:val="24"/>
          <w:rtl/>
        </w:rPr>
        <w:t xml:space="preserve"> "כשירות של מעלן כך שירות של מטן".</w:t>
      </w:r>
    </w:p>
    <w:p w:rsidR="009337C2" w:rsidRDefault="009337C2" w:rsidP="009337C2">
      <w:pPr>
        <w:spacing w:before="160" w:after="0" w:line="276" w:lineRule="exact"/>
        <w:ind w:firstLine="266"/>
        <w:rPr>
          <w:sz w:val="24"/>
          <w:szCs w:val="24"/>
          <w:rtl/>
        </w:rPr>
      </w:pPr>
    </w:p>
    <w:p w:rsidR="009337C2" w:rsidRDefault="009337C2" w:rsidP="009337C2">
      <w:pPr>
        <w:spacing w:before="160" w:after="0" w:line="276" w:lineRule="exact"/>
        <w:ind w:firstLine="266"/>
        <w:rPr>
          <w:sz w:val="24"/>
          <w:szCs w:val="24"/>
          <w:rtl/>
        </w:rPr>
      </w:pPr>
      <w:r>
        <w:rPr>
          <w:rFonts w:hint="cs"/>
          <w:sz w:val="24"/>
          <w:szCs w:val="24"/>
          <w:rtl/>
        </w:rPr>
        <w:t xml:space="preserve">מן האמור עולות שתי דרכים בהבנת הכתוב "כתונת בד קודש ילבש" וכו': </w:t>
      </w:r>
    </w:p>
    <w:p w:rsidR="009337C2" w:rsidRDefault="009337C2" w:rsidP="009337C2">
      <w:pPr>
        <w:pStyle w:val="a8"/>
        <w:numPr>
          <w:ilvl w:val="0"/>
          <w:numId w:val="3"/>
        </w:numPr>
        <w:spacing w:before="160" w:after="0" w:line="276" w:lineRule="exact"/>
        <w:rPr>
          <w:sz w:val="24"/>
          <w:szCs w:val="24"/>
        </w:rPr>
      </w:pPr>
      <w:r w:rsidRPr="00E118B7">
        <w:rPr>
          <w:rFonts w:hint="cs"/>
          <w:sz w:val="24"/>
          <w:szCs w:val="24"/>
          <w:rtl/>
        </w:rPr>
        <w:t>איסור לבישת בגדי זהב</w:t>
      </w:r>
      <w:r>
        <w:rPr>
          <w:rFonts w:hint="cs"/>
          <w:sz w:val="24"/>
          <w:szCs w:val="24"/>
          <w:rtl/>
        </w:rPr>
        <w:t xml:space="preserve"> ("אין קטיגור נעשה סניגור").</w:t>
      </w:r>
    </w:p>
    <w:p w:rsidR="009337C2" w:rsidRDefault="009337C2" w:rsidP="009337C2">
      <w:pPr>
        <w:pStyle w:val="a8"/>
        <w:numPr>
          <w:ilvl w:val="0"/>
          <w:numId w:val="3"/>
        </w:numPr>
        <w:spacing w:before="160" w:after="0" w:line="276" w:lineRule="exact"/>
        <w:rPr>
          <w:sz w:val="24"/>
          <w:szCs w:val="24"/>
        </w:rPr>
      </w:pPr>
      <w:r>
        <w:rPr>
          <w:rFonts w:hint="cs"/>
          <w:sz w:val="24"/>
          <w:szCs w:val="24"/>
          <w:rtl/>
        </w:rPr>
        <w:t>חובת לבישת בגדי לבן ("כשירות של מעלן כך שירות של מטן").</w:t>
      </w:r>
    </w:p>
    <w:p w:rsidR="009337C2" w:rsidRDefault="009337C2" w:rsidP="009337C2">
      <w:pPr>
        <w:spacing w:before="160" w:after="0" w:line="276" w:lineRule="exact"/>
        <w:ind w:firstLine="266"/>
        <w:rPr>
          <w:sz w:val="24"/>
          <w:szCs w:val="24"/>
          <w:rtl/>
        </w:rPr>
      </w:pPr>
      <w:r>
        <w:rPr>
          <w:rFonts w:hint="cs"/>
          <w:sz w:val="24"/>
          <w:szCs w:val="24"/>
          <w:rtl/>
        </w:rPr>
        <w:lastRenderedPageBreak/>
        <w:t>דרכים אלו יוצרות הבדל עקרוני בהבנת מהותן של בגדי הלבן. לפי הדרך הראשונה, בגדים אלו ביסודן הן בגדי כהן הדיוט. לעומת זאת, לפי הדרך השנייה, אלו מערכת בגדים המיוחדת ליום הכיפורים.</w:t>
      </w:r>
    </w:p>
    <w:p w:rsidR="009337C2" w:rsidRDefault="009337C2" w:rsidP="009337C2">
      <w:pPr>
        <w:spacing w:before="160" w:after="0" w:line="276" w:lineRule="exact"/>
        <w:ind w:firstLine="266"/>
        <w:rPr>
          <w:sz w:val="24"/>
          <w:szCs w:val="24"/>
          <w:rtl/>
        </w:rPr>
      </w:pPr>
      <w:r>
        <w:rPr>
          <w:rFonts w:hint="cs"/>
          <w:sz w:val="24"/>
          <w:szCs w:val="24"/>
          <w:rtl/>
        </w:rPr>
        <w:t xml:space="preserve">המקדש דוד </w:t>
      </w:r>
      <w:r>
        <w:rPr>
          <w:rFonts w:hint="cs"/>
          <w:sz w:val="20"/>
          <w:szCs w:val="20"/>
          <w:rtl/>
        </w:rPr>
        <w:t>[סי' לו ס"ק א]</w:t>
      </w:r>
      <w:r>
        <w:rPr>
          <w:rFonts w:hint="cs"/>
          <w:sz w:val="24"/>
          <w:szCs w:val="24"/>
          <w:rtl/>
        </w:rPr>
        <w:t xml:space="preserve"> טוען כי הבנות אלו עומדות ביסוד מחלוקת התנאים האם בגדי הכהן הגדול ביום הכיפורים כשרים לכהן הדיוט:</w:t>
      </w:r>
    </w:p>
    <w:p w:rsidR="009337C2" w:rsidRPr="00E118B7" w:rsidRDefault="009337C2" w:rsidP="009337C2">
      <w:pPr>
        <w:spacing w:before="160" w:after="0" w:line="276" w:lineRule="exact"/>
        <w:ind w:left="720"/>
        <w:rPr>
          <w:sz w:val="24"/>
          <w:szCs w:val="24"/>
        </w:rPr>
      </w:pPr>
      <w:r w:rsidRPr="00E118B7">
        <w:rPr>
          <w:sz w:val="24"/>
          <w:szCs w:val="24"/>
          <w:rtl/>
        </w:rPr>
        <w:t xml:space="preserve">על בשרו </w:t>
      </w:r>
      <w:r>
        <w:rPr>
          <w:sz w:val="24"/>
          <w:szCs w:val="24"/>
          <w:rtl/>
        </w:rPr>
        <w:t>–</w:t>
      </w:r>
      <w:r>
        <w:rPr>
          <w:rFonts w:hint="cs"/>
          <w:sz w:val="24"/>
          <w:szCs w:val="24"/>
          <w:rtl/>
        </w:rPr>
        <w:t xml:space="preserve"> </w:t>
      </w:r>
      <w:r w:rsidRPr="00E118B7">
        <w:rPr>
          <w:sz w:val="24"/>
          <w:szCs w:val="24"/>
          <w:rtl/>
        </w:rPr>
        <w:t xml:space="preserve">מה תלמוד לומר </w:t>
      </w:r>
      <w:r>
        <w:rPr>
          <w:rFonts w:hint="cs"/>
          <w:sz w:val="24"/>
          <w:szCs w:val="24"/>
          <w:rtl/>
        </w:rPr>
        <w:t>'</w:t>
      </w:r>
      <w:r w:rsidRPr="00E118B7">
        <w:rPr>
          <w:sz w:val="24"/>
          <w:szCs w:val="24"/>
          <w:rtl/>
        </w:rPr>
        <w:t>ילבש</w:t>
      </w:r>
      <w:r>
        <w:rPr>
          <w:rFonts w:hint="cs"/>
          <w:sz w:val="24"/>
          <w:szCs w:val="24"/>
          <w:rtl/>
        </w:rPr>
        <w:t>'?</w:t>
      </w:r>
      <w:r w:rsidRPr="00E118B7">
        <w:rPr>
          <w:sz w:val="24"/>
          <w:szCs w:val="24"/>
          <w:rtl/>
        </w:rPr>
        <w:t xml:space="preserve"> להביא מצנפת ואבנט להרמת הדשן</w:t>
      </w:r>
      <w:r>
        <w:rPr>
          <w:rFonts w:hint="cs"/>
          <w:sz w:val="24"/>
          <w:szCs w:val="24"/>
          <w:rtl/>
        </w:rPr>
        <w:t>,</w:t>
      </w:r>
      <w:r w:rsidRPr="00E118B7">
        <w:rPr>
          <w:sz w:val="24"/>
          <w:szCs w:val="24"/>
          <w:rtl/>
        </w:rPr>
        <w:t xml:space="preserve"> דברי רבי יהודה</w:t>
      </w:r>
      <w:r>
        <w:rPr>
          <w:rFonts w:hint="cs"/>
          <w:sz w:val="24"/>
          <w:szCs w:val="24"/>
          <w:rtl/>
        </w:rPr>
        <w:t>.</w:t>
      </w:r>
      <w:r w:rsidRPr="00E118B7">
        <w:rPr>
          <w:sz w:val="24"/>
          <w:szCs w:val="24"/>
          <w:rtl/>
        </w:rPr>
        <w:t xml:space="preserve"> רבי דוסא אומר</w:t>
      </w:r>
      <w:r>
        <w:rPr>
          <w:rFonts w:hint="cs"/>
          <w:sz w:val="24"/>
          <w:szCs w:val="24"/>
          <w:rtl/>
        </w:rPr>
        <w:t>:</w:t>
      </w:r>
      <w:r w:rsidRPr="00E118B7">
        <w:rPr>
          <w:sz w:val="24"/>
          <w:szCs w:val="24"/>
          <w:rtl/>
        </w:rPr>
        <w:t xml:space="preserve"> להביא בגדי כהן גדול ביום הכפורים שהן כשרין לכהן הדיוט</w:t>
      </w:r>
      <w:r>
        <w:rPr>
          <w:rFonts w:hint="cs"/>
          <w:sz w:val="24"/>
          <w:szCs w:val="24"/>
          <w:rtl/>
        </w:rPr>
        <w:t>.</w:t>
      </w:r>
      <w:r w:rsidRPr="00E118B7">
        <w:rPr>
          <w:sz w:val="24"/>
          <w:szCs w:val="24"/>
          <w:rtl/>
        </w:rPr>
        <w:t xml:space="preserve"> רבי אומר</w:t>
      </w:r>
      <w:r>
        <w:rPr>
          <w:rFonts w:hint="cs"/>
          <w:sz w:val="24"/>
          <w:szCs w:val="24"/>
          <w:rtl/>
        </w:rPr>
        <w:t>:</w:t>
      </w:r>
      <w:r w:rsidRPr="00E118B7">
        <w:rPr>
          <w:sz w:val="24"/>
          <w:szCs w:val="24"/>
          <w:rtl/>
        </w:rPr>
        <w:t xml:space="preserve"> שתי תשובות בדבר</w:t>
      </w:r>
      <w:r>
        <w:rPr>
          <w:rFonts w:hint="cs"/>
          <w:sz w:val="24"/>
          <w:szCs w:val="24"/>
          <w:rtl/>
        </w:rPr>
        <w:t>:</w:t>
      </w:r>
      <w:r w:rsidRPr="00E118B7">
        <w:rPr>
          <w:sz w:val="24"/>
          <w:szCs w:val="24"/>
          <w:rtl/>
        </w:rPr>
        <w:t xml:space="preserve"> חדא</w:t>
      </w:r>
      <w:r>
        <w:rPr>
          <w:rFonts w:hint="cs"/>
          <w:sz w:val="24"/>
          <w:szCs w:val="24"/>
          <w:rtl/>
        </w:rPr>
        <w:t>,</w:t>
      </w:r>
      <w:r w:rsidRPr="00E118B7">
        <w:rPr>
          <w:sz w:val="24"/>
          <w:szCs w:val="24"/>
          <w:rtl/>
        </w:rPr>
        <w:t xml:space="preserve"> דאבנטו של כהן גדול ביום הכיפורים לא זה הוא אבנטו של כהן הדיוט</w:t>
      </w:r>
      <w:r>
        <w:rPr>
          <w:rFonts w:hint="cs"/>
          <w:sz w:val="24"/>
          <w:szCs w:val="24"/>
          <w:rtl/>
        </w:rPr>
        <w:t>.</w:t>
      </w:r>
      <w:r w:rsidRPr="00E118B7">
        <w:rPr>
          <w:sz w:val="24"/>
          <w:szCs w:val="24"/>
          <w:rtl/>
        </w:rPr>
        <w:t xml:space="preserve"> ועוד</w:t>
      </w:r>
      <w:r>
        <w:rPr>
          <w:rFonts w:hint="cs"/>
          <w:sz w:val="24"/>
          <w:szCs w:val="24"/>
          <w:rtl/>
        </w:rPr>
        <w:t>,</w:t>
      </w:r>
      <w:r w:rsidRPr="00E118B7">
        <w:rPr>
          <w:sz w:val="24"/>
          <w:szCs w:val="24"/>
          <w:rtl/>
        </w:rPr>
        <w:t xml:space="preserve"> בגדים שנשתמשתה בהן קדושה חמורה תשמש בהן קדושה קלה</w:t>
      </w:r>
      <w:r>
        <w:rPr>
          <w:rFonts w:hint="cs"/>
          <w:sz w:val="24"/>
          <w:szCs w:val="24"/>
          <w:rtl/>
        </w:rPr>
        <w:t>?!</w:t>
      </w:r>
      <w:r w:rsidRPr="00E118B7">
        <w:rPr>
          <w:sz w:val="24"/>
          <w:szCs w:val="24"/>
          <w:rtl/>
        </w:rPr>
        <w:t xml:space="preserve"> אלא מה תלמוד לומר </w:t>
      </w:r>
      <w:r>
        <w:rPr>
          <w:rFonts w:hint="cs"/>
          <w:sz w:val="24"/>
          <w:szCs w:val="24"/>
          <w:rtl/>
        </w:rPr>
        <w:t>'</w:t>
      </w:r>
      <w:r w:rsidRPr="00E118B7">
        <w:rPr>
          <w:sz w:val="24"/>
          <w:szCs w:val="24"/>
          <w:rtl/>
        </w:rPr>
        <w:t>ילבש</w:t>
      </w:r>
      <w:r>
        <w:rPr>
          <w:rFonts w:hint="cs"/>
          <w:sz w:val="24"/>
          <w:szCs w:val="24"/>
          <w:rtl/>
        </w:rPr>
        <w:t>'?</w:t>
      </w:r>
      <w:r w:rsidRPr="00E118B7">
        <w:rPr>
          <w:sz w:val="24"/>
          <w:szCs w:val="24"/>
          <w:rtl/>
        </w:rPr>
        <w:t xml:space="preserve"> לרבות את השחקין</w:t>
      </w:r>
      <w:r>
        <w:rPr>
          <w:rFonts w:hint="cs"/>
          <w:sz w:val="24"/>
          <w:szCs w:val="24"/>
          <w:rtl/>
        </w:rPr>
        <w:t xml:space="preserve">. </w:t>
      </w:r>
      <w:r>
        <w:rPr>
          <w:rFonts w:hint="cs"/>
          <w:sz w:val="20"/>
          <w:szCs w:val="20"/>
          <w:rtl/>
        </w:rPr>
        <w:tab/>
      </w:r>
      <w:r>
        <w:rPr>
          <w:sz w:val="20"/>
          <w:szCs w:val="20"/>
          <w:rtl/>
        </w:rPr>
        <w:tab/>
      </w:r>
      <w:r>
        <w:rPr>
          <w:sz w:val="20"/>
          <w:szCs w:val="20"/>
          <w:rtl/>
        </w:rPr>
        <w:tab/>
      </w:r>
      <w:r>
        <w:rPr>
          <w:sz w:val="20"/>
          <w:szCs w:val="20"/>
          <w:rtl/>
        </w:rPr>
        <w:tab/>
      </w:r>
      <w:r>
        <w:rPr>
          <w:sz w:val="20"/>
          <w:szCs w:val="20"/>
          <w:rtl/>
        </w:rPr>
        <w:tab/>
      </w:r>
      <w:r>
        <w:rPr>
          <w:rFonts w:hint="cs"/>
          <w:sz w:val="20"/>
          <w:szCs w:val="20"/>
          <w:rtl/>
        </w:rPr>
        <w:t xml:space="preserve">       [יומא יב:]</w:t>
      </w:r>
      <w:r w:rsidRPr="00E118B7">
        <w:rPr>
          <w:sz w:val="24"/>
          <w:szCs w:val="24"/>
          <w:rtl/>
        </w:rPr>
        <w:t xml:space="preserve"> </w:t>
      </w:r>
      <w:r>
        <w:rPr>
          <w:rFonts w:hint="cs"/>
          <w:sz w:val="24"/>
          <w:szCs w:val="24"/>
          <w:rtl/>
        </w:rPr>
        <w:t xml:space="preserve"> </w:t>
      </w:r>
    </w:p>
    <w:p w:rsidR="009337C2" w:rsidRDefault="009337C2" w:rsidP="009337C2">
      <w:pPr>
        <w:spacing w:before="160" w:after="0" w:line="276" w:lineRule="exact"/>
        <w:ind w:firstLine="266"/>
        <w:rPr>
          <w:sz w:val="24"/>
          <w:szCs w:val="24"/>
          <w:rtl/>
        </w:rPr>
      </w:pPr>
      <w:r>
        <w:rPr>
          <w:rFonts w:hint="cs"/>
          <w:sz w:val="24"/>
          <w:szCs w:val="24"/>
          <w:rtl/>
        </w:rPr>
        <w:t>רבי דוסא טוען כי בגדי כהן גדול ביום הכיפורים כשרים לכהן הדיוט, ורבי טוען כנגדו שתי טענות: "</w:t>
      </w:r>
      <w:r w:rsidRPr="00E118B7">
        <w:rPr>
          <w:sz w:val="24"/>
          <w:szCs w:val="24"/>
          <w:rtl/>
        </w:rPr>
        <w:t>חדא</w:t>
      </w:r>
      <w:r>
        <w:rPr>
          <w:rFonts w:hint="cs"/>
          <w:sz w:val="24"/>
          <w:szCs w:val="24"/>
          <w:rtl/>
        </w:rPr>
        <w:t>,</w:t>
      </w:r>
      <w:r w:rsidRPr="00E118B7">
        <w:rPr>
          <w:sz w:val="24"/>
          <w:szCs w:val="24"/>
          <w:rtl/>
        </w:rPr>
        <w:t xml:space="preserve"> דאבנטו של כהן גדול ביום הכיפורים לא זה הוא אבנטו של כהן הדיוט</w:t>
      </w:r>
      <w:r>
        <w:rPr>
          <w:rFonts w:hint="cs"/>
          <w:sz w:val="24"/>
          <w:szCs w:val="24"/>
          <w:rtl/>
        </w:rPr>
        <w:t>.</w:t>
      </w:r>
      <w:r w:rsidRPr="00E118B7">
        <w:rPr>
          <w:sz w:val="24"/>
          <w:szCs w:val="24"/>
          <w:rtl/>
        </w:rPr>
        <w:t xml:space="preserve"> ועוד</w:t>
      </w:r>
      <w:r>
        <w:rPr>
          <w:rFonts w:hint="cs"/>
          <w:sz w:val="24"/>
          <w:szCs w:val="24"/>
          <w:rtl/>
        </w:rPr>
        <w:t>,</w:t>
      </w:r>
      <w:r w:rsidRPr="00E118B7">
        <w:rPr>
          <w:sz w:val="24"/>
          <w:szCs w:val="24"/>
          <w:rtl/>
        </w:rPr>
        <w:t xml:space="preserve"> בגדים שנשתמשתה בהן קדושה חמורה תשמש בהן קדושה קלה</w:t>
      </w:r>
      <w:r>
        <w:rPr>
          <w:rFonts w:hint="cs"/>
          <w:sz w:val="24"/>
          <w:szCs w:val="24"/>
          <w:rtl/>
        </w:rPr>
        <w:t xml:space="preserve">?!". המקדש דוד מבאר, כי רבי דוסא סבור שהכהן הגדול ביום הכיפורים לובש בגדי כהן הדיוט, ולכן לשיטתו לאחר סיום עבודת יום הכיפורים כהן הדיוט יכול להשתמש בהם. כנגד תפיסה זו טוען רבי, כי ההבדל בין אבנטו של כהן גדול ביום הכיפורים לאבנט של כהן הדיוט מוכיח כי "בגדי לבן" אינם בגדי כהן הדיוט אלא מערכת בגדים המיוחדת לעבודת יום הכיפורים. </w:t>
      </w:r>
    </w:p>
    <w:p w:rsidR="009337C2" w:rsidRDefault="009337C2" w:rsidP="009337C2">
      <w:pPr>
        <w:spacing w:before="160" w:after="0" w:line="276" w:lineRule="exact"/>
        <w:ind w:firstLine="266"/>
        <w:rPr>
          <w:sz w:val="24"/>
          <w:szCs w:val="24"/>
          <w:rtl/>
        </w:rPr>
      </w:pPr>
    </w:p>
    <w:p w:rsidR="009337C2" w:rsidRDefault="009337C2" w:rsidP="00675F1C">
      <w:pPr>
        <w:spacing w:after="0" w:line="276" w:lineRule="exact"/>
        <w:ind w:firstLine="266"/>
        <w:rPr>
          <w:sz w:val="24"/>
          <w:szCs w:val="24"/>
          <w:rtl/>
        </w:rPr>
      </w:pPr>
      <w:r>
        <w:rPr>
          <w:rFonts w:hint="cs"/>
          <w:sz w:val="24"/>
          <w:szCs w:val="24"/>
          <w:rtl/>
        </w:rPr>
        <w:t xml:space="preserve">הבנות אלו ביסוד דין "בגדי לבן" משליכות על שאלה נוספת </w:t>
      </w:r>
      <w:r>
        <w:rPr>
          <w:sz w:val="24"/>
          <w:szCs w:val="24"/>
          <w:rtl/>
        </w:rPr>
        <w:t>–</w:t>
      </w:r>
      <w:r>
        <w:rPr>
          <w:rFonts w:hint="cs"/>
          <w:sz w:val="24"/>
          <w:szCs w:val="24"/>
          <w:rtl/>
        </w:rPr>
        <w:t xml:space="preserve"> האם בגדים אלו נצרכים מחמת הכניסה לקודש הקדשים או מחמת עבודת הכפרה. </w:t>
      </w:r>
    </w:p>
    <w:p w:rsidR="009337C2" w:rsidRDefault="009337C2" w:rsidP="009337C2">
      <w:pPr>
        <w:spacing w:before="160" w:after="0" w:line="276" w:lineRule="exact"/>
        <w:ind w:firstLine="266"/>
        <w:rPr>
          <w:sz w:val="24"/>
          <w:szCs w:val="24"/>
          <w:rtl/>
        </w:rPr>
      </w:pPr>
      <w:r>
        <w:rPr>
          <w:rFonts w:hint="cs"/>
          <w:sz w:val="24"/>
          <w:szCs w:val="24"/>
          <w:rtl/>
        </w:rPr>
        <w:t xml:space="preserve">בדברי הגמרא </w:t>
      </w:r>
      <w:r>
        <w:rPr>
          <w:rFonts w:hint="cs"/>
          <w:sz w:val="20"/>
          <w:szCs w:val="20"/>
          <w:rtl/>
        </w:rPr>
        <w:t>[ראש השנה כו.]</w:t>
      </w:r>
      <w:r>
        <w:rPr>
          <w:rFonts w:hint="cs"/>
          <w:sz w:val="24"/>
          <w:szCs w:val="24"/>
          <w:rtl/>
        </w:rPr>
        <w:t xml:space="preserve"> מבואר שהכלל "אין קטיגור נעשה סניגור" נאמר רק בכניסה לפני ולפנים. ברור, אם כן, כי על פי הבנה זו, הצורך בבגדי לבן נובע מחמת הכניסה לקודש הקדשים. לעומת זאת, לפי ההבנה שיש משמעות עצמית לבגדי לבן, ניתן להסתפק האם דין זה נובע מחמת הכניסה לקודש הקדשים או מחמת עבודת הכפרה. </w:t>
      </w:r>
    </w:p>
    <w:p w:rsidR="009337C2" w:rsidRDefault="009337C2" w:rsidP="009337C2">
      <w:pPr>
        <w:spacing w:before="160" w:after="0" w:line="276" w:lineRule="exact"/>
        <w:ind w:firstLine="266"/>
        <w:rPr>
          <w:sz w:val="24"/>
          <w:szCs w:val="24"/>
          <w:rtl/>
        </w:rPr>
      </w:pPr>
      <w:r>
        <w:rPr>
          <w:rFonts w:hint="cs"/>
          <w:sz w:val="24"/>
          <w:szCs w:val="24"/>
          <w:rtl/>
        </w:rPr>
        <w:t>רבנו בחיי כותב בביאור המדרש דלעיל המשווה בין "שירות של מעלן" ל"שירות של מטן":</w:t>
      </w:r>
    </w:p>
    <w:p w:rsidR="009337C2" w:rsidRPr="00E17487" w:rsidRDefault="009337C2" w:rsidP="009337C2">
      <w:pPr>
        <w:spacing w:before="160" w:after="0" w:line="276" w:lineRule="exact"/>
        <w:ind w:left="720"/>
        <w:rPr>
          <w:sz w:val="20"/>
          <w:szCs w:val="20"/>
          <w:rtl/>
        </w:rPr>
      </w:pPr>
      <w:r w:rsidRPr="00E17487">
        <w:rPr>
          <w:sz w:val="24"/>
          <w:szCs w:val="24"/>
          <w:rtl/>
        </w:rPr>
        <w:t>ואמר</w:t>
      </w:r>
      <w:r w:rsidRPr="00E17487">
        <w:rPr>
          <w:rFonts w:hint="cs"/>
          <w:sz w:val="24"/>
          <w:szCs w:val="24"/>
          <w:rtl/>
        </w:rPr>
        <w:t xml:space="preserve"> '</w:t>
      </w:r>
      <w:r w:rsidRPr="00E17487">
        <w:rPr>
          <w:sz w:val="24"/>
          <w:szCs w:val="24"/>
          <w:rtl/>
        </w:rPr>
        <w:t>בגדי קדש הם</w:t>
      </w:r>
      <w:r w:rsidRPr="00E17487">
        <w:rPr>
          <w:rFonts w:hint="cs"/>
          <w:sz w:val="24"/>
          <w:szCs w:val="24"/>
          <w:rtl/>
        </w:rPr>
        <w:t>'</w:t>
      </w:r>
      <w:r w:rsidRPr="00E17487">
        <w:rPr>
          <w:sz w:val="24"/>
          <w:szCs w:val="24"/>
          <w:rtl/>
        </w:rPr>
        <w:t>, ללמד כי כהן גדול המשרת לפני ולפנים בבית המקדש של מטה דוגמא לשירות הנעשה בבית המקדש של מעלה</w:t>
      </w:r>
      <w:r w:rsidRPr="00E17487">
        <w:rPr>
          <w:rFonts w:hint="cs"/>
          <w:sz w:val="24"/>
          <w:szCs w:val="24"/>
          <w:rtl/>
        </w:rPr>
        <w:t xml:space="preserve">... </w:t>
      </w:r>
      <w:r w:rsidRPr="00E17487">
        <w:rPr>
          <w:sz w:val="24"/>
          <w:szCs w:val="24"/>
          <w:rtl/>
        </w:rPr>
        <w:t>והתכוין כי לא הוכשר הכהן להכנס לפני ולפנים בבית הרחמים כי אם בבגדי בד.</w:t>
      </w:r>
      <w:r w:rsidRPr="00E17487">
        <w:rPr>
          <w:sz w:val="24"/>
          <w:szCs w:val="24"/>
          <w:rtl/>
        </w:rPr>
        <w:tab/>
      </w:r>
      <w:r w:rsidRPr="00E17487">
        <w:rPr>
          <w:sz w:val="24"/>
          <w:szCs w:val="24"/>
          <w:rtl/>
        </w:rPr>
        <w:tab/>
      </w:r>
      <w:r w:rsidRPr="00E17487">
        <w:rPr>
          <w:sz w:val="24"/>
          <w:szCs w:val="24"/>
          <w:rtl/>
        </w:rPr>
        <w:tab/>
      </w:r>
      <w:r w:rsidRPr="00E17487">
        <w:rPr>
          <w:sz w:val="24"/>
          <w:szCs w:val="24"/>
          <w:rtl/>
        </w:rPr>
        <w:tab/>
      </w:r>
      <w:r w:rsidRPr="00E17487">
        <w:rPr>
          <w:sz w:val="24"/>
          <w:szCs w:val="24"/>
          <w:rtl/>
        </w:rPr>
        <w:tab/>
      </w:r>
      <w:r w:rsidRPr="00E17487">
        <w:rPr>
          <w:rFonts w:hint="cs"/>
          <w:sz w:val="24"/>
          <w:szCs w:val="24"/>
          <w:rtl/>
        </w:rPr>
        <w:t xml:space="preserve">   </w:t>
      </w:r>
      <w:r w:rsidRPr="00E17487">
        <w:rPr>
          <w:rFonts w:hint="cs"/>
          <w:sz w:val="20"/>
          <w:szCs w:val="20"/>
          <w:rtl/>
        </w:rPr>
        <w:t>[רבנו בחיי ויקרא טז, ד]</w:t>
      </w:r>
    </w:p>
    <w:p w:rsidR="009337C2" w:rsidRDefault="009337C2" w:rsidP="009337C2">
      <w:pPr>
        <w:spacing w:before="160" w:after="0" w:line="276" w:lineRule="exact"/>
        <w:ind w:firstLine="266"/>
        <w:rPr>
          <w:sz w:val="24"/>
          <w:szCs w:val="24"/>
          <w:rtl/>
        </w:rPr>
      </w:pPr>
      <w:r>
        <w:rPr>
          <w:rFonts w:hint="cs"/>
          <w:sz w:val="24"/>
          <w:szCs w:val="24"/>
          <w:rtl/>
        </w:rPr>
        <w:t xml:space="preserve">מדבריו עולה כי </w:t>
      </w:r>
      <w:r w:rsidRPr="00E17487">
        <w:rPr>
          <w:rFonts w:hint="cs"/>
          <w:sz w:val="24"/>
          <w:szCs w:val="24"/>
          <w:rtl/>
        </w:rPr>
        <w:t>הצורך ללבוש בגדי לבן</w:t>
      </w:r>
      <w:r>
        <w:rPr>
          <w:rFonts w:hint="cs"/>
          <w:sz w:val="24"/>
          <w:szCs w:val="24"/>
          <w:rtl/>
        </w:rPr>
        <w:t xml:space="preserve"> </w:t>
      </w:r>
      <w:r w:rsidRPr="00E17487">
        <w:rPr>
          <w:rFonts w:hint="cs"/>
          <w:sz w:val="24"/>
          <w:szCs w:val="24"/>
          <w:rtl/>
        </w:rPr>
        <w:t>נובע מחמת הכניסה לקודש הקדשים</w:t>
      </w:r>
      <w:r>
        <w:rPr>
          <w:rFonts w:hint="cs"/>
          <w:sz w:val="24"/>
          <w:szCs w:val="24"/>
          <w:rtl/>
        </w:rPr>
        <w:t xml:space="preserve">. </w:t>
      </w:r>
    </w:p>
    <w:p w:rsidR="009337C2" w:rsidRDefault="009337C2" w:rsidP="009337C2">
      <w:pPr>
        <w:spacing w:before="160" w:after="0" w:line="276" w:lineRule="exact"/>
        <w:ind w:firstLine="266"/>
        <w:rPr>
          <w:sz w:val="24"/>
          <w:szCs w:val="24"/>
          <w:rtl/>
        </w:rPr>
      </w:pPr>
      <w:r>
        <w:rPr>
          <w:rFonts w:hint="cs"/>
          <w:sz w:val="24"/>
          <w:szCs w:val="24"/>
          <w:rtl/>
        </w:rPr>
        <w:t>אמנם בספרי מובאת דרשה המלמדת כי כשם שעבודת יום הכיפורים נעשית בבגדי לבן כך שריפת פרה אדומה נעשית בבגדי לבן:</w:t>
      </w:r>
    </w:p>
    <w:p w:rsidR="009337C2" w:rsidRDefault="009337C2" w:rsidP="009337C2">
      <w:pPr>
        <w:spacing w:before="160" w:after="0" w:line="276" w:lineRule="exact"/>
        <w:ind w:left="720"/>
        <w:rPr>
          <w:sz w:val="20"/>
          <w:szCs w:val="20"/>
          <w:rtl/>
        </w:rPr>
      </w:pPr>
      <w:r>
        <w:rPr>
          <w:sz w:val="24"/>
          <w:szCs w:val="24"/>
          <w:rtl/>
        </w:rPr>
        <w:t>זאת חקת התורה</w:t>
      </w:r>
      <w:r>
        <w:rPr>
          <w:rFonts w:hint="cs"/>
          <w:sz w:val="24"/>
          <w:szCs w:val="24"/>
          <w:rtl/>
        </w:rPr>
        <w:t xml:space="preserve"> </w:t>
      </w:r>
      <w:r>
        <w:rPr>
          <w:sz w:val="24"/>
          <w:szCs w:val="24"/>
          <w:rtl/>
        </w:rPr>
        <w:t>–</w:t>
      </w:r>
      <w:r>
        <w:rPr>
          <w:rFonts w:hint="cs"/>
          <w:sz w:val="24"/>
          <w:szCs w:val="24"/>
          <w:rtl/>
        </w:rPr>
        <w:t xml:space="preserve"> </w:t>
      </w:r>
      <w:r w:rsidRPr="00E17487">
        <w:rPr>
          <w:sz w:val="24"/>
          <w:szCs w:val="24"/>
          <w:rtl/>
        </w:rPr>
        <w:t>רבי אליעזר אומר</w:t>
      </w:r>
      <w:r>
        <w:rPr>
          <w:rFonts w:hint="cs"/>
          <w:sz w:val="24"/>
          <w:szCs w:val="24"/>
          <w:rtl/>
        </w:rPr>
        <w:t>:</w:t>
      </w:r>
      <w:r w:rsidRPr="00E17487">
        <w:rPr>
          <w:sz w:val="24"/>
          <w:szCs w:val="24"/>
          <w:rtl/>
        </w:rPr>
        <w:t xml:space="preserve"> נאמר כאן </w:t>
      </w:r>
      <w:r>
        <w:rPr>
          <w:rFonts w:hint="cs"/>
          <w:sz w:val="24"/>
          <w:szCs w:val="24"/>
          <w:rtl/>
        </w:rPr>
        <w:t>'</w:t>
      </w:r>
      <w:r w:rsidRPr="00E17487">
        <w:rPr>
          <w:sz w:val="24"/>
          <w:szCs w:val="24"/>
          <w:rtl/>
        </w:rPr>
        <w:t>חקה</w:t>
      </w:r>
      <w:r>
        <w:rPr>
          <w:rFonts w:hint="cs"/>
          <w:sz w:val="24"/>
          <w:szCs w:val="24"/>
          <w:rtl/>
        </w:rPr>
        <w:t>'</w:t>
      </w:r>
      <w:r w:rsidRPr="00E17487">
        <w:rPr>
          <w:sz w:val="24"/>
          <w:szCs w:val="24"/>
          <w:rtl/>
        </w:rPr>
        <w:t xml:space="preserve"> ונאמר להלן </w:t>
      </w:r>
      <w:r>
        <w:rPr>
          <w:rFonts w:hint="cs"/>
          <w:sz w:val="24"/>
          <w:szCs w:val="24"/>
          <w:rtl/>
        </w:rPr>
        <w:t>'</w:t>
      </w:r>
      <w:r w:rsidRPr="00E17487">
        <w:rPr>
          <w:sz w:val="24"/>
          <w:szCs w:val="24"/>
          <w:rtl/>
        </w:rPr>
        <w:t>חקה</w:t>
      </w:r>
      <w:r>
        <w:rPr>
          <w:rFonts w:hint="cs"/>
          <w:sz w:val="24"/>
          <w:szCs w:val="24"/>
          <w:rtl/>
        </w:rPr>
        <w:t>',</w:t>
      </w:r>
      <w:r w:rsidRPr="00E17487">
        <w:rPr>
          <w:sz w:val="24"/>
          <w:szCs w:val="24"/>
          <w:rtl/>
        </w:rPr>
        <w:t xml:space="preserve"> מה חקה האמורה להלן בבגדי לבן הכתוב מדבר</w:t>
      </w:r>
      <w:r>
        <w:rPr>
          <w:rFonts w:hint="cs"/>
          <w:sz w:val="24"/>
          <w:szCs w:val="24"/>
          <w:rtl/>
        </w:rPr>
        <w:t>,</w:t>
      </w:r>
      <w:r w:rsidRPr="00E17487">
        <w:rPr>
          <w:sz w:val="24"/>
          <w:szCs w:val="24"/>
          <w:rtl/>
        </w:rPr>
        <w:t xml:space="preserve"> אף חקה האמורה כאן בבגדי לבן הכתוב מדבר</w:t>
      </w:r>
      <w:r>
        <w:rPr>
          <w:rFonts w:hint="cs"/>
          <w:sz w:val="24"/>
          <w:szCs w:val="24"/>
          <w:rtl/>
        </w:rPr>
        <w:t xml:space="preserve">. </w:t>
      </w:r>
    </w:p>
    <w:p w:rsidR="009337C2" w:rsidRPr="00E17487" w:rsidRDefault="009337C2" w:rsidP="009337C2">
      <w:pPr>
        <w:spacing w:before="160" w:after="0" w:line="276" w:lineRule="exact"/>
        <w:ind w:left="720"/>
        <w:jc w:val="right"/>
        <w:rPr>
          <w:sz w:val="20"/>
          <w:szCs w:val="20"/>
          <w:rtl/>
        </w:rPr>
      </w:pPr>
      <w:r>
        <w:rPr>
          <w:rFonts w:hint="cs"/>
          <w:sz w:val="20"/>
          <w:szCs w:val="20"/>
          <w:rtl/>
        </w:rPr>
        <w:t>[ספרי פרשת חוקת פסקה קכג]</w:t>
      </w:r>
    </w:p>
    <w:p w:rsidR="009337C2" w:rsidRDefault="009337C2" w:rsidP="009337C2">
      <w:pPr>
        <w:spacing w:before="160" w:after="0" w:line="276" w:lineRule="exact"/>
        <w:ind w:firstLine="266"/>
        <w:rPr>
          <w:sz w:val="24"/>
          <w:szCs w:val="24"/>
          <w:rtl/>
        </w:rPr>
      </w:pPr>
      <w:r>
        <w:rPr>
          <w:rFonts w:hint="cs"/>
          <w:sz w:val="24"/>
          <w:szCs w:val="24"/>
          <w:rtl/>
        </w:rPr>
        <w:t xml:space="preserve">על פי ההבנה שהצורך ללבוש בגדי לבן נובע מהכניסה לקודש הקדשים, דרשה זו מפליאה: מה מקום יש ללמוד לעניין זה מעבודת יום הכיפורים לשריפת פרה אדומה? הרי בגדי לבן שייכים דווקא בעבודת יום הכיפורים הנעשית לפני ולפנים, ולא בשריפת הפרה הנעשית מחוץ למקדש! על כורחנו כי לפי דרשה זו החובה ללבוש בגדי לבן אינה נובעת מחמת הכניסה לקודש הקדשים אלא מחמת עבודת הכפרה. בהתאם לכך, כשם שעבודות חיטוי וכפרת הקודש נעשות בבגדי לבן, כך עבודת שריפת הפרה, שאף היא מעשה של חיטוי והעברת טומאת המוות </w:t>
      </w:r>
      <w:r>
        <w:rPr>
          <w:sz w:val="24"/>
          <w:szCs w:val="24"/>
          <w:rtl/>
        </w:rPr>
        <w:t>–</w:t>
      </w:r>
      <w:r>
        <w:rPr>
          <w:rFonts w:hint="cs"/>
          <w:sz w:val="24"/>
          <w:szCs w:val="24"/>
          <w:rtl/>
        </w:rPr>
        <w:t xml:space="preserve"> כדברי התורה </w:t>
      </w:r>
      <w:r>
        <w:rPr>
          <w:rFonts w:hint="cs"/>
          <w:sz w:val="20"/>
          <w:szCs w:val="20"/>
          <w:rtl/>
        </w:rPr>
        <w:t>[במדבר יט, ט]</w:t>
      </w:r>
      <w:r>
        <w:rPr>
          <w:rFonts w:hint="cs"/>
          <w:sz w:val="24"/>
          <w:szCs w:val="24"/>
          <w:rtl/>
        </w:rPr>
        <w:t xml:space="preserve"> "חטאת היא" </w:t>
      </w:r>
      <w:r>
        <w:rPr>
          <w:sz w:val="24"/>
          <w:szCs w:val="24"/>
          <w:rtl/>
        </w:rPr>
        <w:t>–</w:t>
      </w:r>
      <w:r>
        <w:rPr>
          <w:rFonts w:hint="cs"/>
          <w:sz w:val="24"/>
          <w:szCs w:val="24"/>
          <w:rtl/>
        </w:rPr>
        <w:t xml:space="preserve">  צריכה גם היא להיעשות בבגדי לבן</w:t>
      </w:r>
      <w:r>
        <w:rPr>
          <w:rStyle w:val="a7"/>
          <w:sz w:val="24"/>
          <w:szCs w:val="24"/>
          <w:rtl/>
        </w:rPr>
        <w:footnoteReference w:id="37"/>
      </w:r>
      <w:r>
        <w:rPr>
          <w:rFonts w:hint="cs"/>
          <w:sz w:val="24"/>
          <w:szCs w:val="24"/>
          <w:rtl/>
        </w:rPr>
        <w:t>.</w:t>
      </w:r>
    </w:p>
    <w:p w:rsidR="009337C2" w:rsidRDefault="009337C2" w:rsidP="009337C2">
      <w:pPr>
        <w:spacing w:before="160" w:after="0" w:line="276" w:lineRule="exact"/>
        <w:ind w:firstLine="266"/>
        <w:rPr>
          <w:sz w:val="24"/>
          <w:szCs w:val="24"/>
          <w:rtl/>
        </w:rPr>
      </w:pPr>
      <w:r>
        <w:rPr>
          <w:rFonts w:hint="cs"/>
          <w:sz w:val="24"/>
          <w:szCs w:val="24"/>
          <w:rtl/>
        </w:rPr>
        <w:lastRenderedPageBreak/>
        <w:t>נראה להעמיק ולבאר את הקשר בין עבודות הכפרה לבגדי לבן. בכל ימות השנה לובש הכהן הגדול בגדי מלכות, "לכבוד ולתפארת". המקדש אמור לפאר את שם ה', וגם תפקידו של הכהן הגדול הוא לפאר ולהאדיר את שם ה' בעבודתו ובהימצאותו במקדש לבוש בגדי מלכות. עם זאת, לעבודת יום הכיפורים יש אופי שונה. זו אינה עבודה של פאר והדר, אלא של כפרה וטהרה. בהתאם לכך, עבודות הכפרה אינן נעשות בבגדי מלכות אלא בבגדי לבן המבטאים טהרה ונקיות. זהו גם אופייה של עבודת שריפת הפרה, ולכן גם היא נעשית בבגדי לבן המתאימים לעבודות חיטוי וטיהור</w:t>
      </w:r>
      <w:r>
        <w:rPr>
          <w:rStyle w:val="a7"/>
          <w:sz w:val="24"/>
          <w:szCs w:val="24"/>
          <w:rtl/>
        </w:rPr>
        <w:footnoteReference w:id="38"/>
      </w:r>
      <w:r>
        <w:rPr>
          <w:rFonts w:hint="cs"/>
          <w:sz w:val="24"/>
          <w:szCs w:val="24"/>
          <w:rtl/>
        </w:rPr>
        <w:t>.</w:t>
      </w:r>
    </w:p>
    <w:p w:rsidR="009337C2" w:rsidRDefault="009337C2" w:rsidP="009337C2">
      <w:pPr>
        <w:spacing w:before="160" w:after="0" w:line="276" w:lineRule="exact"/>
        <w:ind w:firstLine="266"/>
        <w:rPr>
          <w:sz w:val="24"/>
          <w:szCs w:val="24"/>
          <w:rtl/>
        </w:rPr>
      </w:pPr>
      <w:r>
        <w:rPr>
          <w:rFonts w:hint="cs"/>
          <w:sz w:val="24"/>
          <w:szCs w:val="24"/>
          <w:rtl/>
        </w:rPr>
        <w:t>אמנם, הרמב"ם פוסק בהלכות פרה אדומה:</w:t>
      </w:r>
    </w:p>
    <w:p w:rsidR="009337C2" w:rsidRPr="00B60B1E" w:rsidRDefault="009337C2" w:rsidP="009337C2">
      <w:pPr>
        <w:spacing w:before="160" w:after="0" w:line="276" w:lineRule="exact"/>
        <w:ind w:left="720"/>
        <w:rPr>
          <w:sz w:val="20"/>
          <w:szCs w:val="20"/>
          <w:rtl/>
        </w:rPr>
      </w:pPr>
      <w:r w:rsidRPr="00B60B1E">
        <w:rPr>
          <w:sz w:val="24"/>
          <w:szCs w:val="24"/>
          <w:rtl/>
        </w:rPr>
        <w:t xml:space="preserve">והעושה אותה לובש </w:t>
      </w:r>
      <w:r w:rsidRPr="00A6206A">
        <w:rPr>
          <w:b/>
          <w:bCs/>
          <w:sz w:val="24"/>
          <w:szCs w:val="24"/>
          <w:rtl/>
        </w:rPr>
        <w:t>ארבעה כלים של כהן הדיוט</w:t>
      </w:r>
      <w:r w:rsidRPr="00B60B1E">
        <w:rPr>
          <w:sz w:val="24"/>
          <w:szCs w:val="24"/>
          <w:rtl/>
        </w:rPr>
        <w:t>, ב</w:t>
      </w:r>
      <w:r>
        <w:rPr>
          <w:sz w:val="24"/>
          <w:szCs w:val="24"/>
          <w:rtl/>
        </w:rPr>
        <w:t>ין שעשאה כהן הדיוט בין שעשאה כ</w:t>
      </w:r>
      <w:r>
        <w:rPr>
          <w:rFonts w:hint="cs"/>
          <w:sz w:val="24"/>
          <w:szCs w:val="24"/>
          <w:rtl/>
        </w:rPr>
        <w:t>הן גדול</w:t>
      </w:r>
      <w:r w:rsidRPr="00B60B1E">
        <w:rPr>
          <w:sz w:val="24"/>
          <w:szCs w:val="24"/>
          <w:rtl/>
        </w:rPr>
        <w:t>.</w:t>
      </w:r>
      <w:r>
        <w:rPr>
          <w:rFonts w:hint="cs"/>
          <w:sz w:val="24"/>
          <w:szCs w:val="24"/>
          <w:rtl/>
        </w:rPr>
        <w:t xml:space="preserve"> </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[הל' פרה אדומה פ"א הי"ב]</w:t>
      </w:r>
    </w:p>
    <w:p w:rsidR="009337C2" w:rsidRDefault="009337C2" w:rsidP="009337C2">
      <w:pPr>
        <w:spacing w:before="160" w:after="0" w:line="276" w:lineRule="exact"/>
        <w:ind w:firstLine="266"/>
        <w:rPr>
          <w:sz w:val="24"/>
          <w:szCs w:val="24"/>
          <w:rtl/>
        </w:rPr>
      </w:pPr>
      <w:r>
        <w:rPr>
          <w:rFonts w:hint="cs"/>
          <w:sz w:val="24"/>
          <w:szCs w:val="24"/>
          <w:rtl/>
        </w:rPr>
        <w:t>לפי דבריו, שריפת הפרה אינה נעשית באבנט של בד (ככהן גדול ביום הכיפורים), אלא באבנט של כלאים (ככהן הדיוט)</w:t>
      </w:r>
      <w:r>
        <w:rPr>
          <w:rStyle w:val="a7"/>
          <w:sz w:val="24"/>
          <w:szCs w:val="24"/>
          <w:rtl/>
        </w:rPr>
        <w:footnoteReference w:id="39"/>
      </w:r>
      <w:r>
        <w:rPr>
          <w:rFonts w:hint="cs"/>
          <w:sz w:val="24"/>
          <w:szCs w:val="24"/>
          <w:rtl/>
        </w:rPr>
        <w:t>. משיטתו עולה כי בגדי לבן הם מיוחדים לעבודת יום הכיפורים, בה נכנס הכהן הגדול לפני ולפנים, ובשריפת הפרה התחדש דין שונה, שעבודה זו צריכה להיעשות בבגדי כהן הדיוט</w:t>
      </w:r>
      <w:r>
        <w:rPr>
          <w:rStyle w:val="a7"/>
          <w:sz w:val="24"/>
          <w:szCs w:val="24"/>
          <w:rtl/>
        </w:rPr>
        <w:footnoteReference w:id="40"/>
      </w:r>
      <w:r>
        <w:rPr>
          <w:rFonts w:hint="cs"/>
          <w:sz w:val="24"/>
          <w:szCs w:val="24"/>
          <w:rtl/>
        </w:rPr>
        <w:t>.</w:t>
      </w:r>
    </w:p>
    <w:p w:rsidR="009337C2" w:rsidRPr="003F5C90" w:rsidRDefault="009337C2" w:rsidP="009337C2">
      <w:pPr>
        <w:spacing w:before="160" w:after="0" w:line="276" w:lineRule="exact"/>
        <w:ind w:firstLine="266"/>
        <w:rPr>
          <w:sz w:val="24"/>
          <w:szCs w:val="24"/>
          <w:rtl/>
        </w:rPr>
      </w:pPr>
    </w:p>
    <w:p w:rsidR="009337C2" w:rsidRDefault="009337C2" w:rsidP="00675F1C">
      <w:pPr>
        <w:spacing w:after="0" w:line="276" w:lineRule="exact"/>
        <w:ind w:firstLine="266"/>
        <w:rPr>
          <w:sz w:val="24"/>
          <w:szCs w:val="24"/>
          <w:rtl/>
        </w:rPr>
      </w:pPr>
      <w:r>
        <w:rPr>
          <w:rFonts w:hint="cs"/>
          <w:sz w:val="24"/>
          <w:szCs w:val="24"/>
          <w:rtl/>
        </w:rPr>
        <w:t xml:space="preserve">בשולי הדברים נעיר כי יש אחרונים הטוענים ששתי ההבנות דלעיל, שיש איסור לבישת בגדי זהב ושיש חובה ללבוש בגדי לבן, קיימות זו לצד זו. מקור לכך בדברי רש"י הכותב בביאור דברי הגמרא </w:t>
      </w:r>
      <w:r>
        <w:rPr>
          <w:rFonts w:hint="cs"/>
          <w:sz w:val="20"/>
          <w:szCs w:val="20"/>
          <w:rtl/>
        </w:rPr>
        <w:t>[פסחים עז.]</w:t>
      </w:r>
      <w:r>
        <w:rPr>
          <w:rFonts w:hint="cs"/>
          <w:sz w:val="24"/>
          <w:szCs w:val="24"/>
          <w:rtl/>
        </w:rPr>
        <w:t xml:space="preserve"> שביום הכיפורים הציץ מרצה על קרבן שקרב בטומאה על אף שאינו מונח על מצחו של הכהן הגדול:</w:t>
      </w:r>
    </w:p>
    <w:p w:rsidR="009337C2" w:rsidRPr="00C30F7A" w:rsidRDefault="009337C2" w:rsidP="009337C2">
      <w:pPr>
        <w:spacing w:before="160" w:after="0" w:line="276" w:lineRule="exact"/>
        <w:ind w:left="720"/>
        <w:rPr>
          <w:sz w:val="20"/>
          <w:szCs w:val="20"/>
          <w:rtl/>
        </w:rPr>
      </w:pPr>
      <w:r>
        <w:rPr>
          <w:sz w:val="24"/>
          <w:szCs w:val="24"/>
          <w:rtl/>
        </w:rPr>
        <w:t>שאינו על מצחו –</w:t>
      </w:r>
      <w:r>
        <w:rPr>
          <w:rFonts w:hint="cs"/>
          <w:sz w:val="24"/>
          <w:szCs w:val="24"/>
          <w:rtl/>
        </w:rPr>
        <w:t xml:space="preserve"> </w:t>
      </w:r>
      <w:r w:rsidRPr="00C30F7A">
        <w:rPr>
          <w:sz w:val="24"/>
          <w:szCs w:val="24"/>
          <w:rtl/>
        </w:rPr>
        <w:t>דהא א</w:t>
      </w:r>
      <w:r>
        <w:rPr>
          <w:sz w:val="24"/>
          <w:szCs w:val="24"/>
          <w:rtl/>
        </w:rPr>
        <w:t>ין נכנס שם בבגדי זהב, כדאמרינן בראש השנ</w:t>
      </w:r>
      <w:r>
        <w:rPr>
          <w:rFonts w:hint="cs"/>
          <w:sz w:val="24"/>
          <w:szCs w:val="24"/>
          <w:rtl/>
        </w:rPr>
        <w:t xml:space="preserve">ה </w:t>
      </w:r>
      <w:r w:rsidRPr="00C30F7A">
        <w:rPr>
          <w:sz w:val="24"/>
          <w:szCs w:val="24"/>
          <w:rtl/>
        </w:rPr>
        <w:t>דאין קטיגור נעשה סניגור.</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[רש"י פסחים עז. ד"ה שאינו]</w:t>
      </w:r>
    </w:p>
    <w:p w:rsidR="009337C2" w:rsidRDefault="009337C2" w:rsidP="009337C2">
      <w:pPr>
        <w:spacing w:before="160" w:after="0" w:line="276" w:lineRule="exact"/>
        <w:ind w:firstLine="266"/>
        <w:rPr>
          <w:sz w:val="24"/>
          <w:szCs w:val="24"/>
          <w:rtl/>
        </w:rPr>
      </w:pPr>
      <w:r>
        <w:rPr>
          <w:rFonts w:hint="cs"/>
          <w:sz w:val="24"/>
          <w:szCs w:val="24"/>
          <w:rtl/>
        </w:rPr>
        <w:t>רבי עקיבא איגר תמה מדוע רש"י הוזקק לבאר את טעם הדין שכהן גדול אינו עובד ביום הכיפורים עם הציץ:</w:t>
      </w:r>
    </w:p>
    <w:p w:rsidR="009337C2" w:rsidRPr="00C30F7A" w:rsidRDefault="009337C2" w:rsidP="009337C2">
      <w:pPr>
        <w:spacing w:before="160" w:after="0" w:line="276" w:lineRule="exact"/>
        <w:ind w:left="720"/>
        <w:rPr>
          <w:sz w:val="20"/>
          <w:szCs w:val="20"/>
          <w:rtl/>
        </w:rPr>
      </w:pPr>
      <w:r w:rsidRPr="00C30F7A">
        <w:rPr>
          <w:sz w:val="24"/>
          <w:szCs w:val="24"/>
          <w:rtl/>
        </w:rPr>
        <w:t>תמוה לי</w:t>
      </w:r>
      <w:r>
        <w:rPr>
          <w:rFonts w:hint="cs"/>
          <w:sz w:val="24"/>
          <w:szCs w:val="24"/>
          <w:rtl/>
        </w:rPr>
        <w:t>,</w:t>
      </w:r>
      <w:r w:rsidRPr="00C30F7A">
        <w:rPr>
          <w:sz w:val="24"/>
          <w:szCs w:val="24"/>
          <w:rtl/>
        </w:rPr>
        <w:t xml:space="preserve"> וכי צריך ראיה לזה</w:t>
      </w:r>
      <w:r>
        <w:rPr>
          <w:rFonts w:hint="cs"/>
          <w:sz w:val="24"/>
          <w:szCs w:val="24"/>
          <w:rtl/>
        </w:rPr>
        <w:t>,</w:t>
      </w:r>
      <w:r w:rsidRPr="00C30F7A">
        <w:rPr>
          <w:sz w:val="24"/>
          <w:szCs w:val="24"/>
          <w:rtl/>
        </w:rPr>
        <w:t xml:space="preserve"> הלא מפורש בכתוב דלפני ולפנים עובד רק בד' בגדי</w:t>
      </w:r>
      <w:r>
        <w:rPr>
          <w:rFonts w:hint="cs"/>
          <w:sz w:val="24"/>
          <w:szCs w:val="24"/>
          <w:rtl/>
        </w:rPr>
        <w:t>ם,</w:t>
      </w:r>
      <w:r>
        <w:rPr>
          <w:sz w:val="24"/>
          <w:szCs w:val="24"/>
          <w:rtl/>
        </w:rPr>
        <w:t xml:space="preserve"> אלא דבר</w:t>
      </w:r>
      <w:r>
        <w:rPr>
          <w:rFonts w:hint="cs"/>
          <w:sz w:val="24"/>
          <w:szCs w:val="24"/>
          <w:rtl/>
        </w:rPr>
        <w:t>אש השנה</w:t>
      </w:r>
      <w:r w:rsidRPr="00C30F7A">
        <w:rPr>
          <w:sz w:val="24"/>
          <w:szCs w:val="24"/>
          <w:rtl/>
        </w:rPr>
        <w:t xml:space="preserve"> אמרינן טעמא לקרא.</w:t>
      </w:r>
      <w:r>
        <w:rPr>
          <w:sz w:val="20"/>
          <w:szCs w:val="20"/>
          <w:rtl/>
        </w:rPr>
        <w:tab/>
      </w:r>
      <w:r>
        <w:rPr>
          <w:sz w:val="20"/>
          <w:szCs w:val="20"/>
          <w:rtl/>
        </w:rPr>
        <w:tab/>
      </w:r>
      <w:r>
        <w:rPr>
          <w:sz w:val="20"/>
          <w:szCs w:val="20"/>
          <w:rtl/>
        </w:rPr>
        <w:tab/>
      </w:r>
      <w:r>
        <w:rPr>
          <w:sz w:val="20"/>
          <w:szCs w:val="20"/>
          <w:rtl/>
        </w:rPr>
        <w:tab/>
      </w:r>
      <w:r>
        <w:rPr>
          <w:rFonts w:hint="cs"/>
          <w:sz w:val="20"/>
          <w:szCs w:val="20"/>
          <w:rtl/>
        </w:rPr>
        <w:t xml:space="preserve">           [גליון הש"ס, שם]</w:t>
      </w:r>
    </w:p>
    <w:p w:rsidR="009337C2" w:rsidRDefault="009337C2" w:rsidP="009337C2">
      <w:pPr>
        <w:spacing w:before="160" w:after="0" w:line="276" w:lineRule="exact"/>
        <w:ind w:firstLine="266"/>
        <w:rPr>
          <w:sz w:val="24"/>
          <w:szCs w:val="24"/>
          <w:rtl/>
        </w:rPr>
      </w:pPr>
      <w:r>
        <w:rPr>
          <w:rFonts w:hint="cs"/>
          <w:sz w:val="24"/>
          <w:szCs w:val="24"/>
          <w:rtl/>
        </w:rPr>
        <w:t xml:space="preserve">בספר 'מנחת מרדכי' </w:t>
      </w:r>
      <w:r>
        <w:rPr>
          <w:rFonts w:hint="cs"/>
          <w:sz w:val="20"/>
          <w:szCs w:val="20"/>
          <w:rtl/>
        </w:rPr>
        <w:t>[על מקדש דוד קדשים סי' לו הערה ד]</w:t>
      </w:r>
      <w:r>
        <w:rPr>
          <w:rFonts w:hint="cs"/>
          <w:sz w:val="24"/>
          <w:szCs w:val="24"/>
          <w:rtl/>
        </w:rPr>
        <w:t xml:space="preserve"> מיישב, כי אמנם מפורש בכתובים שהכהן הגדול עובד בארבעה בגדים, אך הואיל וציץ אינו בגד אלא תכשיט אין בו 'יתור בגדים', ולכן כהן גדול שעבד עם ציץ עבודתו כשרה</w:t>
      </w:r>
      <w:r>
        <w:rPr>
          <w:rStyle w:val="a7"/>
          <w:sz w:val="24"/>
          <w:szCs w:val="24"/>
          <w:rtl/>
        </w:rPr>
        <w:footnoteReference w:id="41"/>
      </w:r>
      <w:r>
        <w:rPr>
          <w:rFonts w:hint="cs"/>
          <w:sz w:val="24"/>
          <w:szCs w:val="24"/>
          <w:rtl/>
        </w:rPr>
        <w:t xml:space="preserve">. בשל כך נזקק רש"י לטעם ש"אין קטיגור נעשה סניגור" כדי לבאר מדוע אסור לכהן הגדול ללבוש את הציץ בשעת עבודתו. </w:t>
      </w:r>
    </w:p>
    <w:p w:rsidR="009337C2" w:rsidRPr="0005707B" w:rsidRDefault="009337C2" w:rsidP="009337C2">
      <w:pPr>
        <w:spacing w:before="160" w:after="0" w:line="276" w:lineRule="exact"/>
        <w:ind w:firstLine="266"/>
        <w:rPr>
          <w:sz w:val="24"/>
          <w:szCs w:val="24"/>
        </w:rPr>
      </w:pPr>
      <w:r>
        <w:rPr>
          <w:rFonts w:hint="cs"/>
          <w:sz w:val="24"/>
          <w:szCs w:val="24"/>
          <w:rtl/>
        </w:rPr>
        <w:t xml:space="preserve">על פי דברים אלו, קיימים שני דינים: קיימת הלכה שעל הכהן הגדול ללבוש בגדי לבן בשעת עבודת היום, ולצידה קיימת הלכה נוספת האוסרת עליו ללבוש בגדי זהב באותה שעה </w:t>
      </w:r>
      <w:r>
        <w:rPr>
          <w:sz w:val="24"/>
          <w:szCs w:val="24"/>
          <w:rtl/>
        </w:rPr>
        <w:t>–</w:t>
      </w:r>
      <w:r>
        <w:rPr>
          <w:rFonts w:hint="cs"/>
          <w:sz w:val="24"/>
          <w:szCs w:val="24"/>
          <w:rtl/>
        </w:rPr>
        <w:t xml:space="preserve"> הואיל ו"אין קטיגור נעשה סניגור". </w:t>
      </w:r>
    </w:p>
    <w:p w:rsidR="00675F1C" w:rsidRDefault="009337C2" w:rsidP="00675F1C">
      <w:pPr>
        <w:spacing w:after="0" w:line="276" w:lineRule="exact"/>
        <w:ind w:firstLine="266"/>
        <w:jc w:val="right"/>
        <w:rPr>
          <w:rtl/>
        </w:rPr>
      </w:pPr>
      <w:r w:rsidRPr="003D1557">
        <w:rPr>
          <w:rFonts w:hint="cs"/>
          <w:u w:val="single"/>
          <w:rtl/>
        </w:rPr>
        <w:t>להערות ולתגובות</w:t>
      </w:r>
      <w:r w:rsidRPr="003D1557">
        <w:rPr>
          <w:rFonts w:hint="cs"/>
          <w:rtl/>
        </w:rPr>
        <w:t>: שלמה ליפשיץ</w:t>
      </w:r>
    </w:p>
    <w:p w:rsidR="009337C2" w:rsidRDefault="009337C2" w:rsidP="00675F1C">
      <w:pPr>
        <w:spacing w:after="0" w:line="276" w:lineRule="exact"/>
        <w:ind w:firstLine="266"/>
        <w:jc w:val="right"/>
        <w:rPr>
          <w:rStyle w:val="Hyperlink"/>
        </w:rPr>
      </w:pPr>
      <w:hyperlink r:id="rId13" w:history="1">
        <w:r w:rsidRPr="003D1557">
          <w:rPr>
            <w:rStyle w:val="Hyperlink"/>
          </w:rPr>
          <w:t>lshlomo26@gmail.com</w:t>
        </w:r>
      </w:hyperlink>
    </w:p>
    <w:p w:rsidR="009337C2" w:rsidRPr="00005D2E" w:rsidRDefault="009337C2" w:rsidP="009337C2">
      <w:pPr>
        <w:keepNext/>
        <w:keepLines/>
        <w:spacing w:before="240" w:after="0" w:line="276" w:lineRule="exact"/>
        <w:jc w:val="center"/>
        <w:outlineLvl w:val="0"/>
        <w:rPr>
          <w:rFonts w:asciiTheme="majorHAnsi" w:eastAsiaTheme="majorEastAsia" w:hAnsiTheme="majorHAnsi"/>
          <w:bCs/>
          <w:sz w:val="36"/>
          <w:szCs w:val="36"/>
          <w:rtl/>
        </w:rPr>
      </w:pPr>
      <w:bookmarkStart w:id="43" w:name="_Toc76718408"/>
      <w:bookmarkStart w:id="44" w:name="_Toc76718813"/>
      <w:bookmarkStart w:id="45" w:name="_Toc76719153"/>
      <w:r w:rsidRPr="00005D2E">
        <w:rPr>
          <w:rFonts w:asciiTheme="majorHAnsi" w:eastAsiaTheme="majorEastAsia" w:hAnsiTheme="majorHAnsi" w:hint="cs"/>
          <w:bCs/>
          <w:sz w:val="40"/>
          <w:szCs w:val="40"/>
          <w:rtl/>
        </w:rPr>
        <w:lastRenderedPageBreak/>
        <w:t>יסודות יומא</w:t>
      </w:r>
      <w:bookmarkEnd w:id="43"/>
      <w:bookmarkEnd w:id="44"/>
      <w:bookmarkEnd w:id="45"/>
    </w:p>
    <w:p w:rsidR="009337C2" w:rsidRPr="00005D2E" w:rsidRDefault="009337C2" w:rsidP="009337C2">
      <w:pPr>
        <w:keepNext/>
        <w:keepLines/>
        <w:spacing w:before="240" w:after="0" w:line="276" w:lineRule="exact"/>
        <w:jc w:val="center"/>
        <w:outlineLvl w:val="0"/>
        <w:rPr>
          <w:rFonts w:asciiTheme="majorHAnsi" w:eastAsiaTheme="majorEastAsia" w:hAnsiTheme="majorHAnsi"/>
          <w:b/>
          <w:sz w:val="32"/>
          <w:szCs w:val="32"/>
          <w:rtl/>
        </w:rPr>
      </w:pPr>
      <w:bookmarkStart w:id="46" w:name="_Toc76719154"/>
      <w:r w:rsidRPr="00005D2E">
        <w:rPr>
          <w:rFonts w:asciiTheme="majorHAnsi" w:eastAsiaTheme="majorEastAsia" w:hAnsiTheme="majorHAnsi" w:hint="cs"/>
          <w:b/>
          <w:sz w:val="32"/>
          <w:szCs w:val="32"/>
          <w:rtl/>
        </w:rPr>
        <w:t>שיעור שביעי</w:t>
      </w:r>
      <w:bookmarkEnd w:id="46"/>
    </w:p>
    <w:p w:rsidR="009337C2" w:rsidRPr="00005D2E" w:rsidRDefault="009337C2" w:rsidP="009337C2">
      <w:pPr>
        <w:keepNext/>
        <w:keepLines/>
        <w:spacing w:before="240" w:after="0" w:line="276" w:lineRule="exact"/>
        <w:jc w:val="center"/>
        <w:outlineLvl w:val="0"/>
        <w:rPr>
          <w:rFonts w:asciiTheme="majorHAnsi" w:eastAsiaTheme="majorEastAsia" w:hAnsiTheme="majorHAnsi"/>
          <w:bCs/>
          <w:sz w:val="32"/>
          <w:szCs w:val="32"/>
          <w:rtl/>
        </w:rPr>
      </w:pPr>
      <w:bookmarkStart w:id="47" w:name="_Toc76718410"/>
      <w:bookmarkStart w:id="48" w:name="_Toc76718815"/>
      <w:bookmarkStart w:id="49" w:name="_Toc76719155"/>
      <w:r>
        <w:rPr>
          <w:rFonts w:asciiTheme="majorHAnsi" w:eastAsiaTheme="majorEastAsia" w:hAnsiTheme="majorHAnsi" w:hint="cs"/>
          <w:bCs/>
          <w:sz w:val="36"/>
          <w:szCs w:val="36"/>
          <w:rtl/>
        </w:rPr>
        <w:t>חמש</w:t>
      </w:r>
      <w:r w:rsidRPr="00005D2E">
        <w:rPr>
          <w:rFonts w:asciiTheme="majorHAnsi" w:eastAsiaTheme="majorEastAsia" w:hAnsiTheme="majorHAnsi" w:hint="cs"/>
          <w:bCs/>
          <w:sz w:val="36"/>
          <w:szCs w:val="36"/>
          <w:rtl/>
        </w:rPr>
        <w:t xml:space="preserve"> טבילות</w:t>
      </w:r>
      <w:bookmarkEnd w:id="47"/>
      <w:bookmarkEnd w:id="48"/>
      <w:bookmarkEnd w:id="49"/>
    </w:p>
    <w:p w:rsidR="009337C2" w:rsidRPr="00005D2E" w:rsidRDefault="009337C2" w:rsidP="009337C2">
      <w:pPr>
        <w:spacing w:line="276" w:lineRule="exact"/>
        <w:rPr>
          <w:highlight w:val="green"/>
          <w:rtl/>
        </w:rPr>
      </w:pPr>
      <w:r w:rsidRPr="00005D2E">
        <w:rPr>
          <w:noProof/>
          <w:highlight w:val="green"/>
          <w:rtl/>
        </w:rPr>
        <mc:AlternateContent>
          <mc:Choice Requires="wps">
            <w:drawing>
              <wp:anchor distT="0" distB="0" distL="114300" distR="114300" simplePos="0" relativeHeight="251679744" behindDoc="1" locked="0" layoutInCell="1" allowOverlap="1" wp14:anchorId="5722877D" wp14:editId="62B4B920">
                <wp:simplePos x="0" y="0"/>
                <wp:positionH relativeFrom="margin">
                  <wp:align>center</wp:align>
                </wp:positionH>
                <wp:positionV relativeFrom="paragraph">
                  <wp:posOffset>213360</wp:posOffset>
                </wp:positionV>
                <wp:extent cx="5765800" cy="3893820"/>
                <wp:effectExtent l="0" t="0" r="25400" b="11430"/>
                <wp:wrapNone/>
                <wp:docPr id="13" name="מלבן 13"/>
                <wp:cNvGraphicFramePr/>
                <a:graphic xmlns:a="http://schemas.openxmlformats.org/drawingml/2006/main">
                  <a:graphicData uri="http://schemas.microsoft.com/office/word/2010/wordprocessingShape">
                    <wps:wsp>
                      <wps:cNvSpPr/>
                      <wps:spPr>
                        <a:xfrm>
                          <a:off x="0" y="0"/>
                          <a:ext cx="5765800" cy="389382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70266" id="מלבן 13" o:spid="_x0000_s1026" style="position:absolute;left:0;text-align:left;margin-left:0;margin-top:16.8pt;width:454pt;height:306.6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EkiQIAAAMFAAAOAAAAZHJzL2Uyb0RvYy54bWysVMtuGjEU3VfqP1jeNwMEEjLKECEiqkpR&#10;gpRUWRuPB0byq7ZhoH/RfdV+Fr/TY8+EPJpVVRbG9+H7OPfcubzaKUm2wvna6IL2T3qUCM1NWetV&#10;Qb8+zD+NKfGB6ZJJo0VB98LTq8nHD5eNzcXArI0shSMIon3e2IKuQ7B5lnm+For5E2OFhrEyTrEA&#10;0a2y0rEG0ZXMBr3eWdYYV1pnuPAe2uvWSCcpflUJHu6qyotAZEFRW0inS+cyntnkkuUrx+y65l0Z&#10;7B+qUKzWSHoMdc0CIxtX/xVK1dwZb6pwwo3KTFXVXKQe0E2/96ab+zWzIvUCcLw9wuT/X1h+u104&#10;UpeY3SklminM6PDr8PPw4/CbQAV8GutzuN3bheskj2tsdlc5Ff/RBtklTPdHTMUuEA7l6PxsNO4B&#10;eg7b6fjidDxIqGfPz63z4bMwisRLQR2GlrBk2xsfkBKuTy4xmzeyLue1lEnY+5l0ZMswX9CiNA0l&#10;kvkAZUHn6Rd7QIhXz6QmDVq+6I1iZQzEqyQLuCoLKLxeUcLkCozmwaVaXr32brU8Zh0Ozwez4XtJ&#10;YtHXzK/b6lKE6MZyVQeQXtaqoIAGv+611NEqEm271iP4LdzxtjTlHuNypuWxt3xeI8kNGl4wB+Ki&#10;GyxjuMNRSYMWTXejZG3c9/f00R98gpWSBouA9r9tmBPA8YsG0y76w2HcnCQMR+cYH3EvLcuXFr1R&#10;M4NZ9LH2lqdr9A/ySVs5ox6xs9OYFSamOXK3QHfCLLQLiq3nYjpNbtgWy8KNvrc8Bo84RXgfdo/M&#10;2Y44AZy7NU9Lw/I3/Gl940ttpptgqjqR6xlX0CQK2LREmO6rEFf5pZy8nr9dkz8AAAD//wMAUEsD&#10;BBQABgAIAAAAIQBqrvRn3QAAAAcBAAAPAAAAZHJzL2Rvd25yZXYueG1sTI/BTsMwEETvSPyDtUjc&#10;qF2KrBCyqSgSAg5UtFQ9u7FxIux1iN0m/D3mBMedGc28rZaTd+xkhtgFQpjPBDBDTdAdWYTd++NV&#10;ASwmRVq5QAbh20RY1udnlSp1GGljTttkWS6hWCqENqW+5Dw2rfEqzkJvKHsfYfAq5XOwXA9qzOXe&#10;8WshJPeqo7zQqt48tKb53B49wsvKfu2f7XwjvXsbV/Qk1q9BIF5eTPd3wJKZ0l8YfvEzOtSZ6RCO&#10;pCNzCPmRhLBYSGDZvRVFFg4I8kYWwOuK/+evfwAAAP//AwBQSwECLQAUAAYACAAAACEAtoM4kv4A&#10;AADhAQAAEwAAAAAAAAAAAAAAAAAAAAAAW0NvbnRlbnRfVHlwZXNdLnhtbFBLAQItABQABgAIAAAA&#10;IQA4/SH/1gAAAJQBAAALAAAAAAAAAAAAAAAAAC8BAABfcmVscy8ucmVsc1BLAQItABQABgAIAAAA&#10;IQD6j6EkiQIAAAMFAAAOAAAAAAAAAAAAAAAAAC4CAABkcnMvZTJvRG9jLnhtbFBLAQItABQABgAI&#10;AAAAIQBqrvRn3QAAAAcBAAAPAAAAAAAAAAAAAAAAAOMEAABkcnMvZG93bnJldi54bWxQSwUGAAAA&#10;AAQABADzAAAA7QUAAAAA&#10;" fillcolor="window" strokecolor="#4472c4" strokeweight="1.5pt">
                <w10:wrap anchorx="margin"/>
              </v:rect>
            </w:pict>
          </mc:Fallback>
        </mc:AlternateContent>
      </w:r>
    </w:p>
    <w:p w:rsidR="009337C2" w:rsidRPr="00005D2E" w:rsidRDefault="009337C2" w:rsidP="009337C2">
      <w:pPr>
        <w:spacing w:line="276" w:lineRule="exact"/>
        <w:jc w:val="center"/>
        <w:rPr>
          <w:b/>
          <w:bCs/>
          <w:sz w:val="24"/>
          <w:szCs w:val="24"/>
          <w:rtl/>
        </w:rPr>
      </w:pPr>
      <w:r w:rsidRPr="00005D2E">
        <w:rPr>
          <w:rFonts w:hint="cs"/>
          <w:b/>
          <w:bCs/>
          <w:sz w:val="24"/>
          <w:szCs w:val="24"/>
          <w:rtl/>
        </w:rPr>
        <w:t>מקורות</w:t>
      </w:r>
    </w:p>
    <w:p w:rsidR="009337C2" w:rsidRDefault="009337C2" w:rsidP="009337C2">
      <w:pPr>
        <w:spacing w:line="276" w:lineRule="exact"/>
        <w:rPr>
          <w:sz w:val="24"/>
          <w:szCs w:val="24"/>
          <w:rtl/>
        </w:rPr>
      </w:pPr>
      <w:r w:rsidRPr="006B07E9">
        <w:rPr>
          <w:rFonts w:hint="cs"/>
          <w:sz w:val="24"/>
          <w:szCs w:val="24"/>
          <w:rtl/>
        </w:rPr>
        <w:t xml:space="preserve">א. </w:t>
      </w:r>
      <w:r>
        <w:rPr>
          <w:rFonts w:hint="cs"/>
          <w:sz w:val="24"/>
          <w:szCs w:val="24"/>
          <w:rtl/>
        </w:rPr>
        <w:t>ויקרא פרק טז פס' ג-ד; שם, פס' כג-כד</w:t>
      </w:r>
    </w:p>
    <w:p w:rsidR="009337C2" w:rsidRPr="006B07E9" w:rsidRDefault="009337C2" w:rsidP="009337C2">
      <w:pPr>
        <w:spacing w:line="276" w:lineRule="exact"/>
        <w:rPr>
          <w:rFonts w:ascii="Narkisim" w:hAnsi="Narkisim"/>
          <w:sz w:val="24"/>
          <w:szCs w:val="24"/>
          <w:rtl/>
        </w:rPr>
      </w:pPr>
      <w:r>
        <w:rPr>
          <w:rFonts w:hint="cs"/>
          <w:sz w:val="24"/>
          <w:szCs w:val="24"/>
          <w:rtl/>
        </w:rPr>
        <w:t xml:space="preserve">ב. גמ' ל. </w:t>
      </w:r>
      <w:r w:rsidRPr="006B07E9">
        <w:rPr>
          <w:rFonts w:ascii="Narkisim" w:hAnsi="Narkisim"/>
          <w:sz w:val="24"/>
          <w:szCs w:val="24"/>
          <w:rtl/>
        </w:rPr>
        <w:t>"מתני'... בידו ויפרוש"; רש"י ד"ה חוץ מזו</w:t>
      </w:r>
    </w:p>
    <w:p w:rsidR="009337C2" w:rsidRDefault="009337C2" w:rsidP="009337C2">
      <w:pPr>
        <w:spacing w:line="276" w:lineRule="exact"/>
        <w:rPr>
          <w:rFonts w:ascii="Narkisim" w:hAnsi="Narkisim"/>
          <w:sz w:val="24"/>
          <w:szCs w:val="24"/>
          <w:rtl/>
        </w:rPr>
      </w:pPr>
      <w:r w:rsidRPr="006B07E9">
        <w:rPr>
          <w:rFonts w:ascii="Narkisim" w:hAnsi="Narkisim"/>
          <w:sz w:val="24"/>
          <w:szCs w:val="24"/>
          <w:rtl/>
        </w:rPr>
        <w:t xml:space="preserve">ג. גמ' לב. </w:t>
      </w:r>
      <w:r>
        <w:rPr>
          <w:rFonts w:ascii="Narkisim" w:hAnsi="Narkisim" w:hint="cs"/>
          <w:sz w:val="24"/>
          <w:szCs w:val="24"/>
          <w:rtl/>
        </w:rPr>
        <w:t>"ת"ר ובא... ופשט ורחץ ורחץ ולבש"; תוס' ד"ה גמירי; תוס' ישנים ד"ה גמירי</w:t>
      </w:r>
    </w:p>
    <w:p w:rsidR="009337C2" w:rsidRDefault="009337C2" w:rsidP="009337C2">
      <w:pPr>
        <w:spacing w:line="276" w:lineRule="exact"/>
        <w:rPr>
          <w:rFonts w:ascii="Narkisim" w:hAnsi="Narkisim"/>
          <w:sz w:val="24"/>
          <w:szCs w:val="24"/>
          <w:rtl/>
        </w:rPr>
      </w:pPr>
      <w:r>
        <w:rPr>
          <w:rFonts w:ascii="Narkisim" w:hAnsi="Narkisim" w:hint="cs"/>
          <w:sz w:val="24"/>
          <w:szCs w:val="24"/>
          <w:rtl/>
        </w:rPr>
        <w:t>ד. רש"י לב: ד"ה מה קידוש; תוס' ישנים לא. ד"ה חמש טבילות כו'</w:t>
      </w:r>
    </w:p>
    <w:p w:rsidR="009337C2" w:rsidRDefault="009337C2" w:rsidP="009337C2">
      <w:pPr>
        <w:spacing w:line="276" w:lineRule="exact"/>
        <w:rPr>
          <w:rFonts w:ascii="Narkisim" w:hAnsi="Narkisim"/>
          <w:sz w:val="24"/>
          <w:szCs w:val="24"/>
          <w:rtl/>
        </w:rPr>
      </w:pPr>
      <w:r>
        <w:rPr>
          <w:rFonts w:ascii="Narkisim" w:hAnsi="Narkisim" w:hint="cs"/>
          <w:sz w:val="24"/>
          <w:szCs w:val="24"/>
          <w:rtl/>
        </w:rPr>
        <w:t>ה. רמב"ם הל' עבודת יום הכיפורים פ"ב ה"ב-ג</w:t>
      </w:r>
    </w:p>
    <w:p w:rsidR="009337C2" w:rsidRPr="006B07E9" w:rsidRDefault="009337C2" w:rsidP="009337C2">
      <w:pPr>
        <w:spacing w:line="276" w:lineRule="exact"/>
        <w:rPr>
          <w:rFonts w:ascii="Narkisim" w:hAnsi="Narkisim"/>
          <w:sz w:val="24"/>
          <w:szCs w:val="24"/>
          <w:rtl/>
        </w:rPr>
      </w:pPr>
      <w:r>
        <w:rPr>
          <w:rFonts w:ascii="Narkisim" w:hAnsi="Narkisim" w:hint="cs"/>
          <w:sz w:val="24"/>
          <w:szCs w:val="24"/>
          <w:rtl/>
        </w:rPr>
        <w:t>[ו. חזון איש מועד סי' קכו ס"ק כב]</w:t>
      </w:r>
    </w:p>
    <w:p w:rsidR="009337C2" w:rsidRPr="003A45E2" w:rsidRDefault="009337C2" w:rsidP="009337C2">
      <w:pPr>
        <w:spacing w:line="276" w:lineRule="exact"/>
        <w:rPr>
          <w:rFonts w:ascii="FrankRuehl" w:hAnsi="FrankRuehl" w:cs="FrankRuehl"/>
          <w:sz w:val="24"/>
          <w:szCs w:val="24"/>
          <w:rtl/>
        </w:rPr>
      </w:pPr>
    </w:p>
    <w:p w:rsidR="009337C2" w:rsidRPr="003A45E2" w:rsidRDefault="009337C2" w:rsidP="009337C2">
      <w:pPr>
        <w:spacing w:line="276" w:lineRule="exact"/>
        <w:rPr>
          <w:rFonts w:ascii="FrankRuehl" w:hAnsi="FrankRuehl" w:cs="FrankRuehl"/>
          <w:b/>
          <w:bCs/>
          <w:sz w:val="24"/>
          <w:szCs w:val="24"/>
          <w:rtl/>
        </w:rPr>
      </w:pPr>
      <w:r w:rsidRPr="003A45E2">
        <w:rPr>
          <w:rFonts w:ascii="FrankRuehl" w:hAnsi="FrankRuehl" w:cs="FrankRuehl" w:hint="cs"/>
          <w:b/>
          <w:bCs/>
          <w:sz w:val="24"/>
          <w:szCs w:val="24"/>
          <w:rtl/>
        </w:rPr>
        <w:t>חזון איש מועד סי' קכו ס"ק כב</w:t>
      </w:r>
    </w:p>
    <w:p w:rsidR="009337C2" w:rsidRPr="003A45E2" w:rsidRDefault="009337C2" w:rsidP="009337C2">
      <w:pPr>
        <w:spacing w:line="276" w:lineRule="exact"/>
        <w:rPr>
          <w:rFonts w:ascii="FrankRuehl" w:hAnsi="FrankRuehl" w:cs="FrankRuehl"/>
          <w:sz w:val="24"/>
          <w:szCs w:val="24"/>
          <w:rtl/>
        </w:rPr>
      </w:pPr>
      <w:r w:rsidRPr="003A45E2">
        <w:rPr>
          <w:rFonts w:ascii="FrankRuehl" w:hAnsi="FrankRuehl" w:cs="FrankRuehl" w:hint="cs"/>
          <w:sz w:val="24"/>
          <w:szCs w:val="24"/>
          <w:rtl/>
        </w:rPr>
        <w:t>ל"ב ב' גמירי חמש טבילות ועשרה קידושין כו', נראה ד</w:t>
      </w:r>
      <w:r>
        <w:rPr>
          <w:rFonts w:ascii="FrankRuehl" w:hAnsi="FrankRuehl" w:cs="FrankRuehl" w:hint="cs"/>
          <w:sz w:val="24"/>
          <w:szCs w:val="24"/>
          <w:rtl/>
        </w:rPr>
        <w:t>א</w:t>
      </w:r>
      <w:r w:rsidRPr="003A45E2">
        <w:rPr>
          <w:rFonts w:ascii="FrankRuehl" w:hAnsi="FrankRuehl" w:cs="FrankRuehl" w:hint="cs"/>
          <w:sz w:val="24"/>
          <w:szCs w:val="24"/>
          <w:rtl/>
        </w:rPr>
        <w:t>ין מצוה מיוחדת בי' קדושין וה' טבילות, אלא כל המשנה מעבודה לעבודה טעון טבילה וב' קידושין כדיליף לקמיה, וממילא יצא ה' טבילות וי' קידושין. והא דהוצרכה הלכתא, כבר פירשו תוס' ד"ה גמירי, דמניה ידעינן דקראי לא על הסדר נאמר, והלכתא סימנא בעלמא היא ללמדנו דה' פעמים משנה מעבודה לעבודה. ואם אירע פסול בכהן גדול אחר התמיד, דאמר לעיל י"ב ב' דעבודתו מחנכתו לדרבנן דמקדש ופושט, חסר ליה חד קידוש אי נפסל הראשון קודם שקידש, ולא מצריכנן ליה לפשוט אחר וידוי פר ולחזור וללבוש כדי להשלים י' קידושין, שאין מצוה בי' קידושין.</w:t>
      </w:r>
    </w:p>
    <w:p w:rsidR="009337C2" w:rsidRPr="00005D2E" w:rsidRDefault="009337C2" w:rsidP="009337C2">
      <w:pPr>
        <w:spacing w:line="276" w:lineRule="exact"/>
        <w:rPr>
          <w:rFonts w:ascii="FrankRuehl" w:hAnsi="FrankRuehl" w:cs="FrankRuehl"/>
          <w:sz w:val="24"/>
          <w:szCs w:val="24"/>
          <w:highlight w:val="green"/>
          <w:rtl/>
        </w:rPr>
      </w:pPr>
    </w:p>
    <w:p w:rsidR="009337C2" w:rsidRPr="00005D2E" w:rsidRDefault="009337C2" w:rsidP="009337C2">
      <w:pPr>
        <w:spacing w:line="276" w:lineRule="exact"/>
        <w:rPr>
          <w:rFonts w:ascii="FrankRuehl" w:hAnsi="FrankRuehl" w:cs="FrankRuehl"/>
          <w:sz w:val="24"/>
          <w:szCs w:val="24"/>
          <w:rtl/>
        </w:rPr>
      </w:pPr>
    </w:p>
    <w:p w:rsidR="009337C2" w:rsidRDefault="009337C2" w:rsidP="009337C2">
      <w:pPr>
        <w:spacing w:before="200" w:line="276" w:lineRule="exact"/>
        <w:ind w:firstLine="227"/>
        <w:rPr>
          <w:sz w:val="24"/>
          <w:szCs w:val="24"/>
          <w:rtl/>
        </w:rPr>
      </w:pPr>
      <w:r>
        <w:rPr>
          <w:rFonts w:hint="cs"/>
          <w:sz w:val="24"/>
          <w:szCs w:val="24"/>
          <w:rtl/>
        </w:rPr>
        <w:t>בתחילת פרשיית סדר עבודת יום הכיפורים נאמר:</w:t>
      </w:r>
    </w:p>
    <w:p w:rsidR="009337C2" w:rsidRDefault="009337C2" w:rsidP="009337C2">
      <w:pPr>
        <w:spacing w:before="200" w:line="276" w:lineRule="exact"/>
        <w:ind w:left="720"/>
        <w:rPr>
          <w:sz w:val="24"/>
          <w:szCs w:val="24"/>
          <w:rtl/>
        </w:rPr>
      </w:pPr>
      <w:r w:rsidRPr="00005D2E">
        <w:rPr>
          <w:sz w:val="24"/>
          <w:szCs w:val="24"/>
          <w:rtl/>
        </w:rPr>
        <w:t xml:space="preserve">בזאת יבא אהרן אל </w:t>
      </w:r>
      <w:r>
        <w:rPr>
          <w:sz w:val="24"/>
          <w:szCs w:val="24"/>
          <w:rtl/>
        </w:rPr>
        <w:t>הקדש</w:t>
      </w:r>
      <w:r>
        <w:rPr>
          <w:rFonts w:hint="cs"/>
          <w:sz w:val="24"/>
          <w:szCs w:val="24"/>
          <w:rtl/>
        </w:rPr>
        <w:t>,</w:t>
      </w:r>
      <w:r>
        <w:rPr>
          <w:sz w:val="24"/>
          <w:szCs w:val="24"/>
          <w:rtl/>
        </w:rPr>
        <w:t xml:space="preserve"> בפר בן בקר לחטאת ואיל לעלה</w:t>
      </w:r>
      <w:r>
        <w:rPr>
          <w:rFonts w:hint="cs"/>
          <w:sz w:val="24"/>
          <w:szCs w:val="24"/>
          <w:rtl/>
        </w:rPr>
        <w:t>.</w:t>
      </w:r>
      <w:r w:rsidRPr="00005D2E">
        <w:rPr>
          <w:sz w:val="24"/>
          <w:szCs w:val="24"/>
          <w:rtl/>
        </w:rPr>
        <w:t xml:space="preserve"> כתנת בד קדש ילבש ומכנסי בד יהיו על בשרו ובאבנט בד יחגר ובמצנפת בד יצנף</w:t>
      </w:r>
      <w:r>
        <w:rPr>
          <w:rFonts w:hint="cs"/>
          <w:sz w:val="24"/>
          <w:szCs w:val="24"/>
          <w:rtl/>
        </w:rPr>
        <w:t>,</w:t>
      </w:r>
      <w:r w:rsidRPr="00005D2E">
        <w:rPr>
          <w:sz w:val="24"/>
          <w:szCs w:val="24"/>
          <w:rtl/>
        </w:rPr>
        <w:t xml:space="preserve"> בגדי קדש הם </w:t>
      </w:r>
      <w:r w:rsidRPr="00005D2E">
        <w:rPr>
          <w:b/>
          <w:bCs/>
          <w:sz w:val="24"/>
          <w:szCs w:val="24"/>
          <w:rtl/>
        </w:rPr>
        <w:t>ורחץ במים את בשרו ולבשם</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[ויקרא טז, ג-ד]</w:t>
      </w:r>
    </w:p>
    <w:p w:rsidR="009337C2" w:rsidRDefault="009337C2" w:rsidP="009337C2">
      <w:pPr>
        <w:spacing w:before="200" w:line="276" w:lineRule="exact"/>
        <w:ind w:firstLine="227"/>
        <w:rPr>
          <w:sz w:val="24"/>
          <w:szCs w:val="24"/>
          <w:rtl/>
        </w:rPr>
      </w:pPr>
      <w:r>
        <w:rPr>
          <w:rFonts w:hint="cs"/>
          <w:sz w:val="24"/>
          <w:szCs w:val="24"/>
          <w:rtl/>
        </w:rPr>
        <w:t>ובשלהי הפרשייה נאמר:</w:t>
      </w:r>
    </w:p>
    <w:p w:rsidR="009337C2" w:rsidRPr="00005D2E" w:rsidRDefault="009337C2" w:rsidP="009337C2">
      <w:pPr>
        <w:spacing w:before="200" w:line="276" w:lineRule="exact"/>
        <w:ind w:left="720"/>
        <w:rPr>
          <w:sz w:val="20"/>
          <w:szCs w:val="20"/>
          <w:rtl/>
        </w:rPr>
      </w:pPr>
      <w:r w:rsidRPr="00005D2E">
        <w:rPr>
          <w:sz w:val="24"/>
          <w:szCs w:val="24"/>
          <w:rtl/>
        </w:rPr>
        <w:t>ובא אהרן אל אהל מועד ופשט את בגדי הבד אשר לבש בבאו אל הקדש</w:t>
      </w:r>
      <w:r>
        <w:rPr>
          <w:rFonts w:hint="cs"/>
          <w:sz w:val="24"/>
          <w:szCs w:val="24"/>
          <w:rtl/>
        </w:rPr>
        <w:t>,</w:t>
      </w:r>
      <w:r>
        <w:rPr>
          <w:sz w:val="24"/>
          <w:szCs w:val="24"/>
          <w:rtl/>
        </w:rPr>
        <w:t xml:space="preserve"> והניחם שם</w:t>
      </w:r>
      <w:r>
        <w:rPr>
          <w:rFonts w:hint="cs"/>
          <w:sz w:val="24"/>
          <w:szCs w:val="24"/>
          <w:rtl/>
        </w:rPr>
        <w:t xml:space="preserve">. </w:t>
      </w:r>
      <w:r w:rsidRPr="00005D2E">
        <w:rPr>
          <w:b/>
          <w:bCs/>
          <w:sz w:val="24"/>
          <w:szCs w:val="24"/>
          <w:rtl/>
        </w:rPr>
        <w:t>ורחץ את בשרו במים במקום קדוש</w:t>
      </w:r>
      <w:r w:rsidRPr="00005D2E">
        <w:rPr>
          <w:sz w:val="24"/>
          <w:szCs w:val="24"/>
          <w:rtl/>
        </w:rPr>
        <w:t xml:space="preserve"> ולבש את בגדיו</w:t>
      </w:r>
      <w:r>
        <w:rPr>
          <w:rFonts w:hint="cs"/>
          <w:sz w:val="24"/>
          <w:szCs w:val="24"/>
          <w:rtl/>
        </w:rPr>
        <w:t>,</w:t>
      </w:r>
      <w:r w:rsidRPr="00005D2E">
        <w:rPr>
          <w:sz w:val="24"/>
          <w:szCs w:val="24"/>
          <w:rtl/>
        </w:rPr>
        <w:t xml:space="preserve"> ויצא ועשה את עלתו ואת עלת העם וכפר בעדו ובעד העם</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[שם, כג-כד]</w:t>
      </w:r>
    </w:p>
    <w:p w:rsidR="009337C2" w:rsidRDefault="009337C2" w:rsidP="009337C2">
      <w:pPr>
        <w:spacing w:before="200" w:line="276" w:lineRule="exact"/>
        <w:ind w:firstLine="227"/>
        <w:rPr>
          <w:sz w:val="24"/>
          <w:szCs w:val="24"/>
          <w:rtl/>
        </w:rPr>
      </w:pPr>
      <w:r>
        <w:rPr>
          <w:rFonts w:hint="cs"/>
          <w:sz w:val="24"/>
          <w:szCs w:val="24"/>
          <w:rtl/>
        </w:rPr>
        <w:t>מבואר אם כן, כי לפני לבישת בגדי לבן ולאחר פשיטתם צריך הכהן הגדול לטבול במים.</w:t>
      </w:r>
    </w:p>
    <w:p w:rsidR="009337C2" w:rsidRDefault="009337C2" w:rsidP="009337C2">
      <w:pPr>
        <w:spacing w:before="200" w:line="276" w:lineRule="exact"/>
        <w:ind w:firstLine="227"/>
        <w:rPr>
          <w:sz w:val="24"/>
          <w:szCs w:val="24"/>
          <w:rtl/>
        </w:rPr>
      </w:pPr>
      <w:r>
        <w:rPr>
          <w:rFonts w:hint="cs"/>
          <w:sz w:val="24"/>
          <w:szCs w:val="24"/>
          <w:rtl/>
        </w:rPr>
        <w:t>הרב מרדכי ברויאר כותב:</w:t>
      </w:r>
    </w:p>
    <w:p w:rsidR="009337C2" w:rsidRDefault="009337C2" w:rsidP="009337C2">
      <w:pPr>
        <w:spacing w:before="200" w:line="276" w:lineRule="exact"/>
        <w:ind w:left="720"/>
        <w:rPr>
          <w:sz w:val="24"/>
          <w:szCs w:val="24"/>
          <w:rtl/>
        </w:rPr>
      </w:pPr>
      <w:r>
        <w:rPr>
          <w:rFonts w:hint="cs"/>
          <w:sz w:val="24"/>
          <w:szCs w:val="24"/>
          <w:rtl/>
        </w:rPr>
        <w:t xml:space="preserve">ברור מלשון המקרא שטבילות אלו קשורות רק לבגדי הלבן, והן תלויות בקדושתם היתרה של הבגדים האלה. משום כך הוא חייב לטבול לפני לבישתם ואחרי פשיטתם. דבר זה ברור בטבילה הנזכרת כאן; שהרי התורה איננה דנה כלל בעבודה הרגילה של כל יום, אלא היא מתארת רק את סדר העבודה של יום הכיפורים. משום כך לא הזכירה כלל את בגדי הזהב שיעשה בהם את עבודת התמיד של שחר, אלא היא מתחילה את סדר העבודה בלבישת </w:t>
      </w:r>
      <w:r>
        <w:rPr>
          <w:rFonts w:hint="cs"/>
          <w:sz w:val="24"/>
          <w:szCs w:val="24"/>
          <w:rtl/>
        </w:rPr>
        <w:lastRenderedPageBreak/>
        <w:t xml:space="preserve">בגדי הלבן שהוא עושה בהם את עבודת יום הכיפורים. ונמצא שהטבילה הקודמת ללבישת הבגדים האלה איננה טבילה בין בגדי זהב לבגדי לבן, אלא זו טבילה הבאה לפני לבישת בגדי לבן בלבד. וכעין זה יש לומר גם בטבילה הנזכרת בפסוק כד... שגם טבילה זו איננה בין בגדי לבן לבין בגדי זהב, אלא זו טבילה הבאה אחרי פשיטת בגדי הלבן בלבד. </w:t>
      </w:r>
    </w:p>
    <w:p w:rsidR="009337C2" w:rsidRDefault="009337C2" w:rsidP="009337C2">
      <w:pPr>
        <w:spacing w:before="200" w:line="276" w:lineRule="exact"/>
        <w:ind w:left="720"/>
        <w:jc w:val="right"/>
        <w:rPr>
          <w:sz w:val="24"/>
          <w:szCs w:val="24"/>
          <w:rtl/>
        </w:rPr>
      </w:pPr>
      <w:r>
        <w:rPr>
          <w:rFonts w:hint="cs"/>
          <w:sz w:val="20"/>
          <w:szCs w:val="20"/>
          <w:rtl/>
        </w:rPr>
        <w:t>[פרקי מקראות עמ' 287 הערה 3]</w:t>
      </w:r>
    </w:p>
    <w:p w:rsidR="009337C2" w:rsidRDefault="009337C2" w:rsidP="009337C2">
      <w:pPr>
        <w:spacing w:before="200" w:line="276" w:lineRule="exact"/>
        <w:ind w:firstLine="227"/>
        <w:rPr>
          <w:sz w:val="24"/>
          <w:szCs w:val="24"/>
          <w:rtl/>
        </w:rPr>
      </w:pPr>
      <w:r>
        <w:rPr>
          <w:rFonts w:hint="cs"/>
          <w:sz w:val="24"/>
          <w:szCs w:val="24"/>
          <w:rtl/>
        </w:rPr>
        <w:t xml:space="preserve">בדבריו אלו מראה הרב מרדכי ברויאר, כי על פי פשטות הכתובים חובת הטבילה נובעת מחמת קדושתם היתרה של בגדי לבן </w:t>
      </w:r>
      <w:r>
        <w:rPr>
          <w:sz w:val="24"/>
          <w:szCs w:val="24"/>
          <w:rtl/>
        </w:rPr>
        <w:t>–</w:t>
      </w:r>
      <w:r>
        <w:rPr>
          <w:rFonts w:hint="cs"/>
          <w:sz w:val="24"/>
          <w:szCs w:val="24"/>
          <w:rtl/>
        </w:rPr>
        <w:t xml:space="preserve"> עליהם אומרת התורה "בגדי קודש הם" </w:t>
      </w:r>
      <w:r>
        <w:rPr>
          <w:sz w:val="24"/>
          <w:szCs w:val="24"/>
          <w:rtl/>
        </w:rPr>
        <w:t>–</w:t>
      </w:r>
      <w:r>
        <w:rPr>
          <w:rFonts w:hint="cs"/>
          <w:sz w:val="24"/>
          <w:szCs w:val="24"/>
          <w:rtl/>
        </w:rPr>
        <w:t xml:space="preserve"> ולכן לבישתם ופשיטתם מחייבת טבילה</w:t>
      </w:r>
      <w:r>
        <w:rPr>
          <w:rStyle w:val="a7"/>
          <w:sz w:val="24"/>
          <w:szCs w:val="24"/>
          <w:rtl/>
        </w:rPr>
        <w:footnoteReference w:id="42"/>
      </w:r>
      <w:r>
        <w:rPr>
          <w:rFonts w:hint="cs"/>
          <w:sz w:val="24"/>
          <w:szCs w:val="24"/>
          <w:rtl/>
        </w:rPr>
        <w:t xml:space="preserve">. </w:t>
      </w:r>
    </w:p>
    <w:p w:rsidR="009337C2" w:rsidRDefault="009337C2" w:rsidP="009337C2">
      <w:pPr>
        <w:spacing w:before="200" w:line="276" w:lineRule="exact"/>
        <w:ind w:firstLine="227"/>
        <w:rPr>
          <w:sz w:val="24"/>
          <w:szCs w:val="24"/>
          <w:rtl/>
        </w:rPr>
      </w:pPr>
      <w:r>
        <w:rPr>
          <w:rFonts w:hint="cs"/>
          <w:sz w:val="24"/>
          <w:szCs w:val="24"/>
          <w:rtl/>
        </w:rPr>
        <w:t>לעומת העולה מפשט הכתובים, חז"ל לומדים שהשינוי מעבודה לעבודה הוא המחייב טבילה:</w:t>
      </w:r>
    </w:p>
    <w:p w:rsidR="009337C2" w:rsidRDefault="009337C2" w:rsidP="009337C2">
      <w:pPr>
        <w:spacing w:before="200" w:line="276" w:lineRule="exact"/>
        <w:ind w:left="720"/>
        <w:rPr>
          <w:sz w:val="24"/>
          <w:szCs w:val="24"/>
          <w:rtl/>
        </w:rPr>
      </w:pPr>
      <w:r w:rsidRPr="00F12CBD">
        <w:rPr>
          <w:sz w:val="24"/>
          <w:szCs w:val="24"/>
          <w:rtl/>
        </w:rPr>
        <w:t>תניא</w:t>
      </w:r>
      <w:r>
        <w:rPr>
          <w:rFonts w:hint="cs"/>
          <w:sz w:val="24"/>
          <w:szCs w:val="24"/>
          <w:rtl/>
        </w:rPr>
        <w:t>,</w:t>
      </w:r>
      <w:r w:rsidRPr="00F12CBD">
        <w:rPr>
          <w:sz w:val="24"/>
          <w:szCs w:val="24"/>
          <w:rtl/>
        </w:rPr>
        <w:t xml:space="preserve"> אמר רבי יהודה</w:t>
      </w:r>
      <w:r>
        <w:rPr>
          <w:rFonts w:hint="cs"/>
          <w:sz w:val="24"/>
          <w:szCs w:val="24"/>
          <w:rtl/>
        </w:rPr>
        <w:t>:</w:t>
      </w:r>
      <w:r w:rsidRPr="00F12CBD">
        <w:rPr>
          <w:sz w:val="24"/>
          <w:szCs w:val="24"/>
          <w:rtl/>
        </w:rPr>
        <w:t xml:space="preserve"> מנין לחמש טבילות ועשרה קידושין שטובל כהן גדול ומקדש בו ביום</w:t>
      </w:r>
      <w:r>
        <w:rPr>
          <w:rFonts w:hint="cs"/>
          <w:sz w:val="24"/>
          <w:szCs w:val="24"/>
          <w:rtl/>
        </w:rPr>
        <w:t>?</w:t>
      </w:r>
      <w:r w:rsidRPr="00F12CBD">
        <w:rPr>
          <w:sz w:val="24"/>
          <w:szCs w:val="24"/>
          <w:rtl/>
        </w:rPr>
        <w:t xml:space="preserve"> תלמוד לומר </w:t>
      </w:r>
      <w:r>
        <w:rPr>
          <w:rFonts w:hint="cs"/>
          <w:sz w:val="24"/>
          <w:szCs w:val="24"/>
          <w:rtl/>
        </w:rPr>
        <w:t>'</w:t>
      </w:r>
      <w:r w:rsidRPr="00F12CBD">
        <w:rPr>
          <w:sz w:val="24"/>
          <w:szCs w:val="24"/>
          <w:rtl/>
        </w:rPr>
        <w:t>ובא אהרן אל אהל מועד ופשט את בגדי הבד ורחץ בשרו במים במקום קדוש ולבש את בגדיו ויצא ועשה</w:t>
      </w:r>
      <w:r>
        <w:rPr>
          <w:rFonts w:hint="cs"/>
          <w:sz w:val="24"/>
          <w:szCs w:val="24"/>
          <w:rtl/>
        </w:rPr>
        <w:t>',</w:t>
      </w:r>
      <w:r w:rsidRPr="00F12CBD">
        <w:rPr>
          <w:sz w:val="24"/>
          <w:szCs w:val="24"/>
          <w:rtl/>
        </w:rPr>
        <w:t xml:space="preserve"> </w:t>
      </w:r>
      <w:r w:rsidRPr="0043567F">
        <w:rPr>
          <w:b/>
          <w:bCs/>
          <w:sz w:val="24"/>
          <w:szCs w:val="24"/>
          <w:rtl/>
        </w:rPr>
        <w:t>הא למדת שכל המשנה מעבודה לעבודה טעון טבילה</w:t>
      </w:r>
      <w:r>
        <w:rPr>
          <w:rFonts w:hint="cs"/>
          <w:sz w:val="24"/>
          <w:szCs w:val="24"/>
          <w:rtl/>
        </w:rPr>
        <w:t>.</w:t>
      </w:r>
      <w:r w:rsidRPr="00F12CBD">
        <w:rPr>
          <w:sz w:val="24"/>
          <w:szCs w:val="24"/>
          <w:rtl/>
        </w:rPr>
        <w:t xml:space="preserve"> אמר רבי</w:t>
      </w:r>
      <w:r>
        <w:rPr>
          <w:rFonts w:hint="cs"/>
          <w:sz w:val="24"/>
          <w:szCs w:val="24"/>
          <w:rtl/>
        </w:rPr>
        <w:t>:</w:t>
      </w:r>
      <w:r w:rsidRPr="00F12CBD">
        <w:rPr>
          <w:sz w:val="24"/>
          <w:szCs w:val="24"/>
          <w:rtl/>
        </w:rPr>
        <w:t xml:space="preserve"> מנין לחמש טבילות ועשרה קידושין שטובל כהן גדול ומקדש בו ביום</w:t>
      </w:r>
      <w:r>
        <w:rPr>
          <w:rFonts w:hint="cs"/>
          <w:sz w:val="24"/>
          <w:szCs w:val="24"/>
          <w:rtl/>
        </w:rPr>
        <w:t>?</w:t>
      </w:r>
      <w:r w:rsidRPr="00F12CBD">
        <w:rPr>
          <w:sz w:val="24"/>
          <w:szCs w:val="24"/>
          <w:rtl/>
        </w:rPr>
        <w:t xml:space="preserve"> שנאמר </w:t>
      </w:r>
      <w:r>
        <w:rPr>
          <w:rFonts w:hint="cs"/>
          <w:sz w:val="24"/>
          <w:szCs w:val="24"/>
          <w:rtl/>
        </w:rPr>
        <w:t>'</w:t>
      </w:r>
      <w:r w:rsidRPr="00F12CBD">
        <w:rPr>
          <w:sz w:val="24"/>
          <w:szCs w:val="24"/>
          <w:rtl/>
        </w:rPr>
        <w:t>כתנת בד קדש ילבש ומכנסי בד יהיו על בשרו ובאבנט בד יחגר ובמצנפת בד יצנף בגדי קדש הם ורחץ במים את בשרו ולבשם</w:t>
      </w:r>
      <w:r>
        <w:rPr>
          <w:rFonts w:hint="cs"/>
          <w:sz w:val="24"/>
          <w:szCs w:val="24"/>
          <w:rtl/>
        </w:rPr>
        <w:t>',</w:t>
      </w:r>
      <w:r w:rsidRPr="00F12CBD">
        <w:rPr>
          <w:sz w:val="24"/>
          <w:szCs w:val="24"/>
          <w:rtl/>
        </w:rPr>
        <w:t xml:space="preserve"> </w:t>
      </w:r>
      <w:r w:rsidRPr="0043567F">
        <w:rPr>
          <w:b/>
          <w:bCs/>
          <w:sz w:val="24"/>
          <w:szCs w:val="24"/>
          <w:rtl/>
        </w:rPr>
        <w:t>הא למדת שכל המשנה מעבודה לעבודה טעון טבילה</w:t>
      </w:r>
      <w:r>
        <w:rPr>
          <w:rFonts w:hint="cs"/>
          <w:sz w:val="24"/>
          <w:szCs w:val="24"/>
          <w:rtl/>
        </w:rPr>
        <w:t>.</w:t>
      </w:r>
      <w:r w:rsidRPr="00F12CBD">
        <w:rPr>
          <w:sz w:val="24"/>
          <w:szCs w:val="24"/>
          <w:rtl/>
        </w:rPr>
        <w:t xml:space="preserve"> ואומר </w:t>
      </w:r>
      <w:r>
        <w:rPr>
          <w:rFonts w:hint="cs"/>
          <w:sz w:val="24"/>
          <w:szCs w:val="24"/>
          <w:rtl/>
        </w:rPr>
        <w:t>'</w:t>
      </w:r>
      <w:r w:rsidRPr="00F12CBD">
        <w:rPr>
          <w:sz w:val="24"/>
          <w:szCs w:val="24"/>
          <w:rtl/>
        </w:rPr>
        <w:t>בגדי קדש הם</w:t>
      </w:r>
      <w:r>
        <w:rPr>
          <w:rFonts w:hint="cs"/>
          <w:sz w:val="24"/>
          <w:szCs w:val="24"/>
          <w:rtl/>
        </w:rPr>
        <w:t xml:space="preserve">' </w:t>
      </w:r>
      <w:r>
        <w:rPr>
          <w:sz w:val="24"/>
          <w:szCs w:val="24"/>
          <w:rtl/>
        </w:rPr>
        <w:t>–</w:t>
      </w:r>
      <w:r w:rsidRPr="00F12CBD">
        <w:rPr>
          <w:sz w:val="24"/>
          <w:szCs w:val="24"/>
          <w:rtl/>
        </w:rPr>
        <w:t xml:space="preserve"> הוקשו כל הבגדים כולן זה לזה</w:t>
      </w:r>
      <w:r>
        <w:rPr>
          <w:rFonts w:hint="cs"/>
          <w:sz w:val="24"/>
          <w:szCs w:val="24"/>
          <w:rtl/>
        </w:rPr>
        <w:t>.</w:t>
      </w:r>
      <w:r>
        <w:rPr>
          <w:sz w:val="24"/>
          <w:szCs w:val="24"/>
          <w:rtl/>
        </w:rPr>
        <w:tab/>
      </w:r>
      <w:r>
        <w:rPr>
          <w:sz w:val="24"/>
          <w:szCs w:val="24"/>
          <w:rtl/>
        </w:rPr>
        <w:tab/>
      </w:r>
      <w:r w:rsidR="0096770B">
        <w:rPr>
          <w:rFonts w:hint="cs"/>
          <w:sz w:val="24"/>
          <w:szCs w:val="24"/>
          <w:rtl/>
        </w:rPr>
        <w:t xml:space="preserve">   </w:t>
      </w:r>
      <w:r>
        <w:rPr>
          <w:rFonts w:hint="cs"/>
          <w:sz w:val="24"/>
          <w:szCs w:val="24"/>
          <w:rtl/>
        </w:rPr>
        <w:t xml:space="preserve"> </w:t>
      </w:r>
      <w:r>
        <w:rPr>
          <w:rFonts w:hint="cs"/>
          <w:sz w:val="20"/>
          <w:szCs w:val="20"/>
          <w:rtl/>
        </w:rPr>
        <w:t>[יומא לב.]</w:t>
      </w:r>
      <w:r w:rsidRPr="0043567F">
        <w:rPr>
          <w:rStyle w:val="a7"/>
          <w:sz w:val="24"/>
          <w:szCs w:val="24"/>
          <w:rtl/>
        </w:rPr>
        <w:footnoteReference w:id="43"/>
      </w:r>
    </w:p>
    <w:p w:rsidR="009337C2" w:rsidRDefault="009337C2" w:rsidP="009337C2">
      <w:pPr>
        <w:spacing w:before="200" w:line="276" w:lineRule="exact"/>
        <w:ind w:firstLine="227"/>
        <w:rPr>
          <w:sz w:val="24"/>
          <w:szCs w:val="24"/>
          <w:rtl/>
        </w:rPr>
      </w:pPr>
      <w:r>
        <w:rPr>
          <w:rFonts w:hint="cs"/>
          <w:sz w:val="24"/>
          <w:szCs w:val="24"/>
          <w:rtl/>
        </w:rPr>
        <w:t>על פי דרשת חז"ל, השינוי מעבודה הנעשית בבגדי זהב לעבודה הנעשית בבגדי לבן, וכן מעבודה הנעשית בבגדי לבן לעבודה הנעשית בבגדי זהב, הוא המחייב טבילה.</w:t>
      </w:r>
    </w:p>
    <w:p w:rsidR="009337C2" w:rsidRDefault="009337C2" w:rsidP="009337C2">
      <w:pPr>
        <w:spacing w:before="200" w:line="276" w:lineRule="exact"/>
        <w:ind w:firstLine="227"/>
        <w:rPr>
          <w:b/>
          <w:bCs/>
          <w:sz w:val="24"/>
          <w:szCs w:val="24"/>
          <w:rtl/>
        </w:rPr>
      </w:pPr>
      <w:r>
        <w:rPr>
          <w:rFonts w:hint="cs"/>
          <w:sz w:val="24"/>
          <w:szCs w:val="24"/>
          <w:rtl/>
        </w:rPr>
        <w:t xml:space="preserve">נראה כי ההבדל בין פשטות הכתובים לדרשת חז"ל אינו רק מהו יסוד חיוב הטבילה, אלא יש ביניהם הבדל עקרוני בהבנת מהותה ותפקידה של הטבילה. לפי פשטות הכתובים, הטבילה באה לשם </w:t>
      </w:r>
      <w:r>
        <w:rPr>
          <w:rFonts w:hint="cs"/>
          <w:b/>
          <w:bCs/>
          <w:sz w:val="24"/>
          <w:szCs w:val="24"/>
          <w:rtl/>
        </w:rPr>
        <w:t>תוספת קדושה</w:t>
      </w:r>
      <w:r>
        <w:rPr>
          <w:rFonts w:hint="cs"/>
          <w:sz w:val="24"/>
          <w:szCs w:val="24"/>
          <w:rtl/>
        </w:rPr>
        <w:t xml:space="preserve"> </w:t>
      </w:r>
      <w:r>
        <w:rPr>
          <w:sz w:val="24"/>
          <w:szCs w:val="24"/>
          <w:rtl/>
        </w:rPr>
        <w:t>–</w:t>
      </w:r>
      <w:r>
        <w:rPr>
          <w:rFonts w:hint="cs"/>
          <w:sz w:val="24"/>
          <w:szCs w:val="24"/>
          <w:rtl/>
        </w:rPr>
        <w:t xml:space="preserve"> קדושת הבגדים מחייבת טבילה בשעת לבישתם ובשעת פשיטתם. אמנם, לפי דרשת חז"ל, הטבילה לא באה לשם תוספת קדושה אלא </w:t>
      </w:r>
      <w:r>
        <w:rPr>
          <w:rFonts w:hint="cs"/>
          <w:b/>
          <w:bCs/>
          <w:sz w:val="24"/>
          <w:szCs w:val="24"/>
          <w:rtl/>
        </w:rPr>
        <w:t>לשם יצירת הפרדה בין העבודות</w:t>
      </w:r>
      <w:r>
        <w:rPr>
          <w:rStyle w:val="a7"/>
          <w:b/>
          <w:bCs/>
          <w:sz w:val="24"/>
          <w:szCs w:val="24"/>
          <w:rtl/>
        </w:rPr>
        <w:footnoteReference w:id="44"/>
      </w:r>
      <w:r>
        <w:rPr>
          <w:rFonts w:hint="cs"/>
          <w:b/>
          <w:bCs/>
          <w:sz w:val="24"/>
          <w:szCs w:val="24"/>
          <w:rtl/>
        </w:rPr>
        <w:t>.</w:t>
      </w:r>
    </w:p>
    <w:p w:rsidR="009337C2" w:rsidRDefault="009337C2" w:rsidP="009337C2">
      <w:pPr>
        <w:spacing w:before="200" w:line="276" w:lineRule="exact"/>
        <w:ind w:firstLine="227"/>
        <w:rPr>
          <w:sz w:val="24"/>
          <w:szCs w:val="24"/>
          <w:rtl/>
        </w:rPr>
      </w:pPr>
      <w:r>
        <w:rPr>
          <w:rFonts w:hint="cs"/>
          <w:sz w:val="24"/>
          <w:szCs w:val="24"/>
          <w:rtl/>
        </w:rPr>
        <w:t xml:space="preserve">נראה להעמיק דברים אלו על פי דברים שעלו בשיעור הקודם במהותם של בגדי לבן. בירושלמי </w:t>
      </w:r>
      <w:r>
        <w:rPr>
          <w:rFonts w:hint="cs"/>
          <w:sz w:val="20"/>
          <w:szCs w:val="20"/>
          <w:rtl/>
        </w:rPr>
        <w:t>[פ"ז ה"ב]</w:t>
      </w:r>
      <w:r>
        <w:rPr>
          <w:rFonts w:hint="cs"/>
          <w:sz w:val="24"/>
          <w:szCs w:val="24"/>
          <w:rtl/>
        </w:rPr>
        <w:t xml:space="preserve"> מבואר שבבגדים אלו הכהן מידמה למלאך, ולפי זה החלפת הבגדים אינה שינוי בלבוש בלבד, אלא יש בה שינוי בזהותו של הכהן הגדול </w:t>
      </w:r>
      <w:r>
        <w:rPr>
          <w:sz w:val="24"/>
          <w:szCs w:val="24"/>
          <w:rtl/>
        </w:rPr>
        <w:t>–</w:t>
      </w:r>
      <w:r>
        <w:rPr>
          <w:rFonts w:hint="cs"/>
          <w:sz w:val="24"/>
          <w:szCs w:val="24"/>
          <w:rtl/>
        </w:rPr>
        <w:t xml:space="preserve"> בבגדי זהב הוא עומד לפני ה' כ"ראש הכהנים"</w:t>
      </w:r>
      <w:r>
        <w:rPr>
          <w:rStyle w:val="a7"/>
          <w:sz w:val="24"/>
          <w:szCs w:val="24"/>
          <w:rtl/>
        </w:rPr>
        <w:footnoteReference w:id="45"/>
      </w:r>
      <w:r>
        <w:rPr>
          <w:rFonts w:hint="cs"/>
          <w:sz w:val="24"/>
          <w:szCs w:val="24"/>
          <w:rtl/>
        </w:rPr>
        <w:t>, ואילו בבגדי לבן הוא עומד לפני ה' כ'מלאך ה' צ-באות'. השינוי בזהות הכהן הגדול בא לידי ביטוי בטבילה שבין עבודה לעבודה. בטבילה, שיש בה מעין בריאה מחדש</w:t>
      </w:r>
      <w:r>
        <w:rPr>
          <w:rStyle w:val="a7"/>
          <w:sz w:val="24"/>
          <w:szCs w:val="24"/>
          <w:rtl/>
        </w:rPr>
        <w:footnoteReference w:id="46"/>
      </w:r>
      <w:r>
        <w:rPr>
          <w:rFonts w:hint="cs"/>
          <w:sz w:val="24"/>
          <w:szCs w:val="24"/>
          <w:rtl/>
        </w:rPr>
        <w:t>, הכהן יוצר הפרדה בין העבודות, ועל ידה החלפת הבגדים מהווה שינוי של זהותו.</w:t>
      </w:r>
    </w:p>
    <w:p w:rsidR="009337C2" w:rsidRDefault="009337C2" w:rsidP="009337C2">
      <w:pPr>
        <w:spacing w:before="200" w:line="276" w:lineRule="exact"/>
        <w:ind w:firstLine="227"/>
        <w:rPr>
          <w:sz w:val="24"/>
          <w:szCs w:val="24"/>
          <w:rtl/>
        </w:rPr>
      </w:pPr>
    </w:p>
    <w:p w:rsidR="009337C2" w:rsidRDefault="009337C2" w:rsidP="009337C2">
      <w:pPr>
        <w:spacing w:before="200" w:line="276" w:lineRule="exact"/>
        <w:ind w:firstLine="227"/>
        <w:rPr>
          <w:sz w:val="24"/>
          <w:szCs w:val="24"/>
          <w:rtl/>
        </w:rPr>
      </w:pPr>
      <w:r>
        <w:rPr>
          <w:rFonts w:hint="cs"/>
          <w:sz w:val="24"/>
          <w:szCs w:val="24"/>
          <w:rtl/>
        </w:rPr>
        <w:t>על פי האמור, הטבילות נובעות מהשינוי מעבודה לעבודה. לפי זה, אין מקור לחיוב הטבילה הראשונה בשעת תחילת העבודה. ואכן, רש"י כותב כי טבילה זו היא מדרבנן בלבד:</w:t>
      </w:r>
    </w:p>
    <w:p w:rsidR="009337C2" w:rsidRDefault="009337C2" w:rsidP="009337C2">
      <w:pPr>
        <w:spacing w:before="200" w:line="276" w:lineRule="exact"/>
        <w:ind w:left="720"/>
        <w:rPr>
          <w:sz w:val="24"/>
          <w:szCs w:val="24"/>
          <w:rtl/>
        </w:rPr>
      </w:pPr>
      <w:r>
        <w:rPr>
          <w:sz w:val="24"/>
          <w:szCs w:val="24"/>
          <w:rtl/>
        </w:rPr>
        <w:t xml:space="preserve">טבילות הבאות מחמת מחלפות היום </w:t>
      </w:r>
      <w:r w:rsidRPr="00922036">
        <w:rPr>
          <w:sz w:val="24"/>
          <w:szCs w:val="24"/>
          <w:rtl/>
        </w:rPr>
        <w:t>במקום קדוש, אבל טבילה ראשונה לא ילפת מיניה, דהא לאו דאורייתא היא.</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[רש"י לב: ד"ה מה קידוש]</w:t>
      </w:r>
    </w:p>
    <w:p w:rsidR="009337C2" w:rsidRDefault="009337C2" w:rsidP="009337C2">
      <w:pPr>
        <w:spacing w:before="200" w:line="276" w:lineRule="exact"/>
        <w:ind w:firstLine="227"/>
        <w:rPr>
          <w:sz w:val="24"/>
          <w:szCs w:val="24"/>
          <w:rtl/>
        </w:rPr>
      </w:pPr>
      <w:r>
        <w:rPr>
          <w:rFonts w:hint="cs"/>
          <w:sz w:val="24"/>
          <w:szCs w:val="24"/>
          <w:rtl/>
        </w:rPr>
        <w:t>דברי רש"י מבוססים על האמור במשנה:</w:t>
      </w:r>
    </w:p>
    <w:p w:rsidR="009337C2" w:rsidRPr="00F05396" w:rsidRDefault="009337C2" w:rsidP="009337C2">
      <w:pPr>
        <w:spacing w:before="200" w:line="276" w:lineRule="exact"/>
        <w:ind w:left="720"/>
        <w:rPr>
          <w:sz w:val="20"/>
          <w:szCs w:val="20"/>
          <w:rtl/>
        </w:rPr>
      </w:pPr>
      <w:r>
        <w:rPr>
          <w:rFonts w:hint="cs"/>
          <w:sz w:val="24"/>
          <w:szCs w:val="24"/>
          <w:rtl/>
        </w:rPr>
        <w:lastRenderedPageBreak/>
        <w:t>חמש טבילות ועשרה קדושין טובל כהן גדול ומקדש בו ביום. וכולן בקודש על בית הפרווה חוץ מזו.</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[משנה ל.]</w:t>
      </w:r>
    </w:p>
    <w:p w:rsidR="009337C2" w:rsidRDefault="009337C2" w:rsidP="009337C2">
      <w:pPr>
        <w:spacing w:before="200" w:line="276" w:lineRule="exact"/>
        <w:ind w:firstLine="227"/>
        <w:rPr>
          <w:sz w:val="24"/>
          <w:szCs w:val="24"/>
          <w:rtl/>
        </w:rPr>
      </w:pPr>
      <w:r>
        <w:rPr>
          <w:rFonts w:hint="cs"/>
          <w:sz w:val="24"/>
          <w:szCs w:val="24"/>
          <w:rtl/>
        </w:rPr>
        <w:t>המשנה מבחינה בין הטבילה הראשונה, הנעשית בחול, לשאר הטבילות הנעשות בקודש. רש"י מבאר כי הבחנה זו נובעת מכך שהטבילה הראשונה כלל אינה נעשית מדיני יום הכיפורים:</w:t>
      </w:r>
    </w:p>
    <w:p w:rsidR="009337C2" w:rsidRDefault="009337C2" w:rsidP="009337C2">
      <w:pPr>
        <w:spacing w:before="200" w:line="276" w:lineRule="exact"/>
        <w:ind w:left="720"/>
        <w:rPr>
          <w:sz w:val="24"/>
          <w:szCs w:val="24"/>
          <w:rtl/>
        </w:rPr>
      </w:pPr>
      <w:r>
        <w:rPr>
          <w:rFonts w:hint="cs"/>
          <w:sz w:val="24"/>
          <w:szCs w:val="24"/>
          <w:rtl/>
        </w:rPr>
        <w:t>שאינה באה חובה ליום הכפורים, דהא כל יומא נמי איתא. אבל שאר טבילות הבאות חובה ליום הכפורים, כתיב בהן 'במקום קדוש' בעניינא דאחרי מות.</w:t>
      </w:r>
      <w:r>
        <w:rPr>
          <w:sz w:val="24"/>
          <w:szCs w:val="24"/>
          <w:rtl/>
        </w:rPr>
        <w:tab/>
      </w:r>
      <w:r>
        <w:rPr>
          <w:rFonts w:hint="cs"/>
          <w:sz w:val="24"/>
          <w:szCs w:val="24"/>
          <w:rtl/>
        </w:rPr>
        <w:t xml:space="preserve">    </w:t>
      </w:r>
      <w:r>
        <w:rPr>
          <w:rFonts w:hint="cs"/>
          <w:sz w:val="20"/>
          <w:szCs w:val="20"/>
          <w:rtl/>
        </w:rPr>
        <w:t>[רש"י ל. ד"ה חוץ מזו]</w:t>
      </w:r>
    </w:p>
    <w:p w:rsidR="009337C2" w:rsidRDefault="009337C2" w:rsidP="009337C2">
      <w:pPr>
        <w:spacing w:before="200" w:line="276" w:lineRule="exact"/>
        <w:ind w:firstLine="227"/>
        <w:rPr>
          <w:sz w:val="24"/>
          <w:szCs w:val="24"/>
          <w:rtl/>
        </w:rPr>
      </w:pPr>
      <w:r>
        <w:rPr>
          <w:rFonts w:hint="cs"/>
          <w:sz w:val="24"/>
          <w:szCs w:val="24"/>
          <w:rtl/>
        </w:rPr>
        <w:t>מדברי רש"י עולה, כי אין דין המחייב חמש טבילות ביום הכיפורים; הדין העקרוני הוא שיש לטבול בין עבודה לעבודה, ומחמתו יש לטבול ארבע טבילות, כאשר יש להקדים להן טבילה נוספת בתחילת העבודה מדרבנן</w:t>
      </w:r>
      <w:r>
        <w:rPr>
          <w:rStyle w:val="a7"/>
          <w:sz w:val="24"/>
          <w:szCs w:val="24"/>
          <w:rtl/>
        </w:rPr>
        <w:footnoteReference w:id="47"/>
      </w:r>
      <w:r>
        <w:rPr>
          <w:rFonts w:hint="cs"/>
          <w:sz w:val="24"/>
          <w:szCs w:val="24"/>
          <w:rtl/>
        </w:rPr>
        <w:t xml:space="preserve"> </w:t>
      </w:r>
      <w:r>
        <w:rPr>
          <w:sz w:val="24"/>
          <w:szCs w:val="24"/>
          <w:rtl/>
        </w:rPr>
        <w:t>–</w:t>
      </w:r>
      <w:r>
        <w:rPr>
          <w:rFonts w:hint="cs"/>
          <w:sz w:val="24"/>
          <w:szCs w:val="24"/>
          <w:rtl/>
        </w:rPr>
        <w:t xml:space="preserve"> "כדי שיזכור טומאה ישנה שבידו ויפרוש"</w:t>
      </w:r>
      <w:r>
        <w:rPr>
          <w:rStyle w:val="a7"/>
          <w:sz w:val="24"/>
          <w:szCs w:val="24"/>
          <w:rtl/>
        </w:rPr>
        <w:footnoteReference w:id="48"/>
      </w:r>
      <w:r>
        <w:rPr>
          <w:rFonts w:hint="cs"/>
          <w:sz w:val="24"/>
          <w:szCs w:val="24"/>
          <w:rtl/>
        </w:rPr>
        <w:t>.</w:t>
      </w:r>
    </w:p>
    <w:p w:rsidR="009337C2" w:rsidRDefault="009337C2" w:rsidP="009337C2">
      <w:pPr>
        <w:spacing w:before="200" w:line="276" w:lineRule="exact"/>
        <w:ind w:firstLine="227"/>
        <w:rPr>
          <w:sz w:val="24"/>
          <w:szCs w:val="24"/>
          <w:rtl/>
        </w:rPr>
      </w:pPr>
      <w:r>
        <w:rPr>
          <w:rFonts w:hint="cs"/>
          <w:sz w:val="24"/>
          <w:szCs w:val="24"/>
          <w:rtl/>
        </w:rPr>
        <w:t>ראשונים אחרים חולקים ולומדים מדברי הגמרא כי גם הטבילה הראשונה מחויבת מדאורייתא:</w:t>
      </w:r>
    </w:p>
    <w:p w:rsidR="009337C2" w:rsidRDefault="009337C2" w:rsidP="009337C2">
      <w:pPr>
        <w:spacing w:before="200" w:line="276" w:lineRule="exact"/>
        <w:ind w:left="720"/>
        <w:rPr>
          <w:sz w:val="24"/>
          <w:szCs w:val="24"/>
          <w:rtl/>
        </w:rPr>
      </w:pPr>
      <w:r w:rsidRPr="00EB5B8B">
        <w:rPr>
          <w:sz w:val="24"/>
          <w:szCs w:val="24"/>
          <w:rtl/>
        </w:rPr>
        <w:t>תנו רבנן</w:t>
      </w:r>
      <w:r>
        <w:rPr>
          <w:rFonts w:hint="cs"/>
          <w:sz w:val="24"/>
          <w:szCs w:val="24"/>
          <w:rtl/>
        </w:rPr>
        <w:t>,</w:t>
      </w:r>
      <w:r w:rsidRPr="00EB5B8B">
        <w:rPr>
          <w:sz w:val="24"/>
          <w:szCs w:val="24"/>
          <w:rtl/>
        </w:rPr>
        <w:t xml:space="preserve"> </w:t>
      </w:r>
      <w:r>
        <w:rPr>
          <w:rFonts w:hint="cs"/>
          <w:sz w:val="24"/>
          <w:szCs w:val="24"/>
          <w:rtl/>
        </w:rPr>
        <w:t>'</w:t>
      </w:r>
      <w:r w:rsidRPr="00EB5B8B">
        <w:rPr>
          <w:sz w:val="24"/>
          <w:szCs w:val="24"/>
          <w:rtl/>
        </w:rPr>
        <w:t>ובא אהרן אל אהל מועד</w:t>
      </w:r>
      <w:r>
        <w:rPr>
          <w:rFonts w:hint="cs"/>
          <w:sz w:val="24"/>
          <w:szCs w:val="24"/>
          <w:rtl/>
        </w:rPr>
        <w:t>',</w:t>
      </w:r>
      <w:r w:rsidRPr="00EB5B8B">
        <w:rPr>
          <w:sz w:val="24"/>
          <w:szCs w:val="24"/>
          <w:rtl/>
        </w:rPr>
        <w:t xml:space="preserve"> למה הוא בא</w:t>
      </w:r>
      <w:r>
        <w:rPr>
          <w:rFonts w:hint="cs"/>
          <w:sz w:val="24"/>
          <w:szCs w:val="24"/>
          <w:rtl/>
        </w:rPr>
        <w:t>?</w:t>
      </w:r>
      <w:r w:rsidRPr="00EB5B8B">
        <w:rPr>
          <w:sz w:val="24"/>
          <w:szCs w:val="24"/>
          <w:rtl/>
        </w:rPr>
        <w:t xml:space="preserve"> אינו בא אלא להוציא את הכף ואת המחתה</w:t>
      </w:r>
      <w:r>
        <w:rPr>
          <w:rFonts w:hint="cs"/>
          <w:sz w:val="24"/>
          <w:szCs w:val="24"/>
          <w:rtl/>
        </w:rPr>
        <w:t xml:space="preserve">. </w:t>
      </w:r>
      <w:r>
        <w:rPr>
          <w:sz w:val="24"/>
          <w:szCs w:val="24"/>
          <w:rtl/>
        </w:rPr>
        <w:t>וכל</w:t>
      </w:r>
      <w:r w:rsidRPr="00EB5B8B">
        <w:rPr>
          <w:sz w:val="24"/>
          <w:szCs w:val="24"/>
          <w:rtl/>
        </w:rPr>
        <w:t xml:space="preserve"> הפרשה כולה נאמרה על הסדר חוץ מפסוק זה</w:t>
      </w:r>
      <w:r>
        <w:rPr>
          <w:rFonts w:hint="cs"/>
          <w:sz w:val="24"/>
          <w:szCs w:val="24"/>
          <w:rtl/>
        </w:rPr>
        <w:t>.</w:t>
      </w:r>
      <w:r w:rsidRPr="00EB5B8B">
        <w:rPr>
          <w:sz w:val="24"/>
          <w:szCs w:val="24"/>
          <w:rtl/>
        </w:rPr>
        <w:t xml:space="preserve"> מאי טעמא</w:t>
      </w:r>
      <w:r>
        <w:rPr>
          <w:rFonts w:hint="cs"/>
          <w:sz w:val="24"/>
          <w:szCs w:val="24"/>
          <w:rtl/>
        </w:rPr>
        <w:t>?</w:t>
      </w:r>
      <w:r w:rsidRPr="00EB5B8B">
        <w:rPr>
          <w:sz w:val="24"/>
          <w:szCs w:val="24"/>
          <w:rtl/>
        </w:rPr>
        <w:t xml:space="preserve"> אמר רב חסדא</w:t>
      </w:r>
      <w:r>
        <w:rPr>
          <w:rFonts w:hint="cs"/>
          <w:sz w:val="24"/>
          <w:szCs w:val="24"/>
          <w:rtl/>
        </w:rPr>
        <w:t>:</w:t>
      </w:r>
      <w:r w:rsidRPr="00EB5B8B">
        <w:rPr>
          <w:sz w:val="24"/>
          <w:szCs w:val="24"/>
          <w:rtl/>
        </w:rPr>
        <w:t xml:space="preserve"> </w:t>
      </w:r>
      <w:r w:rsidRPr="00EB5B8B">
        <w:rPr>
          <w:b/>
          <w:bCs/>
          <w:sz w:val="24"/>
          <w:szCs w:val="24"/>
          <w:rtl/>
        </w:rPr>
        <w:t>גמירי חמש טבילות ועשרה קידושין טובל כהן גדול ומקדש בו ביום</w:t>
      </w:r>
      <w:r>
        <w:rPr>
          <w:rFonts w:hint="cs"/>
          <w:sz w:val="24"/>
          <w:szCs w:val="24"/>
          <w:rtl/>
        </w:rPr>
        <w:t>,</w:t>
      </w:r>
      <w:r w:rsidRPr="00EB5B8B">
        <w:rPr>
          <w:sz w:val="24"/>
          <w:szCs w:val="24"/>
          <w:rtl/>
        </w:rPr>
        <w:t xml:space="preserve"> ואי כסדרן לא משכחת להו אלא שלש טבילות וששה קידושין</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לב.]</w:t>
      </w:r>
    </w:p>
    <w:p w:rsidR="009337C2" w:rsidRDefault="009337C2" w:rsidP="009337C2">
      <w:pPr>
        <w:spacing w:before="200" w:line="276" w:lineRule="exact"/>
        <w:ind w:firstLine="227"/>
        <w:rPr>
          <w:sz w:val="24"/>
          <w:szCs w:val="24"/>
          <w:rtl/>
        </w:rPr>
      </w:pPr>
      <w:r>
        <w:rPr>
          <w:rFonts w:hint="cs"/>
          <w:sz w:val="24"/>
          <w:szCs w:val="24"/>
          <w:rtl/>
        </w:rPr>
        <w:t>בשיטה זו נוקטים תוספות ישנים:</w:t>
      </w:r>
    </w:p>
    <w:p w:rsidR="009337C2" w:rsidRPr="00EB5B8B" w:rsidRDefault="009337C2" w:rsidP="009337C2">
      <w:pPr>
        <w:spacing w:before="200" w:line="276" w:lineRule="exact"/>
        <w:ind w:left="720"/>
        <w:rPr>
          <w:sz w:val="20"/>
          <w:szCs w:val="20"/>
          <w:rtl/>
        </w:rPr>
      </w:pPr>
      <w:r w:rsidRPr="00EB5B8B">
        <w:rPr>
          <w:sz w:val="24"/>
          <w:szCs w:val="24"/>
          <w:rtl/>
        </w:rPr>
        <w:t>בגמרא מפיק ד' טבילות מקרא</w:t>
      </w:r>
      <w:r>
        <w:rPr>
          <w:rFonts w:hint="cs"/>
          <w:sz w:val="24"/>
          <w:szCs w:val="24"/>
          <w:rtl/>
        </w:rPr>
        <w:t>,</w:t>
      </w:r>
      <w:r w:rsidRPr="00EB5B8B">
        <w:rPr>
          <w:sz w:val="24"/>
          <w:szCs w:val="24"/>
          <w:rtl/>
        </w:rPr>
        <w:t xml:space="preserve"> וטבילה זו הראשונה מצי נפקא לן מקל וחומר דבן זומא דלעיל</w:t>
      </w:r>
      <w:r>
        <w:rPr>
          <w:rFonts w:hint="cs"/>
          <w:sz w:val="24"/>
          <w:szCs w:val="24"/>
          <w:rtl/>
        </w:rPr>
        <w:t>.</w:t>
      </w:r>
      <w:r>
        <w:rPr>
          <w:sz w:val="24"/>
          <w:szCs w:val="24"/>
          <w:rtl/>
        </w:rPr>
        <w:t xml:space="preserve"> אפי</w:t>
      </w:r>
      <w:r>
        <w:rPr>
          <w:rFonts w:hint="cs"/>
          <w:sz w:val="24"/>
          <w:szCs w:val="24"/>
          <w:rtl/>
        </w:rPr>
        <w:t>לו</w:t>
      </w:r>
      <w:r>
        <w:rPr>
          <w:sz w:val="24"/>
          <w:szCs w:val="24"/>
          <w:rtl/>
        </w:rPr>
        <w:t xml:space="preserve"> </w:t>
      </w:r>
      <w:r>
        <w:rPr>
          <w:rFonts w:hint="cs"/>
          <w:sz w:val="24"/>
          <w:szCs w:val="24"/>
          <w:rtl/>
        </w:rPr>
        <w:t>רבי</w:t>
      </w:r>
      <w:r w:rsidRPr="00EB5B8B">
        <w:rPr>
          <w:sz w:val="24"/>
          <w:szCs w:val="24"/>
          <w:rtl/>
        </w:rPr>
        <w:t xml:space="preserve"> יהודה נמי דלית ליה לעיל בשאר ימות השנה</w:t>
      </w:r>
      <w:r>
        <w:rPr>
          <w:rFonts w:hint="cs"/>
          <w:sz w:val="24"/>
          <w:szCs w:val="24"/>
          <w:rtl/>
        </w:rPr>
        <w:t>,</w:t>
      </w:r>
      <w:r w:rsidRPr="00EB5B8B">
        <w:rPr>
          <w:sz w:val="24"/>
          <w:szCs w:val="24"/>
          <w:rtl/>
        </w:rPr>
        <w:t xml:space="preserve"> בכהן גדול ביום הכפורים עצמו יכול להיות סובר כן דמדאיתא הכא כל שכן</w:t>
      </w:r>
      <w:r>
        <w:rPr>
          <w:rFonts w:hint="cs"/>
          <w:sz w:val="24"/>
          <w:szCs w:val="24"/>
          <w:rtl/>
        </w:rPr>
        <w:t xml:space="preserve">. </w:t>
      </w:r>
      <w:r>
        <w:rPr>
          <w:sz w:val="24"/>
          <w:szCs w:val="24"/>
          <w:rtl/>
        </w:rPr>
        <w:tab/>
      </w:r>
      <w:r>
        <w:rPr>
          <w:rFonts w:hint="cs"/>
          <w:sz w:val="24"/>
          <w:szCs w:val="24"/>
          <w:rtl/>
        </w:rPr>
        <w:t xml:space="preserve">         </w:t>
      </w:r>
      <w:r>
        <w:rPr>
          <w:rFonts w:hint="cs"/>
          <w:sz w:val="20"/>
          <w:szCs w:val="20"/>
          <w:rtl/>
        </w:rPr>
        <w:t>[תוס' ישנים לא. ד"ה חמש טבילות כו']</w:t>
      </w:r>
    </w:p>
    <w:p w:rsidR="009337C2" w:rsidRDefault="009337C2" w:rsidP="009337C2">
      <w:pPr>
        <w:spacing w:before="200" w:line="276" w:lineRule="exact"/>
        <w:ind w:firstLine="227"/>
        <w:rPr>
          <w:sz w:val="24"/>
          <w:szCs w:val="24"/>
          <w:rtl/>
        </w:rPr>
      </w:pPr>
      <w:r>
        <w:rPr>
          <w:rFonts w:hint="cs"/>
          <w:sz w:val="24"/>
          <w:szCs w:val="24"/>
          <w:rtl/>
        </w:rPr>
        <w:t>לדבריהם, הטבילה הראשונה נלמדת מקל וחומר משאר הטבילות: "ומה המשנה מקודש לקודש ומקום שענוש כרת למקום שענוש כרת טעון טבילה, המשנה מחול לקודש וממקום שאין ענוש כרת למקום שענוש כרת אינו טעון טבילה?!". עולה מכך, כי תוספות ישנים מודים לתפיסתו העקרונית של רש"י כי הדין העקרוני אינו לטבול חמש טבילות ביום הכיפורים, אך לשיטתם יסוד הדין הוא שיש להקדים טבילה לכל עבודה</w:t>
      </w:r>
      <w:r>
        <w:rPr>
          <w:rStyle w:val="a7"/>
          <w:sz w:val="24"/>
          <w:szCs w:val="24"/>
          <w:rtl/>
        </w:rPr>
        <w:footnoteReference w:id="49"/>
      </w:r>
      <w:r>
        <w:rPr>
          <w:rFonts w:hint="cs"/>
          <w:sz w:val="24"/>
          <w:szCs w:val="24"/>
          <w:rtl/>
        </w:rPr>
        <w:t>.</w:t>
      </w:r>
    </w:p>
    <w:p w:rsidR="009337C2" w:rsidRDefault="009337C2" w:rsidP="009337C2">
      <w:pPr>
        <w:spacing w:before="200" w:line="276" w:lineRule="exact"/>
        <w:ind w:firstLine="227"/>
        <w:rPr>
          <w:sz w:val="24"/>
          <w:szCs w:val="24"/>
          <w:rtl/>
        </w:rPr>
      </w:pPr>
      <w:r>
        <w:rPr>
          <w:rFonts w:hint="cs"/>
          <w:sz w:val="24"/>
          <w:szCs w:val="24"/>
          <w:rtl/>
        </w:rPr>
        <w:t>בהתאם לשיטתם כותבים תוספות ישנים כי דברי הגמרא "גמירי חמש טבילות" אינם כפשוטם:</w:t>
      </w:r>
    </w:p>
    <w:p w:rsidR="009337C2" w:rsidRPr="00A51943" w:rsidRDefault="009337C2" w:rsidP="009337C2">
      <w:pPr>
        <w:spacing w:before="200" w:line="276" w:lineRule="exact"/>
        <w:ind w:left="720"/>
        <w:rPr>
          <w:sz w:val="20"/>
          <w:szCs w:val="20"/>
          <w:rtl/>
        </w:rPr>
      </w:pPr>
      <w:r>
        <w:rPr>
          <w:rFonts w:hint="cs"/>
          <w:sz w:val="24"/>
          <w:szCs w:val="24"/>
          <w:rtl/>
        </w:rPr>
        <w:t xml:space="preserve">לאו הכי גמירי להו דחמש הן, דמקרא נפקא, </w:t>
      </w:r>
      <w:r w:rsidRPr="00C85479">
        <w:rPr>
          <w:sz w:val="24"/>
          <w:szCs w:val="24"/>
          <w:rtl/>
        </w:rPr>
        <w:t>אלא שינוי עבודות גמירי להו וממילא יש בין כל אחת ואחת טבילה</w:t>
      </w:r>
      <w:r>
        <w:rPr>
          <w:rFonts w:hint="cs"/>
          <w:sz w:val="24"/>
          <w:szCs w:val="24"/>
          <w:rtl/>
        </w:rPr>
        <w:t>,</w:t>
      </w:r>
      <w:r w:rsidRPr="00C85479">
        <w:rPr>
          <w:sz w:val="24"/>
          <w:szCs w:val="24"/>
          <w:rtl/>
        </w:rPr>
        <w:t xml:space="preserve"> אבל ב</w:t>
      </w:r>
      <w:r>
        <w:rPr>
          <w:sz w:val="24"/>
          <w:szCs w:val="24"/>
          <w:rtl/>
        </w:rPr>
        <w:t>הלכה למשה מסיני לא הוזכר טבילות</w:t>
      </w:r>
      <w:r>
        <w:rPr>
          <w:rFonts w:hint="cs"/>
          <w:sz w:val="24"/>
          <w:szCs w:val="24"/>
          <w:rtl/>
        </w:rPr>
        <w:t xml:space="preserve">. </w:t>
      </w:r>
      <w:r>
        <w:rPr>
          <w:rFonts w:hint="cs"/>
          <w:sz w:val="20"/>
          <w:szCs w:val="20"/>
          <w:rtl/>
        </w:rPr>
        <w:t xml:space="preserve"> [תוס' ישנים לב. ד"ה גמירי]</w:t>
      </w:r>
    </w:p>
    <w:p w:rsidR="009337C2" w:rsidRDefault="009337C2" w:rsidP="009337C2">
      <w:pPr>
        <w:spacing w:before="200" w:line="276" w:lineRule="exact"/>
        <w:ind w:firstLine="227"/>
        <w:rPr>
          <w:sz w:val="24"/>
          <w:szCs w:val="24"/>
          <w:rtl/>
        </w:rPr>
      </w:pPr>
      <w:r>
        <w:rPr>
          <w:rFonts w:hint="cs"/>
          <w:sz w:val="24"/>
          <w:szCs w:val="24"/>
          <w:rtl/>
        </w:rPr>
        <w:t xml:space="preserve"> לדבריהם, ה'הלכה למשה מסיני' לא לימדה על חובה לטבול חמש טבילות, אלא על מספר השינויים מבגדי זהב לבגדי לבן ומבגדי לבן לבגדי זהב. בהתאם לכך, הואיל והדרשה לימדה שיש לטבול לפני כל עבודה, בהכרח הכהן הגדול טובל חמש טבילות.</w:t>
      </w:r>
    </w:p>
    <w:p w:rsidR="009337C2" w:rsidRDefault="009337C2" w:rsidP="009337C2">
      <w:pPr>
        <w:spacing w:before="200" w:line="276" w:lineRule="exact"/>
        <w:ind w:firstLine="227"/>
        <w:rPr>
          <w:sz w:val="24"/>
          <w:szCs w:val="24"/>
          <w:rtl/>
        </w:rPr>
      </w:pPr>
      <w:r>
        <w:rPr>
          <w:rFonts w:hint="cs"/>
          <w:sz w:val="24"/>
          <w:szCs w:val="24"/>
          <w:rtl/>
        </w:rPr>
        <w:t>הבנה שונה עולה מדברי תוספות:</w:t>
      </w:r>
    </w:p>
    <w:p w:rsidR="009337C2" w:rsidRDefault="009337C2" w:rsidP="009337C2">
      <w:pPr>
        <w:spacing w:before="200" w:line="276" w:lineRule="exact"/>
        <w:ind w:left="720"/>
        <w:rPr>
          <w:sz w:val="24"/>
          <w:szCs w:val="24"/>
          <w:rtl/>
        </w:rPr>
      </w:pPr>
      <w:r w:rsidRPr="00866B31">
        <w:rPr>
          <w:sz w:val="24"/>
          <w:szCs w:val="24"/>
          <w:rtl/>
        </w:rPr>
        <w:t>תימה לי</w:t>
      </w:r>
      <w:r>
        <w:rPr>
          <w:rFonts w:hint="cs"/>
          <w:sz w:val="24"/>
          <w:szCs w:val="24"/>
          <w:rtl/>
        </w:rPr>
        <w:t>,</w:t>
      </w:r>
      <w:r w:rsidRPr="00866B31">
        <w:rPr>
          <w:sz w:val="24"/>
          <w:szCs w:val="24"/>
          <w:rtl/>
        </w:rPr>
        <w:t xml:space="preserve"> אי הלכתא קרא למה לי לקמן</w:t>
      </w:r>
      <w:r>
        <w:rPr>
          <w:rFonts w:hint="cs"/>
          <w:sz w:val="24"/>
          <w:szCs w:val="24"/>
          <w:rtl/>
        </w:rPr>
        <w:t>.</w:t>
      </w:r>
      <w:r>
        <w:rPr>
          <w:sz w:val="24"/>
          <w:szCs w:val="24"/>
          <w:rtl/>
        </w:rPr>
        <w:t xml:space="preserve"> וי</w:t>
      </w:r>
      <w:r>
        <w:rPr>
          <w:rFonts w:hint="cs"/>
          <w:sz w:val="24"/>
          <w:szCs w:val="24"/>
          <w:rtl/>
        </w:rPr>
        <w:t>ש לומר,</w:t>
      </w:r>
      <w:r w:rsidRPr="00866B31">
        <w:rPr>
          <w:sz w:val="24"/>
          <w:szCs w:val="24"/>
          <w:rtl/>
        </w:rPr>
        <w:t xml:space="preserve"> אי לאו קרא הוה אמינא חמש טבילות יטבול אפילו בזה אחר זה כולם ביחד</w:t>
      </w:r>
      <w:r>
        <w:rPr>
          <w:rFonts w:hint="cs"/>
          <w:sz w:val="24"/>
          <w:szCs w:val="24"/>
          <w:rtl/>
        </w:rPr>
        <w:t>,</w:t>
      </w:r>
      <w:r w:rsidRPr="00866B31">
        <w:rPr>
          <w:sz w:val="24"/>
          <w:szCs w:val="24"/>
          <w:rtl/>
        </w:rPr>
        <w:t xml:space="preserve"> להכי אצטריך קרא דכשהוא משנה מעבודה לעבודה עביד להו</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[תוס' לב. ד"ה גמירי]</w:t>
      </w:r>
    </w:p>
    <w:p w:rsidR="009337C2" w:rsidRDefault="009337C2" w:rsidP="009337C2">
      <w:pPr>
        <w:spacing w:before="200" w:line="276" w:lineRule="exact"/>
        <w:ind w:firstLine="227"/>
        <w:rPr>
          <w:sz w:val="24"/>
          <w:szCs w:val="24"/>
          <w:rtl/>
        </w:rPr>
      </w:pPr>
      <w:r>
        <w:rPr>
          <w:rFonts w:hint="cs"/>
          <w:sz w:val="24"/>
          <w:szCs w:val="24"/>
          <w:rtl/>
        </w:rPr>
        <w:t xml:space="preserve">תוספות כותבים שאם הייתה את ה'הלכה למשה מסיני' לבדה היינו אומרים שיש לעשות חמש טבילות בזו אחר זו. כדי לשלול הבנה זו נצרכה הדרשה שתלמד שיש לעשות את הטבילות בין עבודה </w:t>
      </w:r>
      <w:r>
        <w:rPr>
          <w:rFonts w:hint="cs"/>
          <w:sz w:val="24"/>
          <w:szCs w:val="24"/>
          <w:rtl/>
        </w:rPr>
        <w:lastRenderedPageBreak/>
        <w:t xml:space="preserve">לעבודה. מדברי תוספות עולה הצעה שהטבילות מהוות דין בפני עצמו </w:t>
      </w:r>
      <w:r>
        <w:rPr>
          <w:sz w:val="24"/>
          <w:szCs w:val="24"/>
          <w:rtl/>
        </w:rPr>
        <w:t>–</w:t>
      </w:r>
      <w:r>
        <w:rPr>
          <w:rFonts w:hint="cs"/>
          <w:sz w:val="24"/>
          <w:szCs w:val="24"/>
          <w:rtl/>
        </w:rPr>
        <w:t xml:space="preserve"> חובה על הכהן הגדול, ללא קשר לעבודות השונות, לטבול חמש טבילות ביום הכיפורים. </w:t>
      </w:r>
    </w:p>
    <w:p w:rsidR="009337C2" w:rsidRDefault="009337C2" w:rsidP="009337C2">
      <w:pPr>
        <w:spacing w:before="200" w:line="276" w:lineRule="exact"/>
        <w:ind w:firstLine="227"/>
        <w:rPr>
          <w:sz w:val="24"/>
          <w:szCs w:val="24"/>
          <w:rtl/>
        </w:rPr>
      </w:pPr>
      <w:r>
        <w:rPr>
          <w:rFonts w:hint="cs"/>
          <w:sz w:val="24"/>
          <w:szCs w:val="24"/>
          <w:rtl/>
        </w:rPr>
        <w:t>מהמשך דברי תוספות נראה כי למסקנה הצעה זו נדחית, וחיוב הטבילה נובע משינוי מעבודה לעבודה</w:t>
      </w:r>
      <w:r>
        <w:rPr>
          <w:rStyle w:val="a7"/>
          <w:sz w:val="24"/>
          <w:szCs w:val="24"/>
          <w:rtl/>
        </w:rPr>
        <w:footnoteReference w:id="50"/>
      </w:r>
      <w:r>
        <w:rPr>
          <w:rFonts w:hint="cs"/>
          <w:sz w:val="24"/>
          <w:szCs w:val="24"/>
          <w:rtl/>
        </w:rPr>
        <w:t>. עם זאת, הבנה זו משתמעת מדברי החכמת אדם בשם הגר"א בביאור ההבדל בסדר העבודה בין פשט הכתובים לדברי חז"ל:</w:t>
      </w:r>
    </w:p>
    <w:p w:rsidR="009337C2" w:rsidRPr="00073247" w:rsidRDefault="009337C2" w:rsidP="009337C2">
      <w:pPr>
        <w:spacing w:before="200" w:line="276" w:lineRule="exact"/>
        <w:ind w:left="720"/>
        <w:rPr>
          <w:sz w:val="20"/>
          <w:szCs w:val="20"/>
          <w:rtl/>
        </w:rPr>
      </w:pPr>
      <w:r w:rsidRPr="00073247">
        <w:rPr>
          <w:sz w:val="24"/>
          <w:szCs w:val="24"/>
          <w:rtl/>
        </w:rPr>
        <w:t>ונראה לי על פי מה ששמעתי בשם מחותני הגאון החסיד מוה"ר אליהו, שדקדק מה שאמרו בגמרא הביאו רש"י על פס' 'ובא אהרן', ופירש רש"י: 'כל הפרשה נאמרה על הסדר חוץ מפסוק הזה', ע"ש ברש"י. וקשה, וכי לא יוכל התורה לסדר הפסוקים כמו שסידרם רש"י, ורמב"ן דחק בזה. ותירץ הוא ז"ל על פי מדרש רבה</w:t>
      </w:r>
      <w:r>
        <w:rPr>
          <w:rFonts w:hint="cs"/>
          <w:sz w:val="24"/>
          <w:szCs w:val="24"/>
          <w:rtl/>
        </w:rPr>
        <w:t>...</w:t>
      </w:r>
      <w:r w:rsidRPr="00073247">
        <w:rPr>
          <w:sz w:val="24"/>
          <w:szCs w:val="24"/>
          <w:rtl/>
        </w:rPr>
        <w:t xml:space="preserve"> שדוקא שאר כהנים גדולים אסורים לכנוס לקדשי קדשים אלא ביום הכפורים, אבל אהרן היה מותר לכנוס בכל שעה ושעה רק שיכנוס בסדר העבודה שנאמר בפרשה זו. ולפי זה התורה דקדקה בסדר, שהרי הטעם שאמרו בגמרא דקרא ד'ובא אהרן' הוא שלא כסדר, דגמירי דה' טבילות וי' קדושין לכהן גדול ביום הכפורים ואי כסדר הכתוב לא משכחת אלא ג', וזה דוקא ביום הכפורים היה הלכה למשה מסיני דצריך ה' טבילות, אבל כשירצה אהרן לעבוד בשאר ימות השנה לא גמירי הלכתא, ואם כן באמת אינו אלא ג' ועובד כסדר האמור בפרשה. ואם כן הפסוק 'ובא אהרן' נכתב כסדר, משום אהרן בשעת ימות השנה.</w:t>
      </w:r>
      <w:r>
        <w:rPr>
          <w:sz w:val="24"/>
          <w:szCs w:val="24"/>
          <w:rtl/>
        </w:rPr>
        <w:tab/>
      </w:r>
      <w:r>
        <w:rPr>
          <w:sz w:val="24"/>
          <w:szCs w:val="24"/>
          <w:rtl/>
        </w:rPr>
        <w:tab/>
      </w:r>
      <w:r>
        <w:rPr>
          <w:rFonts w:hint="cs"/>
          <w:sz w:val="24"/>
          <w:szCs w:val="24"/>
          <w:rtl/>
        </w:rPr>
        <w:t xml:space="preserve">     </w:t>
      </w:r>
      <w:r>
        <w:rPr>
          <w:rFonts w:hint="cs"/>
          <w:sz w:val="20"/>
          <w:szCs w:val="20"/>
          <w:rtl/>
        </w:rPr>
        <w:t>[חכמת אדם סוף הלכות אבלות]</w:t>
      </w:r>
    </w:p>
    <w:p w:rsidR="009337C2" w:rsidRDefault="009337C2" w:rsidP="009337C2">
      <w:pPr>
        <w:spacing w:before="200" w:line="276" w:lineRule="exact"/>
        <w:ind w:firstLine="227"/>
        <w:rPr>
          <w:sz w:val="24"/>
          <w:szCs w:val="24"/>
          <w:rtl/>
        </w:rPr>
      </w:pPr>
      <w:r>
        <w:rPr>
          <w:rFonts w:hint="cs"/>
          <w:sz w:val="24"/>
          <w:szCs w:val="24"/>
          <w:rtl/>
        </w:rPr>
        <w:t xml:space="preserve">הגר"א טוען כי הכתובים משקפים את סדר העבודה בשעה שאהרן הכהן היה חפץ להיכנס לקודש הקדשים. אולם ביום הכיפורים קיים דין נוסף: "חמש טבילות ועשרה קידושים", וכדי שדין זה יתקיים צריך לשנות מן הסדר הכתוב בתורה </w:t>
      </w:r>
      <w:r>
        <w:rPr>
          <w:sz w:val="24"/>
          <w:szCs w:val="24"/>
          <w:rtl/>
        </w:rPr>
        <w:t>–</w:t>
      </w:r>
      <w:r>
        <w:rPr>
          <w:rFonts w:hint="cs"/>
          <w:sz w:val="24"/>
          <w:szCs w:val="24"/>
          <w:rtl/>
        </w:rPr>
        <w:t xml:space="preserve"> כדי שיהיו חמש לבישות בגדים במהלך עבודת היום, וכך הכהן הגדול יטבול חמש טבילות ויקדש את ידיו ורגליו בעשרה קידושים. מדבריו משתמע כי הדין היסודי אינו חובת טבילה בשעת החלפת הבגדים, אלא החובה לטבול חמש טבילות במהלך יום הכיפורים.</w:t>
      </w:r>
    </w:p>
    <w:p w:rsidR="009337C2" w:rsidRDefault="009337C2" w:rsidP="009337C2">
      <w:pPr>
        <w:spacing w:before="200" w:line="276" w:lineRule="exact"/>
        <w:ind w:firstLine="227"/>
        <w:rPr>
          <w:sz w:val="24"/>
          <w:szCs w:val="24"/>
          <w:rtl/>
        </w:rPr>
      </w:pPr>
      <w:r>
        <w:rPr>
          <w:rFonts w:hint="cs"/>
          <w:sz w:val="24"/>
          <w:szCs w:val="24"/>
          <w:rtl/>
        </w:rPr>
        <w:t>הרב אברהם סתיו מוסיף הסבר לשיטה זו:</w:t>
      </w:r>
    </w:p>
    <w:p w:rsidR="009337C2" w:rsidRPr="00583996" w:rsidRDefault="009337C2" w:rsidP="009337C2">
      <w:pPr>
        <w:spacing w:before="200" w:line="276" w:lineRule="exact"/>
        <w:ind w:left="720"/>
        <w:rPr>
          <w:sz w:val="24"/>
          <w:szCs w:val="24"/>
          <w:rtl/>
        </w:rPr>
      </w:pPr>
      <w:r>
        <w:rPr>
          <w:rFonts w:hint="cs"/>
          <w:sz w:val="24"/>
          <w:szCs w:val="24"/>
          <w:rtl/>
        </w:rPr>
        <w:t xml:space="preserve">אם נקבל את העמדה שלפיה יש קיום עצמאי למעשה הטבילה, מסתבר שלא מדובר בדין שקשור לתוספת טהרה הלכתית, אלא לתהליך של התקדשות וזיכוך רוחני. עבודת יום הכיפורים כולה נמשלה לטבילה אחת ארוכה, כדבריו המפורסמים של רבי עקיבא בסוף מסכת יומא </w:t>
      </w:r>
      <w:r>
        <w:rPr>
          <w:rFonts w:hint="cs"/>
          <w:sz w:val="20"/>
          <w:szCs w:val="20"/>
          <w:rtl/>
        </w:rPr>
        <w:t>(פה:)</w:t>
      </w:r>
      <w:r>
        <w:rPr>
          <w:rFonts w:hint="cs"/>
          <w:sz w:val="24"/>
          <w:szCs w:val="24"/>
          <w:rtl/>
        </w:rPr>
        <w:t xml:space="preserve">: "אשריכם ישראל לפני מי אתם מטהרים ומי מטהר אתכם", וטבילות הכהן הגדול הן הביטוי לכך. </w:t>
      </w:r>
      <w:r>
        <w:rPr>
          <w:sz w:val="20"/>
          <w:szCs w:val="20"/>
          <w:rtl/>
        </w:rPr>
        <w:tab/>
      </w:r>
      <w:r>
        <w:rPr>
          <w:sz w:val="20"/>
          <w:szCs w:val="20"/>
          <w:rtl/>
        </w:rPr>
        <w:tab/>
      </w:r>
      <w:r>
        <w:rPr>
          <w:sz w:val="20"/>
          <w:szCs w:val="20"/>
          <w:rtl/>
        </w:rPr>
        <w:tab/>
      </w:r>
      <w:r>
        <w:rPr>
          <w:sz w:val="20"/>
          <w:szCs w:val="20"/>
          <w:rtl/>
        </w:rPr>
        <w:tab/>
      </w:r>
      <w:r>
        <w:rPr>
          <w:sz w:val="20"/>
          <w:szCs w:val="20"/>
          <w:rtl/>
        </w:rPr>
        <w:tab/>
      </w:r>
      <w:r>
        <w:rPr>
          <w:rFonts w:hint="cs"/>
          <w:sz w:val="20"/>
          <w:szCs w:val="20"/>
          <w:rtl/>
        </w:rPr>
        <w:t xml:space="preserve">    [מבית לפרוכת עמ' 96]</w:t>
      </w:r>
      <w:r>
        <w:rPr>
          <w:rFonts w:hint="cs"/>
          <w:sz w:val="24"/>
          <w:szCs w:val="24"/>
          <w:rtl/>
        </w:rPr>
        <w:t xml:space="preserve"> </w:t>
      </w:r>
    </w:p>
    <w:p w:rsidR="009337C2" w:rsidRDefault="009337C2" w:rsidP="009337C2">
      <w:pPr>
        <w:spacing w:before="200" w:line="276" w:lineRule="exact"/>
        <w:ind w:firstLine="227"/>
        <w:rPr>
          <w:sz w:val="24"/>
          <w:szCs w:val="24"/>
          <w:rtl/>
        </w:rPr>
      </w:pPr>
      <w:r>
        <w:rPr>
          <w:rFonts w:hint="cs"/>
          <w:sz w:val="24"/>
          <w:szCs w:val="24"/>
          <w:rtl/>
        </w:rPr>
        <w:t xml:space="preserve">לפי דבריו, חובת הטבילה היא חלק מחובת ההיטהרות של יום הכיפורים </w:t>
      </w:r>
      <w:r>
        <w:rPr>
          <w:sz w:val="24"/>
          <w:szCs w:val="24"/>
          <w:rtl/>
        </w:rPr>
        <w:t>–</w:t>
      </w:r>
      <w:r>
        <w:rPr>
          <w:rFonts w:hint="cs"/>
          <w:sz w:val="24"/>
          <w:szCs w:val="24"/>
          <w:rtl/>
        </w:rPr>
        <w:t xml:space="preserve"> "כי ביום הזה יכפר עליכם לטהר אתכם, מכל חטאתיכם לפני ה' תטהרו".</w:t>
      </w:r>
    </w:p>
    <w:p w:rsidR="009337C2" w:rsidRDefault="009337C2" w:rsidP="009337C2">
      <w:pPr>
        <w:spacing w:before="200" w:line="276" w:lineRule="exact"/>
        <w:ind w:firstLine="227"/>
        <w:rPr>
          <w:sz w:val="24"/>
          <w:szCs w:val="24"/>
          <w:rtl/>
        </w:rPr>
      </w:pPr>
    </w:p>
    <w:p w:rsidR="009337C2" w:rsidRDefault="009337C2" w:rsidP="009337C2">
      <w:pPr>
        <w:spacing w:before="200" w:line="276" w:lineRule="exact"/>
        <w:ind w:firstLine="227"/>
        <w:rPr>
          <w:sz w:val="24"/>
          <w:szCs w:val="24"/>
          <w:rtl/>
        </w:rPr>
      </w:pPr>
      <w:r w:rsidRPr="00E7311D">
        <w:rPr>
          <w:rFonts w:hint="cs"/>
          <w:sz w:val="24"/>
          <w:szCs w:val="24"/>
          <w:u w:val="single"/>
          <w:rtl/>
        </w:rPr>
        <w:t>לסיכום</w:t>
      </w:r>
      <w:r>
        <w:rPr>
          <w:rFonts w:hint="cs"/>
          <w:sz w:val="24"/>
          <w:szCs w:val="24"/>
          <w:rtl/>
        </w:rPr>
        <w:t>: בדברינו ראינו שלוש דרכים בהבנת יסוד חובת טבילות הכהן הגדול ביום הכיפורים:</w:t>
      </w:r>
    </w:p>
    <w:p w:rsidR="009337C2" w:rsidRDefault="009337C2" w:rsidP="009337C2">
      <w:pPr>
        <w:pStyle w:val="a8"/>
        <w:numPr>
          <w:ilvl w:val="0"/>
          <w:numId w:val="4"/>
        </w:numPr>
        <w:spacing w:before="200" w:line="276" w:lineRule="exact"/>
        <w:rPr>
          <w:sz w:val="24"/>
          <w:szCs w:val="24"/>
        </w:rPr>
      </w:pPr>
      <w:r w:rsidRPr="00E7311D">
        <w:rPr>
          <w:rFonts w:hint="cs"/>
          <w:sz w:val="24"/>
          <w:szCs w:val="24"/>
          <w:rtl/>
        </w:rPr>
        <w:t>לפי פשט הכתובים,</w:t>
      </w:r>
      <w:r>
        <w:rPr>
          <w:rFonts w:hint="cs"/>
          <w:sz w:val="24"/>
          <w:szCs w:val="24"/>
          <w:rtl/>
        </w:rPr>
        <w:t xml:space="preserve"> חיוב הטבילות הוא מחמת בגדי הלבן, ומגמת הטבילות היא התקדשות</w:t>
      </w:r>
      <w:r w:rsidRPr="00E7311D">
        <w:rPr>
          <w:rFonts w:hint="cs"/>
          <w:sz w:val="24"/>
          <w:szCs w:val="24"/>
          <w:rtl/>
        </w:rPr>
        <w:t xml:space="preserve">. </w:t>
      </w:r>
    </w:p>
    <w:p w:rsidR="009337C2" w:rsidRPr="00E7311D" w:rsidRDefault="009337C2" w:rsidP="009337C2">
      <w:pPr>
        <w:pStyle w:val="a8"/>
        <w:numPr>
          <w:ilvl w:val="0"/>
          <w:numId w:val="4"/>
        </w:numPr>
        <w:spacing w:before="200" w:line="276" w:lineRule="exact"/>
        <w:rPr>
          <w:sz w:val="28"/>
          <w:szCs w:val="28"/>
          <w:rtl/>
        </w:rPr>
      </w:pPr>
      <w:r>
        <w:rPr>
          <w:rFonts w:hint="cs"/>
          <w:sz w:val="24"/>
          <w:szCs w:val="24"/>
          <w:rtl/>
        </w:rPr>
        <w:t>ל</w:t>
      </w:r>
      <w:r w:rsidRPr="00E7311D">
        <w:rPr>
          <w:rFonts w:hint="cs"/>
          <w:sz w:val="24"/>
          <w:szCs w:val="24"/>
          <w:rtl/>
        </w:rPr>
        <w:t>פי רש"</w:t>
      </w:r>
      <w:r>
        <w:rPr>
          <w:rFonts w:hint="cs"/>
          <w:sz w:val="24"/>
          <w:szCs w:val="24"/>
          <w:rtl/>
        </w:rPr>
        <w:t>י, חיוב הטבילות הוא מחמת השינוי מעבודה לעבודה, ומגמת הטבילות היא יצירת</w:t>
      </w:r>
      <w:r w:rsidRPr="00E7311D">
        <w:rPr>
          <w:rFonts w:hint="cs"/>
          <w:sz w:val="24"/>
          <w:szCs w:val="24"/>
          <w:rtl/>
        </w:rPr>
        <w:t xml:space="preserve"> חיץ בין העבודו</w:t>
      </w:r>
      <w:r>
        <w:rPr>
          <w:rFonts w:hint="cs"/>
          <w:sz w:val="24"/>
          <w:szCs w:val="24"/>
          <w:rtl/>
        </w:rPr>
        <w:t>ת השונות</w:t>
      </w:r>
      <w:r>
        <w:rPr>
          <w:rStyle w:val="a7"/>
          <w:sz w:val="24"/>
          <w:szCs w:val="24"/>
          <w:rtl/>
        </w:rPr>
        <w:footnoteReference w:id="51"/>
      </w:r>
      <w:r>
        <w:rPr>
          <w:rFonts w:hint="cs"/>
          <w:sz w:val="24"/>
          <w:szCs w:val="24"/>
          <w:rtl/>
        </w:rPr>
        <w:t>.</w:t>
      </w:r>
    </w:p>
    <w:p w:rsidR="009337C2" w:rsidRDefault="009337C2" w:rsidP="009337C2">
      <w:pPr>
        <w:pStyle w:val="a8"/>
        <w:numPr>
          <w:ilvl w:val="0"/>
          <w:numId w:val="4"/>
        </w:numPr>
        <w:spacing w:before="200" w:line="276" w:lineRule="exact"/>
        <w:rPr>
          <w:sz w:val="24"/>
          <w:szCs w:val="24"/>
          <w:rtl/>
        </w:rPr>
      </w:pPr>
      <w:r>
        <w:rPr>
          <w:rFonts w:hint="cs"/>
          <w:sz w:val="24"/>
          <w:szCs w:val="24"/>
          <w:rtl/>
        </w:rPr>
        <w:t xml:space="preserve">לפי הנראה מדברי הגר"א, יש דין עצמי של חמש טבילות. לשיטתו מסתבר שמגמת הטבילות היא היטהרות. </w:t>
      </w:r>
    </w:p>
    <w:p w:rsidR="009337C2" w:rsidRPr="006B07E9" w:rsidRDefault="009337C2" w:rsidP="009337C2">
      <w:pPr>
        <w:spacing w:before="60" w:after="60" w:line="276" w:lineRule="auto"/>
        <w:ind w:firstLine="266"/>
        <w:jc w:val="right"/>
        <w:rPr>
          <w:sz w:val="24"/>
          <w:szCs w:val="24"/>
        </w:rPr>
      </w:pPr>
      <w:r w:rsidRPr="006B07E9">
        <w:rPr>
          <w:rFonts w:hint="cs"/>
          <w:sz w:val="24"/>
          <w:szCs w:val="24"/>
          <w:u w:val="single"/>
          <w:rtl/>
        </w:rPr>
        <w:t>להערות ולתגובות</w:t>
      </w:r>
      <w:r w:rsidRPr="006B07E9">
        <w:rPr>
          <w:rFonts w:hint="cs"/>
          <w:sz w:val="24"/>
          <w:szCs w:val="24"/>
          <w:rtl/>
        </w:rPr>
        <w:t>: שלמה ליפשיץ</w:t>
      </w:r>
    </w:p>
    <w:p w:rsidR="009337C2" w:rsidRDefault="009337C2" w:rsidP="0096770B">
      <w:pPr>
        <w:spacing w:before="60" w:after="60" w:line="276" w:lineRule="auto"/>
        <w:ind w:firstLine="227"/>
        <w:jc w:val="right"/>
        <w:rPr>
          <w:sz w:val="30"/>
          <w:szCs w:val="30"/>
        </w:rPr>
      </w:pPr>
      <w:hyperlink r:id="rId14" w:history="1">
        <w:r w:rsidRPr="006B07E9">
          <w:rPr>
            <w:rStyle w:val="Hyperlink"/>
            <w:sz w:val="24"/>
            <w:szCs w:val="24"/>
          </w:rPr>
          <w:t>lshlomo26@gmail.com</w:t>
        </w:r>
      </w:hyperlink>
      <w:r>
        <w:rPr>
          <w:sz w:val="30"/>
          <w:szCs w:val="30"/>
        </w:rPr>
        <w:br w:type="page"/>
      </w:r>
    </w:p>
    <w:p w:rsidR="00C26E1A" w:rsidRPr="006A11EA" w:rsidRDefault="00C26E1A" w:rsidP="00C26E1A">
      <w:pPr>
        <w:keepNext/>
        <w:keepLines/>
        <w:spacing w:before="240" w:after="0" w:line="276" w:lineRule="exact"/>
        <w:jc w:val="center"/>
        <w:outlineLvl w:val="0"/>
        <w:rPr>
          <w:rFonts w:asciiTheme="majorHAnsi" w:eastAsiaTheme="majorEastAsia" w:hAnsiTheme="majorHAnsi"/>
          <w:bCs/>
          <w:sz w:val="36"/>
          <w:szCs w:val="36"/>
          <w:rtl/>
        </w:rPr>
      </w:pPr>
      <w:bookmarkStart w:id="50" w:name="_Toc76718411"/>
      <w:bookmarkStart w:id="51" w:name="_Toc76718816"/>
      <w:bookmarkStart w:id="52" w:name="_Toc76719156"/>
      <w:r w:rsidRPr="006A11EA">
        <w:rPr>
          <w:rFonts w:asciiTheme="majorHAnsi" w:eastAsiaTheme="majorEastAsia" w:hAnsiTheme="majorHAnsi" w:hint="cs"/>
          <w:bCs/>
          <w:sz w:val="40"/>
          <w:szCs w:val="40"/>
          <w:rtl/>
        </w:rPr>
        <w:lastRenderedPageBreak/>
        <w:t>יסודות יומא</w:t>
      </w:r>
      <w:bookmarkEnd w:id="50"/>
      <w:bookmarkEnd w:id="51"/>
      <w:bookmarkEnd w:id="52"/>
    </w:p>
    <w:p w:rsidR="00C26E1A" w:rsidRPr="006A11EA" w:rsidRDefault="00C26E1A" w:rsidP="00C26E1A">
      <w:pPr>
        <w:keepNext/>
        <w:keepLines/>
        <w:spacing w:before="240" w:after="0" w:line="276" w:lineRule="exact"/>
        <w:jc w:val="center"/>
        <w:outlineLvl w:val="0"/>
        <w:rPr>
          <w:rFonts w:asciiTheme="majorHAnsi" w:eastAsiaTheme="majorEastAsia" w:hAnsiTheme="majorHAnsi"/>
          <w:b/>
          <w:sz w:val="32"/>
          <w:szCs w:val="32"/>
          <w:rtl/>
        </w:rPr>
      </w:pPr>
      <w:bookmarkStart w:id="53" w:name="_Toc76719157"/>
      <w:r w:rsidRPr="006A11EA">
        <w:rPr>
          <w:rFonts w:asciiTheme="majorHAnsi" w:eastAsiaTheme="majorEastAsia" w:hAnsiTheme="majorHAnsi" w:hint="cs"/>
          <w:b/>
          <w:sz w:val="32"/>
          <w:szCs w:val="32"/>
          <w:rtl/>
        </w:rPr>
        <w:t>שיעור שמיני</w:t>
      </w:r>
      <w:bookmarkEnd w:id="53"/>
    </w:p>
    <w:p w:rsidR="00C26E1A" w:rsidRPr="006A11EA" w:rsidRDefault="00C26E1A" w:rsidP="00C26E1A">
      <w:pPr>
        <w:keepNext/>
        <w:keepLines/>
        <w:spacing w:before="240" w:after="0" w:line="276" w:lineRule="exact"/>
        <w:jc w:val="center"/>
        <w:outlineLvl w:val="0"/>
        <w:rPr>
          <w:rFonts w:asciiTheme="majorHAnsi" w:eastAsiaTheme="majorEastAsia" w:hAnsiTheme="majorHAnsi"/>
          <w:bCs/>
          <w:sz w:val="32"/>
          <w:szCs w:val="32"/>
          <w:rtl/>
        </w:rPr>
      </w:pPr>
      <w:bookmarkStart w:id="54" w:name="_Toc76718413"/>
      <w:bookmarkStart w:id="55" w:name="_Toc76718818"/>
      <w:bookmarkStart w:id="56" w:name="_Toc76719158"/>
      <w:r w:rsidRPr="006A11EA">
        <w:rPr>
          <w:rFonts w:asciiTheme="majorHAnsi" w:eastAsiaTheme="majorEastAsia" w:hAnsiTheme="majorHAnsi" w:hint="cs"/>
          <w:bCs/>
          <w:sz w:val="36"/>
          <w:szCs w:val="36"/>
          <w:rtl/>
        </w:rPr>
        <w:t>עשרה קידושים</w:t>
      </w:r>
      <w:bookmarkEnd w:id="54"/>
      <w:bookmarkEnd w:id="55"/>
      <w:bookmarkEnd w:id="56"/>
    </w:p>
    <w:p w:rsidR="00C26E1A" w:rsidRPr="006A11EA" w:rsidRDefault="00C26E1A" w:rsidP="00C26E1A">
      <w:pPr>
        <w:spacing w:line="276" w:lineRule="exact"/>
        <w:rPr>
          <w:highlight w:val="green"/>
          <w:rtl/>
        </w:rPr>
      </w:pPr>
      <w:r w:rsidRPr="006A11EA">
        <w:rPr>
          <w:noProof/>
          <w:highlight w:val="green"/>
          <w:rtl/>
        </w:rPr>
        <mc:AlternateContent>
          <mc:Choice Requires="wps">
            <w:drawing>
              <wp:anchor distT="0" distB="0" distL="114300" distR="114300" simplePos="0" relativeHeight="251681792" behindDoc="1" locked="0" layoutInCell="1" allowOverlap="1" wp14:anchorId="4A2EDDFC" wp14:editId="0306F2D4">
                <wp:simplePos x="0" y="0"/>
                <wp:positionH relativeFrom="margin">
                  <wp:align>center</wp:align>
                </wp:positionH>
                <wp:positionV relativeFrom="paragraph">
                  <wp:posOffset>213360</wp:posOffset>
                </wp:positionV>
                <wp:extent cx="5765800" cy="7856220"/>
                <wp:effectExtent l="0" t="0" r="25400" b="11430"/>
                <wp:wrapNone/>
                <wp:docPr id="14" name="מלבן 14"/>
                <wp:cNvGraphicFramePr/>
                <a:graphic xmlns:a="http://schemas.openxmlformats.org/drawingml/2006/main">
                  <a:graphicData uri="http://schemas.microsoft.com/office/word/2010/wordprocessingShape">
                    <wps:wsp>
                      <wps:cNvSpPr/>
                      <wps:spPr>
                        <a:xfrm>
                          <a:off x="0" y="0"/>
                          <a:ext cx="5765800" cy="785622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75DE5" id="מלבן 14" o:spid="_x0000_s1026" style="position:absolute;left:0;text-align:left;margin-left:0;margin-top:16.8pt;width:454pt;height:618.6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mliQIAAAMFAAAOAAAAZHJzL2Uyb0RvYy54bWysVNtuGjEQfa/Uf7D83iwgCAnKEiEiqkpR&#10;Eimp8my8XrDkW23DQv+i71X7WfxOjr0bcmmfqvJgPPZ4Zs6ZM3txudOKbIUP0pqS9k96lAjDbSXN&#10;qqRfHxafzigJkZmKKWtESfci0Mvpxw8XjZuIgV1bVQlPEMSESeNKuo7RTYoi8LXQLJxYJwwua+s1&#10;izD9qqg8axBdq2LQ650WjfWV85aLEHB61V7SaY5f14LH27oOIhJVUtQW8+rzukxrMb1gk5Vnbi15&#10;Vwb7hyo0kwZJj6GuWGRk4+UfobTk3gZbxxNudWHrWnKRMQBNv/cOzf2aOZGxgJzgjjSF/xeW32zv&#10;PJEVejekxDCNHh1+HX4efhx+ExyBn8aFCdzu3Z3vrIBtArurvU7/gEF2mdP9kVOxi4TjcDQ+HZ31&#10;QD3H3fhsdDoYZNaLl+fOh/hZWE3SpqQeTctcsu11iEgJ12eXlC1YJauFVCob+zBXnmwZ+gtZVLah&#10;RLEQcVjSRf4lDAjx5pkypAHk894oVcYgvFqxiK12oCKYFSVMraBoHn2u5c3r4FfLY9bhcDyYZ6Le&#10;J0lFX7GwbqvLEVq9aRkheiV1SUENfl2JyiRIIsu2g57Ib+lOu6Wt9miXt62Og+MLiSTXAHzHPIQL&#10;NBjGeIulVhYQbbejZG3997+dJ3/oCbeUNBgEwP+2YV6Axy8GSjvvD4dpcrIxHI3RPuJf3yxf35iN&#10;nlv0oo+xdzxvk39Uz6e1t/oRMztLWXHFDEfulujOmMd2QDH1XMxm2Q3T4li8NveOp+CJp0Tvw+6R&#10;edcJJ0JzN/Z5aNjknX5a3/TS2Nkm2lpmcb3wCpkkA5OWBdN9FdIov7az18u3a/oEAAD//wMAUEsD&#10;BBQABgAIAAAAIQDtBLe63QAAAAgBAAAPAAAAZHJzL2Rvd25yZXYueG1sTI/BTsMwEETvSPyDtUjc&#10;qN1WCiGNU1EkBBxAtKCe3XhJIux1iN0m/D3LCY47M5p9U64n78QJh9gF0jCfKRBIdbAdNRre3+6v&#10;chAxGbLGBUIN3xhhXZ2flaawYaQtnnapEVxCsTAa2pT6QspYt+hNnIUeib2PMHiT+BwaaQczcrl3&#10;cqFUJr3piD+0pse7FuvP3dFreNo0X/vHZr7NvHsdN/SgXp6D0vryYrpdgUg4pb8w/OIzOlTMdAhH&#10;slE4DTwkaVguMxDs3qichQPHFtcqB1mV8v+A6gcAAP//AwBQSwECLQAUAAYACAAAACEAtoM4kv4A&#10;AADhAQAAEwAAAAAAAAAAAAAAAAAAAAAAW0NvbnRlbnRfVHlwZXNdLnhtbFBLAQItABQABgAIAAAA&#10;IQA4/SH/1gAAAJQBAAALAAAAAAAAAAAAAAAAAC8BAABfcmVscy8ucmVsc1BLAQItABQABgAIAAAA&#10;IQCwfsmliQIAAAMFAAAOAAAAAAAAAAAAAAAAAC4CAABkcnMvZTJvRG9jLnhtbFBLAQItABQABgAI&#10;AAAAIQDtBLe63QAAAAgBAAAPAAAAAAAAAAAAAAAAAOMEAABkcnMvZG93bnJldi54bWxQSwUGAAAA&#10;AAQABADzAAAA7QUAAAAA&#10;" fillcolor="window" strokecolor="#4472c4" strokeweight="1.5pt">
                <w10:wrap anchorx="margin"/>
              </v:rect>
            </w:pict>
          </mc:Fallback>
        </mc:AlternateContent>
      </w:r>
    </w:p>
    <w:p w:rsidR="00C26E1A" w:rsidRPr="0083347A" w:rsidRDefault="00C26E1A" w:rsidP="00C26E1A">
      <w:pPr>
        <w:spacing w:line="276" w:lineRule="exact"/>
        <w:jc w:val="center"/>
        <w:rPr>
          <w:b/>
          <w:bCs/>
          <w:sz w:val="24"/>
          <w:szCs w:val="24"/>
          <w:rtl/>
        </w:rPr>
      </w:pPr>
      <w:r w:rsidRPr="0083347A">
        <w:rPr>
          <w:rFonts w:hint="cs"/>
          <w:b/>
          <w:bCs/>
          <w:sz w:val="24"/>
          <w:szCs w:val="24"/>
          <w:rtl/>
        </w:rPr>
        <w:t>מקורות</w:t>
      </w:r>
    </w:p>
    <w:p w:rsidR="00C26E1A" w:rsidRPr="0083347A" w:rsidRDefault="00C26E1A" w:rsidP="00C26E1A">
      <w:pPr>
        <w:spacing w:line="276" w:lineRule="exact"/>
        <w:rPr>
          <w:sz w:val="24"/>
          <w:szCs w:val="24"/>
          <w:rtl/>
        </w:rPr>
      </w:pPr>
      <w:r w:rsidRPr="0083347A">
        <w:rPr>
          <w:rFonts w:hint="cs"/>
          <w:sz w:val="24"/>
          <w:szCs w:val="24"/>
          <w:rtl/>
        </w:rPr>
        <w:t>א. ויקרא פרק טז פס' ג-ד; שם, פס' כג-כד</w:t>
      </w:r>
    </w:p>
    <w:p w:rsidR="00C26E1A" w:rsidRDefault="00C26E1A" w:rsidP="00C26E1A">
      <w:pPr>
        <w:spacing w:line="276" w:lineRule="exact"/>
        <w:rPr>
          <w:sz w:val="24"/>
          <w:szCs w:val="24"/>
          <w:rtl/>
        </w:rPr>
      </w:pPr>
      <w:r w:rsidRPr="0083347A">
        <w:rPr>
          <w:rFonts w:hint="cs"/>
          <w:sz w:val="24"/>
          <w:szCs w:val="24"/>
          <w:rtl/>
        </w:rPr>
        <w:t xml:space="preserve">ב. </w:t>
      </w:r>
      <w:r>
        <w:rPr>
          <w:rFonts w:hint="cs"/>
          <w:sz w:val="24"/>
          <w:szCs w:val="24"/>
          <w:rtl/>
        </w:rPr>
        <w:t>גמ' יומא לב.-: "תנו רבנן... חמיסר קידושין"</w:t>
      </w:r>
    </w:p>
    <w:p w:rsidR="00C26E1A" w:rsidRPr="0099491F" w:rsidRDefault="00C26E1A" w:rsidP="00C26E1A">
      <w:pPr>
        <w:spacing w:line="276" w:lineRule="exact"/>
        <w:rPr>
          <w:color w:val="FF0000"/>
          <w:sz w:val="24"/>
          <w:szCs w:val="24"/>
          <w:rtl/>
        </w:rPr>
      </w:pPr>
      <w:r>
        <w:rPr>
          <w:rFonts w:hint="cs"/>
          <w:sz w:val="24"/>
          <w:szCs w:val="24"/>
          <w:rtl/>
        </w:rPr>
        <w:t>ג. משנה יומא מג:; ירושלמי יומא פ"ד ה"ה "אמר ר' יונה... מקומן מעכב"</w:t>
      </w:r>
    </w:p>
    <w:p w:rsidR="00C26E1A" w:rsidRDefault="00C26E1A" w:rsidP="00C26E1A">
      <w:pPr>
        <w:spacing w:line="276" w:lineRule="exact"/>
        <w:rPr>
          <w:sz w:val="24"/>
          <w:szCs w:val="24"/>
          <w:rtl/>
        </w:rPr>
      </w:pPr>
      <w:r>
        <w:rPr>
          <w:rFonts w:hint="cs"/>
          <w:sz w:val="24"/>
          <w:szCs w:val="24"/>
          <w:rtl/>
        </w:rPr>
        <w:t>ד. תוספות ישנים לא: ד"ה פושט</w:t>
      </w:r>
      <w:r>
        <w:rPr>
          <w:sz w:val="24"/>
          <w:szCs w:val="24"/>
          <w:rtl/>
        </w:rPr>
        <w:tab/>
      </w:r>
    </w:p>
    <w:p w:rsidR="00C26E1A" w:rsidRDefault="00C26E1A" w:rsidP="00C26E1A">
      <w:pPr>
        <w:spacing w:line="276" w:lineRule="exact"/>
        <w:rPr>
          <w:sz w:val="24"/>
          <w:szCs w:val="24"/>
          <w:rtl/>
        </w:rPr>
      </w:pPr>
      <w:r>
        <w:rPr>
          <w:rFonts w:hint="cs"/>
          <w:sz w:val="24"/>
          <w:szCs w:val="24"/>
          <w:rtl/>
        </w:rPr>
        <w:t>ה. רמב"ן שמות פרק ל פס' יט</w:t>
      </w:r>
    </w:p>
    <w:p w:rsidR="00C26E1A" w:rsidRDefault="00C26E1A" w:rsidP="00C26E1A">
      <w:pPr>
        <w:spacing w:line="276" w:lineRule="exact"/>
        <w:rPr>
          <w:sz w:val="24"/>
          <w:szCs w:val="24"/>
          <w:rtl/>
        </w:rPr>
      </w:pPr>
      <w:r>
        <w:rPr>
          <w:rFonts w:hint="cs"/>
          <w:sz w:val="24"/>
          <w:szCs w:val="24"/>
          <w:rtl/>
        </w:rPr>
        <w:t>ו. רמב"ם הל' עבודת יום הכיפורים פ"ב ה"ג</w:t>
      </w:r>
    </w:p>
    <w:p w:rsidR="00C26E1A" w:rsidRDefault="00C26E1A" w:rsidP="00C26E1A">
      <w:pPr>
        <w:spacing w:line="276" w:lineRule="exact"/>
        <w:rPr>
          <w:sz w:val="24"/>
          <w:szCs w:val="24"/>
          <w:rtl/>
        </w:rPr>
      </w:pPr>
      <w:r>
        <w:rPr>
          <w:rFonts w:hint="cs"/>
          <w:sz w:val="24"/>
          <w:szCs w:val="24"/>
          <w:rtl/>
        </w:rPr>
        <w:t>ז. גמ' זבחים יט: "ושלא רחוץ... ושירות מעומד הוא"</w:t>
      </w:r>
    </w:p>
    <w:p w:rsidR="00C26E1A" w:rsidRDefault="00C26E1A" w:rsidP="00C26E1A">
      <w:pPr>
        <w:spacing w:line="276" w:lineRule="exact"/>
        <w:rPr>
          <w:sz w:val="24"/>
          <w:szCs w:val="24"/>
          <w:rtl/>
        </w:rPr>
      </w:pPr>
      <w:r>
        <w:rPr>
          <w:rFonts w:hint="cs"/>
          <w:sz w:val="24"/>
          <w:szCs w:val="24"/>
          <w:rtl/>
        </w:rPr>
        <w:t>ח. שפת אמת לב: ד"ה בגמ' לא</w:t>
      </w:r>
    </w:p>
    <w:p w:rsidR="00C26E1A" w:rsidRPr="00651530" w:rsidRDefault="00C26E1A" w:rsidP="00C26E1A">
      <w:pPr>
        <w:spacing w:line="276" w:lineRule="exact"/>
        <w:rPr>
          <w:sz w:val="24"/>
          <w:szCs w:val="24"/>
          <w:rtl/>
        </w:rPr>
      </w:pPr>
      <w:r>
        <w:rPr>
          <w:rFonts w:hint="cs"/>
          <w:sz w:val="24"/>
          <w:szCs w:val="24"/>
          <w:rtl/>
        </w:rPr>
        <w:t>ט. חידושי מרן רי"ז הלוי הל' עבודת יום הכיפורים פ"ב ה"ג</w:t>
      </w:r>
    </w:p>
    <w:p w:rsidR="00C26E1A" w:rsidRPr="00F1251B" w:rsidRDefault="00C26E1A" w:rsidP="00C26E1A">
      <w:pPr>
        <w:spacing w:line="276" w:lineRule="exact"/>
        <w:rPr>
          <w:rFonts w:ascii="FrankRuehl" w:hAnsi="FrankRuehl" w:cs="FrankRuehl"/>
          <w:sz w:val="24"/>
          <w:szCs w:val="24"/>
          <w:rtl/>
        </w:rPr>
      </w:pPr>
    </w:p>
    <w:p w:rsidR="00C26E1A"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ירושלמי יומא פ"ד ה"ה</w:t>
      </w:r>
    </w:p>
    <w:p w:rsidR="00C26E1A" w:rsidRPr="00AA2BBD" w:rsidRDefault="00C26E1A" w:rsidP="00C26E1A">
      <w:pPr>
        <w:spacing w:line="276" w:lineRule="exact"/>
        <w:rPr>
          <w:rFonts w:ascii="FrankRuehl" w:hAnsi="FrankRuehl" w:cs="FrankRuehl"/>
          <w:sz w:val="24"/>
          <w:szCs w:val="24"/>
          <w:rtl/>
        </w:rPr>
      </w:pPr>
      <w:r>
        <w:rPr>
          <w:rFonts w:ascii="FrankRuehl" w:hAnsi="FrankRuehl" w:cs="FrankRuehl"/>
          <w:sz w:val="24"/>
          <w:szCs w:val="24"/>
          <w:rtl/>
        </w:rPr>
        <w:t>אמר ר</w:t>
      </w:r>
      <w:r>
        <w:rPr>
          <w:rFonts w:ascii="FrankRuehl" w:hAnsi="FrankRuehl" w:cs="FrankRuehl" w:hint="cs"/>
          <w:sz w:val="24"/>
          <w:szCs w:val="24"/>
          <w:rtl/>
        </w:rPr>
        <w:t>בי</w:t>
      </w:r>
      <w:r w:rsidRPr="00AA2BBD">
        <w:rPr>
          <w:rFonts w:ascii="FrankRuehl" w:hAnsi="FrankRuehl" w:cs="FrankRuehl"/>
          <w:sz w:val="24"/>
          <w:szCs w:val="24"/>
          <w:rtl/>
        </w:rPr>
        <w:t xml:space="preserve"> יונה</w:t>
      </w:r>
      <w:r>
        <w:rPr>
          <w:rFonts w:ascii="FrankRuehl" w:hAnsi="FrankRuehl" w:cs="FrankRuehl" w:hint="cs"/>
          <w:sz w:val="24"/>
          <w:szCs w:val="24"/>
          <w:rtl/>
        </w:rPr>
        <w:t>:</w:t>
      </w:r>
      <w:r w:rsidRPr="00AA2BBD">
        <w:rPr>
          <w:rFonts w:ascii="FrankRuehl" w:hAnsi="FrankRuehl" w:cs="FrankRuehl"/>
          <w:sz w:val="24"/>
          <w:szCs w:val="24"/>
          <w:rtl/>
        </w:rPr>
        <w:t xml:space="preserve"> חוץ מקידוש הראשון</w:t>
      </w:r>
      <w:r>
        <w:rPr>
          <w:rFonts w:ascii="FrankRuehl" w:hAnsi="FrankRuehl" w:cs="FrankRuehl" w:hint="cs"/>
          <w:sz w:val="24"/>
          <w:szCs w:val="24"/>
          <w:rtl/>
        </w:rPr>
        <w:t>.</w:t>
      </w:r>
      <w:r>
        <w:rPr>
          <w:rFonts w:ascii="FrankRuehl" w:hAnsi="FrankRuehl" w:cs="FrankRuehl"/>
          <w:sz w:val="24"/>
          <w:szCs w:val="24"/>
          <w:rtl/>
        </w:rPr>
        <w:t xml:space="preserve"> א</w:t>
      </w:r>
      <w:r>
        <w:rPr>
          <w:rFonts w:ascii="FrankRuehl" w:hAnsi="FrankRuehl" w:cs="FrankRuehl" w:hint="cs"/>
          <w:sz w:val="24"/>
          <w:szCs w:val="24"/>
          <w:rtl/>
        </w:rPr>
        <w:t>מר רבי</w:t>
      </w:r>
      <w:r w:rsidRPr="00AA2BBD">
        <w:rPr>
          <w:rFonts w:ascii="FrankRuehl" w:hAnsi="FrankRuehl" w:cs="FrankRuehl"/>
          <w:sz w:val="24"/>
          <w:szCs w:val="24"/>
          <w:rtl/>
        </w:rPr>
        <w:t xml:space="preserve"> יוסה</w:t>
      </w:r>
      <w:r>
        <w:rPr>
          <w:rFonts w:ascii="FrankRuehl" w:hAnsi="FrankRuehl" w:cs="FrankRuehl" w:hint="cs"/>
          <w:sz w:val="24"/>
          <w:szCs w:val="24"/>
          <w:rtl/>
        </w:rPr>
        <w:t>:</w:t>
      </w:r>
      <w:r w:rsidRPr="00AA2BBD">
        <w:rPr>
          <w:rFonts w:ascii="FrankRuehl" w:hAnsi="FrankRuehl" w:cs="FrankRuehl"/>
          <w:sz w:val="24"/>
          <w:szCs w:val="24"/>
          <w:rtl/>
        </w:rPr>
        <w:t xml:space="preserve"> ואפילו מקידוש הראשון. מתניתא פליגא על רבי יונה</w:t>
      </w:r>
      <w:r>
        <w:rPr>
          <w:rFonts w:ascii="FrankRuehl" w:hAnsi="FrankRuehl" w:cs="FrankRuehl" w:hint="cs"/>
          <w:sz w:val="24"/>
          <w:szCs w:val="24"/>
          <w:rtl/>
        </w:rPr>
        <w:t>:</w:t>
      </w:r>
      <w:r w:rsidRPr="00AA2BBD">
        <w:rPr>
          <w:rFonts w:ascii="FrankRuehl" w:hAnsi="FrankRuehl" w:cs="FrankRuehl"/>
          <w:sz w:val="24"/>
          <w:szCs w:val="24"/>
          <w:rtl/>
        </w:rPr>
        <w:t xml:space="preserve"> כל הכלים שהיו במקדש היו ראויין לקידוש ידים ורגלים</w:t>
      </w:r>
      <w:r>
        <w:rPr>
          <w:rFonts w:ascii="FrankRuehl" w:hAnsi="FrankRuehl" w:cs="FrankRuehl" w:hint="cs"/>
          <w:sz w:val="24"/>
          <w:szCs w:val="24"/>
          <w:rtl/>
        </w:rPr>
        <w:t>.</w:t>
      </w:r>
      <w:r w:rsidRPr="00AA2BBD">
        <w:rPr>
          <w:rFonts w:ascii="FrankRuehl" w:hAnsi="FrankRuehl" w:cs="FrankRuehl"/>
          <w:sz w:val="24"/>
          <w:szCs w:val="24"/>
          <w:rtl/>
        </w:rPr>
        <w:t xml:space="preserve"> פתר לה חוץ מקידוש הראשון. מתניתא פליגא על רבי יוסה</w:t>
      </w:r>
      <w:r>
        <w:rPr>
          <w:rFonts w:ascii="FrankRuehl" w:hAnsi="FrankRuehl" w:cs="FrankRuehl" w:hint="cs"/>
          <w:sz w:val="24"/>
          <w:szCs w:val="24"/>
          <w:rtl/>
        </w:rPr>
        <w:t>:</w:t>
      </w:r>
      <w:r w:rsidRPr="00AA2BBD">
        <w:rPr>
          <w:rFonts w:ascii="FrankRuehl" w:hAnsi="FrankRuehl" w:cs="FrankRuehl"/>
          <w:sz w:val="24"/>
          <w:szCs w:val="24"/>
          <w:rtl/>
        </w:rPr>
        <w:t xml:space="preserve"> הכיור והכן מעכבין</w:t>
      </w:r>
      <w:r>
        <w:rPr>
          <w:rFonts w:ascii="FrankRuehl" w:hAnsi="FrankRuehl" w:cs="FrankRuehl" w:hint="cs"/>
          <w:sz w:val="24"/>
          <w:szCs w:val="24"/>
          <w:rtl/>
        </w:rPr>
        <w:t>.</w:t>
      </w:r>
      <w:r w:rsidRPr="00AA2BBD">
        <w:rPr>
          <w:rFonts w:ascii="FrankRuehl" w:hAnsi="FrankRuehl" w:cs="FrankRuehl"/>
          <w:sz w:val="24"/>
          <w:szCs w:val="24"/>
          <w:rtl/>
        </w:rPr>
        <w:t xml:space="preserve"> פתר לה מקומן מעכב</w:t>
      </w:r>
      <w:r>
        <w:rPr>
          <w:rFonts w:ascii="FrankRuehl" w:hAnsi="FrankRuehl" w:cs="FrankRuehl" w:hint="cs"/>
          <w:sz w:val="24"/>
          <w:szCs w:val="24"/>
          <w:rtl/>
        </w:rPr>
        <w:t>.</w:t>
      </w:r>
    </w:p>
    <w:p w:rsidR="00C26E1A" w:rsidRDefault="00C26E1A" w:rsidP="00C26E1A">
      <w:pPr>
        <w:spacing w:line="276" w:lineRule="exact"/>
        <w:rPr>
          <w:rFonts w:ascii="FrankRuehl" w:hAnsi="FrankRuehl" w:cs="FrankRuehl"/>
          <w:b/>
          <w:bCs/>
          <w:sz w:val="24"/>
          <w:szCs w:val="24"/>
          <w:rtl/>
        </w:rPr>
      </w:pPr>
    </w:p>
    <w:p w:rsidR="00C26E1A" w:rsidRPr="00F1251B" w:rsidRDefault="00C26E1A" w:rsidP="00C26E1A">
      <w:pPr>
        <w:spacing w:line="276" w:lineRule="exact"/>
        <w:rPr>
          <w:rFonts w:ascii="FrankRuehl" w:hAnsi="FrankRuehl" w:cs="FrankRuehl"/>
          <w:b/>
          <w:bCs/>
          <w:sz w:val="24"/>
          <w:szCs w:val="24"/>
          <w:rtl/>
        </w:rPr>
      </w:pPr>
      <w:r w:rsidRPr="00F1251B">
        <w:rPr>
          <w:rFonts w:ascii="FrankRuehl" w:hAnsi="FrankRuehl" w:cs="FrankRuehl" w:hint="cs"/>
          <w:b/>
          <w:bCs/>
          <w:sz w:val="24"/>
          <w:szCs w:val="24"/>
          <w:rtl/>
        </w:rPr>
        <w:t>רמב"ן שמות פרק ל פס' יט</w:t>
      </w:r>
    </w:p>
    <w:p w:rsidR="00C26E1A" w:rsidRDefault="00C26E1A" w:rsidP="00C26E1A">
      <w:pPr>
        <w:spacing w:line="276" w:lineRule="exact"/>
        <w:rPr>
          <w:rFonts w:ascii="FrankRuehl" w:hAnsi="FrankRuehl" w:cs="FrankRuehl"/>
          <w:sz w:val="24"/>
          <w:szCs w:val="24"/>
          <w:rtl/>
        </w:rPr>
      </w:pPr>
      <w:r w:rsidRPr="00F1251B">
        <w:rPr>
          <w:rFonts w:ascii="FrankRuehl" w:hAnsi="FrankRuehl" w:cs="FrankRuehl"/>
          <w:sz w:val="24"/>
          <w:szCs w:val="24"/>
          <w:rtl/>
        </w:rPr>
        <w:t>רחצו אהרן ובניו וגו' - הרחיצה הזו דרך כבוד שלמעלה, כי כל הקרב לשולחן המלכים לשרת וליגע בפת בג המלך וביין משתיו רוחץ ידיו בעבור היות הידים עסקניות. והוסיף כאן לרחוץ הרגלים בעבור היות הכהנים משרתים יחפים ויש ב</w:t>
      </w:r>
      <w:r>
        <w:rPr>
          <w:rFonts w:ascii="FrankRuehl" w:hAnsi="FrankRuehl" w:cs="FrankRuehl"/>
          <w:sz w:val="24"/>
          <w:szCs w:val="24"/>
          <w:rtl/>
        </w:rPr>
        <w:t>ני אדם שיש ברגליהם זוהמא וכיעור</w:t>
      </w:r>
      <w:r>
        <w:rPr>
          <w:rFonts w:ascii="FrankRuehl" w:hAnsi="FrankRuehl" w:cs="FrankRuehl" w:hint="cs"/>
          <w:sz w:val="24"/>
          <w:szCs w:val="24"/>
          <w:rtl/>
        </w:rPr>
        <w:t xml:space="preserve">. </w:t>
      </w:r>
      <w:r w:rsidRPr="00F1251B">
        <w:rPr>
          <w:rFonts w:ascii="FrankRuehl" w:hAnsi="FrankRuehl" w:cs="FrankRuehl"/>
          <w:sz w:val="24"/>
          <w:szCs w:val="24"/>
          <w:rtl/>
        </w:rPr>
        <w:t>ועל דרך האמת, בעבור היות ראש האדם וסופו הידים והרגלים, כי הידים למעלה מכל גופו בהגביהו אותן, והרגלים למטה, והם בצורת האדם רמז לעשר הספירות שיהיה כל גופו ביניהם</w:t>
      </w:r>
      <w:r>
        <w:rPr>
          <w:rFonts w:ascii="FrankRuehl" w:hAnsi="FrankRuehl" w:cs="FrankRuehl"/>
          <w:sz w:val="24"/>
          <w:szCs w:val="24"/>
          <w:rtl/>
        </w:rPr>
        <w:t xml:space="preserve">, וכמו שאמרו בספר יצירה </w:t>
      </w:r>
      <w:r w:rsidRPr="00F1251B">
        <w:rPr>
          <w:rFonts w:ascii="FrankRuehl" w:hAnsi="FrankRuehl" w:cs="FrankRuehl"/>
          <w:sz w:val="24"/>
          <w:szCs w:val="24"/>
          <w:rtl/>
        </w:rPr>
        <w:t>כרת לו ברית בין עשר אצבעות ידיו ובין עשר אצבעות רגליו במלת הלשון ובמלת המעור, לפיכך נצטוו משרתי עליון לרחוץ הידים והרגלים. והרחיצה הזאת לקדושה תרגם אותה אונקלוס, ומן הענין הזה תקנו רבותינו נטילת ידים לתפלה, שיתכוין לזה, כטעם נשיאות כפים. והרחיצה היא המצוה, אבל הכיור צוה בו להזמנה ואיננו מעכב ולא מצוה, כי ביום הכיפורים כהן גדול מקדש ידיו ורגליו מקיתון של ז</w:t>
      </w:r>
      <w:r>
        <w:rPr>
          <w:rFonts w:ascii="FrankRuehl" w:hAnsi="FrankRuehl" w:cs="FrankRuehl"/>
          <w:sz w:val="24"/>
          <w:szCs w:val="24"/>
          <w:rtl/>
        </w:rPr>
        <w:t>הב שהיו עושין לכבודו</w:t>
      </w:r>
      <w:r w:rsidRPr="00F1251B">
        <w:rPr>
          <w:rFonts w:ascii="FrankRuehl" w:hAnsi="FrankRuehl" w:cs="FrankRuehl"/>
          <w:sz w:val="24"/>
          <w:szCs w:val="24"/>
          <w:rtl/>
        </w:rPr>
        <w:t>, אבל למדנו מן הכיור כי צריכה כלי</w:t>
      </w:r>
      <w:r w:rsidRPr="00F1251B">
        <w:rPr>
          <w:rFonts w:ascii="FrankRuehl" w:hAnsi="FrankRuehl" w:cs="FrankRuehl" w:hint="cs"/>
          <w:sz w:val="24"/>
          <w:szCs w:val="24"/>
          <w:rtl/>
        </w:rPr>
        <w:t>.</w:t>
      </w:r>
    </w:p>
    <w:p w:rsidR="00C26E1A" w:rsidRDefault="00C26E1A" w:rsidP="00C26E1A">
      <w:pPr>
        <w:spacing w:line="276" w:lineRule="exact"/>
        <w:rPr>
          <w:rFonts w:ascii="FrankRuehl" w:hAnsi="FrankRuehl" w:cs="FrankRuehl"/>
          <w:sz w:val="24"/>
          <w:szCs w:val="24"/>
          <w:rtl/>
        </w:rPr>
      </w:pPr>
    </w:p>
    <w:p w:rsidR="00C26E1A"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שפת אמת לב: ד"ה בגמ' לא</w:t>
      </w:r>
    </w:p>
    <w:p w:rsidR="00C26E1A" w:rsidRDefault="00C26E1A" w:rsidP="00C26E1A">
      <w:pPr>
        <w:spacing w:line="276" w:lineRule="exact"/>
        <w:rPr>
          <w:rFonts w:ascii="FrankRuehl" w:hAnsi="FrankRuehl" w:cs="FrankRuehl"/>
          <w:sz w:val="24"/>
          <w:szCs w:val="24"/>
          <w:rtl/>
        </w:rPr>
      </w:pPr>
      <w:r>
        <w:rPr>
          <w:rFonts w:ascii="FrankRuehl" w:hAnsi="FrankRuehl" w:cs="FrankRuehl"/>
          <w:sz w:val="24"/>
          <w:szCs w:val="24"/>
          <w:rtl/>
        </w:rPr>
        <w:t>בגמ' לא ר</w:t>
      </w:r>
      <w:r>
        <w:rPr>
          <w:rFonts w:ascii="FrankRuehl" w:hAnsi="FrankRuehl" w:cs="FrankRuehl" w:hint="cs"/>
          <w:sz w:val="24"/>
          <w:szCs w:val="24"/>
          <w:rtl/>
        </w:rPr>
        <w:t>ב חסדא</w:t>
      </w:r>
      <w:r>
        <w:rPr>
          <w:rFonts w:ascii="FrankRuehl" w:hAnsi="FrankRuehl" w:cs="FrankRuehl"/>
          <w:sz w:val="24"/>
          <w:szCs w:val="24"/>
          <w:rtl/>
        </w:rPr>
        <w:t xml:space="preserve"> אית לי</w:t>
      </w:r>
      <w:r>
        <w:rPr>
          <w:rFonts w:ascii="FrankRuehl" w:hAnsi="FrankRuehl" w:cs="FrankRuehl" w:hint="cs"/>
          <w:sz w:val="24"/>
          <w:szCs w:val="24"/>
          <w:rtl/>
        </w:rPr>
        <w:t>ה</w:t>
      </w:r>
      <w:r w:rsidRPr="00F1251B">
        <w:rPr>
          <w:rFonts w:ascii="FrankRuehl" w:hAnsi="FrankRuehl" w:cs="FrankRuehl"/>
          <w:sz w:val="24"/>
          <w:szCs w:val="24"/>
          <w:rtl/>
        </w:rPr>
        <w:t xml:space="preserve"> דרב אחא כו'</w:t>
      </w:r>
      <w:r>
        <w:rPr>
          <w:rFonts w:ascii="FrankRuehl" w:hAnsi="FrankRuehl" w:cs="FrankRuehl" w:hint="cs"/>
          <w:sz w:val="24"/>
          <w:szCs w:val="24"/>
          <w:rtl/>
        </w:rPr>
        <w:t>,</w:t>
      </w:r>
      <w:r>
        <w:rPr>
          <w:rFonts w:ascii="FrankRuehl" w:hAnsi="FrankRuehl" w:cs="FrankRuehl"/>
          <w:sz w:val="24"/>
          <w:szCs w:val="24"/>
          <w:rtl/>
        </w:rPr>
        <w:t xml:space="preserve"> והשתא יש לעיין כמאן קיי</w:t>
      </w:r>
      <w:r>
        <w:rPr>
          <w:rFonts w:ascii="FrankRuehl" w:hAnsi="FrankRuehl" w:cs="FrankRuehl" w:hint="cs"/>
          <w:sz w:val="24"/>
          <w:szCs w:val="24"/>
          <w:rtl/>
        </w:rPr>
        <w:t>מא לן,</w:t>
      </w:r>
      <w:r w:rsidRPr="00F1251B">
        <w:rPr>
          <w:rFonts w:ascii="FrankRuehl" w:hAnsi="FrankRuehl" w:cs="FrankRuehl"/>
          <w:sz w:val="24"/>
          <w:szCs w:val="24"/>
          <w:rtl/>
        </w:rPr>
        <w:t xml:space="preserve"> דלר</w:t>
      </w:r>
      <w:r>
        <w:rPr>
          <w:rFonts w:ascii="FrankRuehl" w:hAnsi="FrankRuehl" w:cs="FrankRuehl" w:hint="cs"/>
          <w:sz w:val="24"/>
          <w:szCs w:val="24"/>
          <w:rtl/>
        </w:rPr>
        <w:t>ב חסדא יש לומר</w:t>
      </w:r>
      <w:r w:rsidRPr="00F1251B">
        <w:rPr>
          <w:rFonts w:ascii="FrankRuehl" w:hAnsi="FrankRuehl" w:cs="FrankRuehl"/>
          <w:sz w:val="24"/>
          <w:szCs w:val="24"/>
          <w:rtl/>
        </w:rPr>
        <w:t xml:space="preserve"> דבכל קידוש דכל ימות השנה לא הי' צריך להיות בבגדי קודש, ולרב אחא כל קידוש צ</w:t>
      </w:r>
      <w:r>
        <w:rPr>
          <w:rFonts w:ascii="FrankRuehl" w:hAnsi="FrankRuehl" w:cs="FrankRuehl" w:hint="cs"/>
          <w:sz w:val="24"/>
          <w:szCs w:val="24"/>
          <w:rtl/>
        </w:rPr>
        <w:t>ריך להיות</w:t>
      </w:r>
      <w:r w:rsidRPr="00F1251B">
        <w:rPr>
          <w:rFonts w:ascii="FrankRuehl" w:hAnsi="FrankRuehl" w:cs="FrankRuehl"/>
          <w:sz w:val="24"/>
          <w:szCs w:val="24"/>
          <w:rtl/>
        </w:rPr>
        <w:t xml:space="preserve"> בבגדי קודש, והרמב"ם בה</w:t>
      </w:r>
      <w:r>
        <w:rPr>
          <w:rFonts w:ascii="FrankRuehl" w:hAnsi="FrankRuehl" w:cs="FrankRuehl" w:hint="cs"/>
          <w:sz w:val="24"/>
          <w:szCs w:val="24"/>
          <w:rtl/>
        </w:rPr>
        <w:t>ל</w:t>
      </w:r>
      <w:r w:rsidRPr="00F1251B">
        <w:rPr>
          <w:rFonts w:ascii="FrankRuehl" w:hAnsi="FrankRuehl" w:cs="FrankRuehl"/>
          <w:sz w:val="24"/>
          <w:szCs w:val="24"/>
          <w:rtl/>
        </w:rPr>
        <w:t>' ביאת מקדש לא הביא זה הדין, אכן הביא הרמב"ם</w:t>
      </w:r>
      <w:r>
        <w:rPr>
          <w:rFonts w:ascii="FrankRuehl" w:hAnsi="FrankRuehl" w:cs="FrankRuehl"/>
          <w:sz w:val="24"/>
          <w:szCs w:val="24"/>
          <w:rtl/>
        </w:rPr>
        <w:t xml:space="preserve"> שם דצריך לקדש מעומד דקידוש י</w:t>
      </w:r>
      <w:r>
        <w:rPr>
          <w:rFonts w:ascii="FrankRuehl" w:hAnsi="FrankRuehl" w:cs="FrankRuehl" w:hint="cs"/>
          <w:sz w:val="24"/>
          <w:szCs w:val="24"/>
          <w:rtl/>
        </w:rPr>
        <w:t>דים ורגלים</w:t>
      </w:r>
      <w:r w:rsidRPr="00F1251B">
        <w:rPr>
          <w:rFonts w:ascii="FrankRuehl" w:hAnsi="FrankRuehl" w:cs="FrankRuehl"/>
          <w:sz w:val="24"/>
          <w:szCs w:val="24"/>
          <w:rtl/>
        </w:rPr>
        <w:t xml:space="preserve"> כעבודה היא דפסול מיושב</w:t>
      </w:r>
      <w:r>
        <w:rPr>
          <w:rFonts w:ascii="FrankRuehl" w:hAnsi="FrankRuehl" w:cs="FrankRuehl" w:hint="cs"/>
          <w:sz w:val="24"/>
          <w:szCs w:val="24"/>
          <w:rtl/>
        </w:rPr>
        <w:t>,</w:t>
      </w:r>
      <w:r w:rsidRPr="00F1251B">
        <w:rPr>
          <w:rFonts w:ascii="FrankRuehl" w:hAnsi="FrankRuehl" w:cs="FrankRuehl"/>
          <w:sz w:val="24"/>
          <w:szCs w:val="24"/>
          <w:rtl/>
        </w:rPr>
        <w:t xml:space="preserve"> והיא </w:t>
      </w:r>
      <w:r>
        <w:rPr>
          <w:rFonts w:ascii="FrankRuehl" w:hAnsi="FrankRuehl" w:cs="FrankRuehl"/>
          <w:sz w:val="24"/>
          <w:szCs w:val="24"/>
          <w:rtl/>
        </w:rPr>
        <w:t>מן הגמ' בזבחים (י"ט ב) ע"ש, וא</w:t>
      </w:r>
      <w:r>
        <w:rPr>
          <w:rFonts w:ascii="FrankRuehl" w:hAnsi="FrankRuehl" w:cs="FrankRuehl" w:hint="cs"/>
          <w:sz w:val="24"/>
          <w:szCs w:val="24"/>
          <w:rtl/>
        </w:rPr>
        <w:t>ם כן</w:t>
      </w:r>
      <w:r w:rsidRPr="00F1251B">
        <w:rPr>
          <w:rFonts w:ascii="FrankRuehl" w:hAnsi="FrankRuehl" w:cs="FrankRuehl"/>
          <w:sz w:val="24"/>
          <w:szCs w:val="24"/>
          <w:rtl/>
        </w:rPr>
        <w:t xml:space="preserve"> נראה דבלא</w:t>
      </w:r>
      <w:r>
        <w:rPr>
          <w:rFonts w:ascii="FrankRuehl" w:hAnsi="FrankRuehl" w:cs="FrankRuehl" w:hint="cs"/>
          <w:sz w:val="24"/>
          <w:szCs w:val="24"/>
          <w:rtl/>
        </w:rPr>
        <w:t>ו הכי</w:t>
      </w:r>
      <w:r w:rsidRPr="00F1251B">
        <w:rPr>
          <w:rFonts w:ascii="FrankRuehl" w:hAnsi="FrankRuehl" w:cs="FrankRuehl"/>
          <w:sz w:val="24"/>
          <w:szCs w:val="24"/>
          <w:rtl/>
        </w:rPr>
        <w:t xml:space="preserve"> צ</w:t>
      </w:r>
      <w:r>
        <w:rPr>
          <w:rFonts w:ascii="FrankRuehl" w:hAnsi="FrankRuehl" w:cs="FrankRuehl" w:hint="cs"/>
          <w:sz w:val="24"/>
          <w:szCs w:val="24"/>
          <w:rtl/>
        </w:rPr>
        <w:t>ריך לומר</w:t>
      </w:r>
      <w:r w:rsidRPr="00F1251B">
        <w:rPr>
          <w:rFonts w:ascii="FrankRuehl" w:hAnsi="FrankRuehl" w:cs="FrankRuehl"/>
          <w:sz w:val="24"/>
          <w:szCs w:val="24"/>
          <w:rtl/>
        </w:rPr>
        <w:t xml:space="preserve"> הקידוש כשהוא לבוש דעבודה פסו</w:t>
      </w:r>
      <w:r>
        <w:rPr>
          <w:rFonts w:ascii="FrankRuehl" w:hAnsi="FrankRuehl" w:cs="FrankRuehl"/>
          <w:sz w:val="24"/>
          <w:szCs w:val="24"/>
          <w:rtl/>
        </w:rPr>
        <w:t>לה במחוסר בגדים, ואין להקשות ע</w:t>
      </w:r>
      <w:r>
        <w:rPr>
          <w:rFonts w:ascii="FrankRuehl" w:hAnsi="FrankRuehl" w:cs="FrankRuehl" w:hint="cs"/>
          <w:sz w:val="24"/>
          <w:szCs w:val="24"/>
          <w:rtl/>
        </w:rPr>
        <w:t>ל זה</w:t>
      </w:r>
      <w:r>
        <w:rPr>
          <w:rFonts w:ascii="FrankRuehl" w:hAnsi="FrankRuehl" w:cs="FrankRuehl"/>
          <w:sz w:val="24"/>
          <w:szCs w:val="24"/>
          <w:rtl/>
        </w:rPr>
        <w:t xml:space="preserve"> מהני קידושי דיומא ביו</w:t>
      </w:r>
      <w:r>
        <w:rPr>
          <w:rFonts w:ascii="FrankRuehl" w:hAnsi="FrankRuehl" w:cs="FrankRuehl" w:hint="cs"/>
          <w:sz w:val="24"/>
          <w:szCs w:val="24"/>
          <w:rtl/>
        </w:rPr>
        <w:t>ם כיפור</w:t>
      </w:r>
      <w:r w:rsidRPr="00F1251B">
        <w:rPr>
          <w:rFonts w:ascii="FrankRuehl" w:hAnsi="FrankRuehl" w:cs="FrankRuehl"/>
          <w:sz w:val="24"/>
          <w:szCs w:val="24"/>
          <w:rtl/>
        </w:rPr>
        <w:t xml:space="preserve"> דאיכ</w:t>
      </w:r>
      <w:r>
        <w:rPr>
          <w:rFonts w:ascii="FrankRuehl" w:hAnsi="FrankRuehl" w:cs="FrankRuehl"/>
          <w:sz w:val="24"/>
          <w:szCs w:val="24"/>
          <w:rtl/>
        </w:rPr>
        <w:t>א מ</w:t>
      </w:r>
      <w:r>
        <w:rPr>
          <w:rFonts w:ascii="FrankRuehl" w:hAnsi="FrankRuehl" w:cs="FrankRuehl" w:hint="cs"/>
          <w:sz w:val="24"/>
          <w:szCs w:val="24"/>
          <w:rtl/>
        </w:rPr>
        <w:t>אן דאמר</w:t>
      </w:r>
      <w:r>
        <w:rPr>
          <w:rFonts w:ascii="FrankRuehl" w:hAnsi="FrankRuehl" w:cs="FrankRuehl"/>
          <w:sz w:val="24"/>
          <w:szCs w:val="24"/>
          <w:rtl/>
        </w:rPr>
        <w:t xml:space="preserve"> דהוי קודם </w:t>
      </w:r>
      <w:r w:rsidR="0096770B" w:rsidRPr="006A11EA">
        <w:rPr>
          <w:noProof/>
          <w:highlight w:val="green"/>
          <w:rtl/>
        </w:rPr>
        <w:lastRenderedPageBreak/>
        <mc:AlternateContent>
          <mc:Choice Requires="wps">
            <w:drawing>
              <wp:anchor distT="0" distB="0" distL="114300" distR="114300" simplePos="0" relativeHeight="251743232" behindDoc="1" locked="0" layoutInCell="1" allowOverlap="1" wp14:anchorId="2C2DCDF8" wp14:editId="74435BA9">
                <wp:simplePos x="0" y="0"/>
                <wp:positionH relativeFrom="margin">
                  <wp:align>center</wp:align>
                </wp:positionH>
                <wp:positionV relativeFrom="paragraph">
                  <wp:posOffset>-213360</wp:posOffset>
                </wp:positionV>
                <wp:extent cx="5765800" cy="7734300"/>
                <wp:effectExtent l="0" t="0" r="25400" b="19050"/>
                <wp:wrapNone/>
                <wp:docPr id="15" name="מלבן 15"/>
                <wp:cNvGraphicFramePr/>
                <a:graphic xmlns:a="http://schemas.openxmlformats.org/drawingml/2006/main">
                  <a:graphicData uri="http://schemas.microsoft.com/office/word/2010/wordprocessingShape">
                    <wps:wsp>
                      <wps:cNvSpPr/>
                      <wps:spPr>
                        <a:xfrm>
                          <a:off x="0" y="0"/>
                          <a:ext cx="5765800" cy="773430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73797" id="מלבן 15" o:spid="_x0000_s1026" style="position:absolute;left:0;text-align:left;margin-left:0;margin-top:-16.8pt;width:454pt;height:609pt;z-index:-251573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KKJhQIAAAMFAAAOAAAAZHJzL2Uyb0RvYy54bWysVMtuGjEU3VfqP1jeNwMEQoIyRIiIqlKU&#10;ICVV1sbjYUbyq7ZhoH/RfdV+Fr/TY8+EPJpVVRbG9+H7OPfcubzaKUm2wvna6Jz2T3qUCM1NUet1&#10;Tr8+LD6dU+ID0wWTRouc7oWnV9OPHy4bOxEDUxlZCEcQRPtJY3NahWAnWeZ5JRTzJ8YKDWNpnGIB&#10;oltnhWMNoiuZDXq9s6wxrrDOcOE9tNetkU5T/LIUPNyVpReByJyitpBOl85VPLPpJZusHbNVzbsy&#10;2D9UoVitkfQY6poFRjau/iuUqrkz3pThhBuVmbKsuUg9oJt+70039xWzIvUCcLw9wuT/X1h+u106&#10;UheY3YgSzRRmdPh1+Hn4cfhNoAI+jfUTuN3bpeskj2tsdlc6Ff/RBtklTPdHTMUuEA7laHw2Ou8B&#10;eg7beHw6PIWAONnzc+t8+CyMIvGSU4ehJSzZ9saH1vXJJWbzRtbFopYyCXs/l45sGeYLWhSmoUQy&#10;H6DM6SL9umyvnklNGrR80RvFyhiIV0oWcFUWUHi9poTJNRjNg0u1vHrt3Xp1zDocjgfz4XtJYtHX&#10;zFdtdSlCdGMTVQeQXtYqp4AGv+611NEqEm271iP4LdzxtjLFHuNypuWxt3xRI8kNGl4yB+KiGyxj&#10;uMNRSoMWTXejpDLu+3v66A8+wUpJg0VA+982zAng+EWDaRf94TBuThKGo/EAgntpWb206I2aG8yi&#10;j7W3PF2jf5BP2tIZ9YidncWsMDHNkbsFuhPmoV1QbD0Xs1lyw7ZYFm70veUxeMQpwvuwe2TOdsQJ&#10;4NyteVoaNnnDn9Y3vtRmtgmmrBO5nnEFKaOATUv07L4KcZVfysnr+ds1/QMAAP//AwBQSwMEFAAG&#10;AAgAAAAhAA8NyPbfAAAACQEAAA8AAABkcnMvZG93bnJldi54bWxMj8FOwzAQRO9I/IO1SNxaO7SK&#10;QohTUSQEHKhoqXp2Y+NE2OsQu034e5YTHHdmNPumWk3esbMZYhdQQjYXwAw2QXdoJezfH2cFsJgU&#10;auUCGgnfJsKqvryoVKnDiFtz3iXLqARjqSS0KfUl57FpjVdxHnqD5H2EwatE52C5HtRI5d7xGyFy&#10;7lWH9KFVvXloTfO5O3kJL2v7dXi22Tb37m1c45PYvAYh5fXVdH8HLJkp/YXhF5/QoSamYzihjsxJ&#10;oCFJwmyxyIGRfSsKUo6Uy4rlEnhd8f8L6h8AAAD//wMAUEsBAi0AFAAGAAgAAAAhALaDOJL+AAAA&#10;4QEAABMAAAAAAAAAAAAAAAAAAAAAAFtDb250ZW50X1R5cGVzXS54bWxQSwECLQAUAAYACAAAACEA&#10;OP0h/9YAAACUAQAACwAAAAAAAAAAAAAAAAAvAQAAX3JlbHMvLnJlbHNQSwECLQAUAAYACAAAACEA&#10;9tSiiYUCAAADBQAADgAAAAAAAAAAAAAAAAAuAgAAZHJzL2Uyb0RvYy54bWxQSwECLQAUAAYACAAA&#10;ACEADw3I9t8AAAAJAQAADwAAAAAAAAAAAAAAAADfBAAAZHJzL2Rvd25yZXYueG1sUEsFBgAAAAAE&#10;AAQA8wAAAOsFAAAAAA==&#10;" fillcolor="window" strokecolor="#4472c4" strokeweight="1.5pt">
                <w10:wrap anchorx="margin"/>
              </v:rect>
            </w:pict>
          </mc:Fallback>
        </mc:AlternateContent>
      </w:r>
      <w:r>
        <w:rPr>
          <w:rFonts w:ascii="FrankRuehl" w:hAnsi="FrankRuehl" w:cs="FrankRuehl"/>
          <w:sz w:val="24"/>
          <w:szCs w:val="24"/>
          <w:rtl/>
        </w:rPr>
        <w:t>לבישה, דהני גז</w:t>
      </w:r>
      <w:r>
        <w:rPr>
          <w:rFonts w:ascii="FrankRuehl" w:hAnsi="FrankRuehl" w:cs="FrankRuehl" w:hint="cs"/>
          <w:sz w:val="24"/>
          <w:szCs w:val="24"/>
          <w:rtl/>
        </w:rPr>
        <w:t>ירת הכתוב</w:t>
      </w:r>
      <w:r>
        <w:rPr>
          <w:rFonts w:ascii="FrankRuehl" w:hAnsi="FrankRuehl" w:cs="FrankRuehl"/>
          <w:sz w:val="24"/>
          <w:szCs w:val="24"/>
          <w:rtl/>
        </w:rPr>
        <w:t xml:space="preserve"> נינהו ואינן בכלל לשרת דכתי</w:t>
      </w:r>
      <w:r>
        <w:rPr>
          <w:rFonts w:ascii="FrankRuehl" w:hAnsi="FrankRuehl" w:cs="FrankRuehl" w:hint="cs"/>
          <w:sz w:val="24"/>
          <w:szCs w:val="24"/>
          <w:rtl/>
        </w:rPr>
        <w:t>ב</w:t>
      </w:r>
      <w:r w:rsidRPr="00F1251B">
        <w:rPr>
          <w:rFonts w:ascii="FrankRuehl" w:hAnsi="FrankRuehl" w:cs="FrankRuehl"/>
          <w:sz w:val="24"/>
          <w:szCs w:val="24"/>
          <w:rtl/>
        </w:rPr>
        <w:t xml:space="preserve"> גבי קידוש ידים ורגל</w:t>
      </w:r>
      <w:r>
        <w:rPr>
          <w:rFonts w:ascii="FrankRuehl" w:hAnsi="FrankRuehl" w:cs="FrankRuehl"/>
          <w:sz w:val="24"/>
          <w:szCs w:val="24"/>
          <w:rtl/>
        </w:rPr>
        <w:t>ים דכל השנה, אבל קידוש ראשון י</w:t>
      </w:r>
      <w:r>
        <w:rPr>
          <w:rFonts w:ascii="FrankRuehl" w:hAnsi="FrankRuehl" w:cs="FrankRuehl" w:hint="cs"/>
          <w:sz w:val="24"/>
          <w:szCs w:val="24"/>
          <w:rtl/>
        </w:rPr>
        <w:t>ש לומר</w:t>
      </w:r>
      <w:r w:rsidRPr="00F1251B">
        <w:rPr>
          <w:rFonts w:ascii="FrankRuehl" w:hAnsi="FrankRuehl" w:cs="FrankRuehl"/>
          <w:sz w:val="24"/>
          <w:szCs w:val="24"/>
          <w:rtl/>
        </w:rPr>
        <w:t xml:space="preserve"> דצריך להיות בבגדי</w:t>
      </w:r>
      <w:r>
        <w:rPr>
          <w:rFonts w:ascii="FrankRuehl" w:hAnsi="FrankRuehl" w:cs="FrankRuehl"/>
          <w:sz w:val="24"/>
          <w:szCs w:val="24"/>
          <w:rtl/>
        </w:rPr>
        <w:t xml:space="preserve"> כהונה אליבא דכו</w:t>
      </w:r>
      <w:r>
        <w:rPr>
          <w:rFonts w:ascii="FrankRuehl" w:hAnsi="FrankRuehl" w:cs="FrankRuehl" w:hint="cs"/>
          <w:sz w:val="24"/>
          <w:szCs w:val="24"/>
          <w:rtl/>
        </w:rPr>
        <w:t>לי עלמא,</w:t>
      </w:r>
      <w:r>
        <w:rPr>
          <w:rFonts w:ascii="FrankRuehl" w:hAnsi="FrankRuehl" w:cs="FrankRuehl"/>
          <w:sz w:val="24"/>
          <w:szCs w:val="24"/>
          <w:rtl/>
        </w:rPr>
        <w:t xml:space="preserve"> וצ"ע עוד בזה</w:t>
      </w:r>
      <w:r>
        <w:rPr>
          <w:rFonts w:ascii="FrankRuehl" w:hAnsi="FrankRuehl" w:cs="FrankRuehl" w:hint="cs"/>
          <w:sz w:val="24"/>
          <w:szCs w:val="24"/>
          <w:rtl/>
        </w:rPr>
        <w:t>.</w:t>
      </w:r>
    </w:p>
    <w:p w:rsidR="00C26E1A" w:rsidRDefault="00C26E1A" w:rsidP="00C26E1A">
      <w:pPr>
        <w:spacing w:line="276" w:lineRule="exact"/>
        <w:rPr>
          <w:rFonts w:ascii="FrankRuehl" w:hAnsi="FrankRuehl" w:cs="FrankRuehl"/>
          <w:sz w:val="24"/>
          <w:szCs w:val="24"/>
          <w:rtl/>
        </w:rPr>
      </w:pPr>
    </w:p>
    <w:p w:rsidR="00C26E1A" w:rsidRPr="00F1251B"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חידושי מרן רי"ז הלוי הל' עבודת יום הכיפורים פ"ב ה"ג</w:t>
      </w:r>
    </w:p>
    <w:p w:rsidR="00C26E1A" w:rsidRDefault="00C26E1A" w:rsidP="00C26E1A">
      <w:pPr>
        <w:spacing w:line="276" w:lineRule="exact"/>
        <w:rPr>
          <w:rFonts w:ascii="FrankRuehl" w:hAnsi="FrankRuehl" w:cs="FrankRuehl"/>
          <w:sz w:val="24"/>
          <w:szCs w:val="24"/>
          <w:rtl/>
        </w:rPr>
      </w:pPr>
      <w:r>
        <w:rPr>
          <w:rFonts w:ascii="FrankRuehl" w:hAnsi="FrankRuehl" w:cs="FrankRuehl" w:hint="cs"/>
          <w:sz w:val="24"/>
          <w:szCs w:val="24"/>
          <w:rtl/>
        </w:rPr>
        <w:t>פ"ב ה"ג: 'כל הטבילות האלו והקידושין כולן במקדש, שנאמר: ורחץ את בשרו במים במקום קדוש', עכ"ל. צ"ע למה הוצרך לענין הקידושין להביא מקרא ד'במקום קדוש' האמור גבי יום הכיפורים, והלא כל קידוש ידיים ורגליים אינו אלא בפנים, וכדתניא בזבחים דף כ' דאם קדש בכלי שרת בחוץ עבודתו פסולה, ופסק כן גם הרמב"ם בפ"ה מביאת מקדש ה"י, יעו"ש, ולמה לי בהנך קידושין דיום הכיפורים לטעמא אחרינא משום דכתיב בהו 'במקום קדוש', וצ"ע. אולם דברי הרמב"ם הם מפורשים להדיא בסוגיא דיומא דף ל"ב ע"ב: 'האי בטבילה כתיב, אם אינו ענין לטבילה דנפקא ליה מבגדי קדש הם, תנהו ענין לקידוש. וליכתביה רחמנא בלשון קידוש? הא קמ"ל דטבילה כקידוש, מה קידוש במקום קדוש אף טבילה במקום קדוש'. ופירש"י שם: 'מה קידוש במקום קדוש, כדכתיב בה במקום קדוש וכו', עכ"ל. הרי להדיא דעיקר הקרא ד'במקום קדוש' לענין קידוש כתיב, אלא דמקידוש ילפינן גם לטבילה שתהא במקום קדוש, והן הן דברי הרמב"ם, דהטבילות והקידושין חד דינא להו בזה דבעינן שיהיו במקדש משום דכתיב בהו 'במקום קדוש'. ועיין בפירוש הר"ח שם שגרס להיפוך, וז"ל: 'מאי טעמא כתב ורחץ את בשרו שהוא לשון טבילה, ללמד כי הקידוש כטבילה, מה טבילה במקום קדוש אף קידוש במקום קדוש', עכ"ל. וזה עוד יותר קשה, מאי צורך ללמוד קידוש מטבילה, הלא כל קידוש ידיים ורגליים אינו אלא בפנים בעזרה גם של שאר ימות השנה, וכמו שהבאנו, וצ"ע. והנראה ללמוד ולהוכיח מזה, דהנך קידושין של יום הכיפורים בעיקר דינם שניין הן מדין קידוש ידיים ורגליים של כל השנה, ושני דיני קידוש ידיים ורגליים הן בעצמותן: חדא דין קידוש ידיים ורגליים האמור בכל הכהנים, שהוא הכתוב בפרשת כי תשא, ושנית דין קידוש ידיים ורגליים של כהן גדול ביום הכיפורים האמור בפרשת אחרי מות בקרא ד'ורחץ את בשרו במים' דמפקינן ליה מקידוש ידיים ורגליים, כדהבאנו מהסוגיא דיומא. והנה בירושלמי פ"ד דיומא ה"ה, על הא דתנן 'בכל יום כהן גדול מקדש ידיו ורגליו מן הכיור והיום מן הקיתון של זהב', איתא וז"ל: 'אמר רבי יונה: חוץ מקידוש ראשון. אמר רבי יוסה: ואפילו מקידוש ראשון. מתניתא פליגא על רבי יונה: הכיור והכן מעכבין. פתר לה מקומן מעכב', ע"כ. והיינו דפליגי אם איכא מצוה בכיור או דכל כלי שרת רואיין לקדש מהן לכתחילה, אבל צ"ע מאי שנא קידוש ראשון משאר כל הקידושין, ואם נאמר מדאורייתא מצוה בכיור לכתחילה, אם כן גם שאר הקידושין ליבעו כיור לכתחילה, ולמה מקדש מקיתון של זהב. ועל כל פנים זה מבואר מהך ירושלמי דקידוש הראשון לחוד ושאר קידושין דינם לחוד. ובפשיטות צריך לומר הטעם בזה, משום דהנך קידושין של יום הכיפורים לא כתיבי כלל בפרשת כיור האמורה בכי תשא, רק נלמדין מהקרא ד'ורחץ את בשרו במים' האמור באחרי מות, ועל כן חלוקים הם בעיקר דינם מדין קידוש ידיים ורגליים של כל השנה שהוא קידוש ראשון ולא נאמר בהם מצותת כיור כלל. וכיון שכן יש לומר דגם לעניין זה שהקידוש צריך להיות בפנים בעזרה דוקא, דין קידוש ידיים ורגליים של כל השנה ודין קידוש ידיים ורגליים של כהן גדול ביום הכיפורים תרי דיני נינהו בזה, דשני מיני קידוש ידיים ורגליים הן בעצמותן, וכמו שנתבאר. וזהו שכתב הרמב"ם דזה שהקידושין צריכין להיות במקדש הוא מהקרא ד'במקום קדוש' וכללן ביחד עם הטבילות, דדין קידוש ידיים ורגליים זה של יום הכיפורים כמו הטבילה דתרווייהו בעו מקום קדוש, וכדהבאנו כן מהסוגיא דיומא.</w:t>
      </w:r>
    </w:p>
    <w:p w:rsidR="00C26E1A" w:rsidRPr="00F1251B" w:rsidRDefault="00C26E1A" w:rsidP="00C26E1A">
      <w:pPr>
        <w:spacing w:line="276" w:lineRule="exact"/>
        <w:rPr>
          <w:rFonts w:ascii="FrankRuehl" w:hAnsi="FrankRuehl" w:cs="FrankRuehl"/>
          <w:sz w:val="24"/>
          <w:szCs w:val="24"/>
          <w:rtl/>
        </w:rPr>
      </w:pPr>
      <w:r>
        <w:rPr>
          <w:rFonts w:ascii="FrankRuehl" w:hAnsi="FrankRuehl" w:cs="FrankRuehl" w:hint="cs"/>
          <w:sz w:val="24"/>
          <w:szCs w:val="24"/>
          <w:rtl/>
        </w:rPr>
        <w:t xml:space="preserve">אולם בתוס' ישנים יומא דף ל"א ע"ב מייתי דאין קידוש אלא בפנים, כדאמר: קידש בכלי שרת בחוץ או בכלי חול בפנים ועבד עבודתו פסולה', עכ"ל. הרי דסבירא ליה להתוס' דדין קידושין אלו של יום הכיפורים כמו קידוש ידיים ורגליים של כל השנה, ומקידוש ידיים ורגליים דכל השנה הוא דשמעינן להו שיהיו בפנים, וצ"ע מהסוגיא הנ"ל דבהדיא כתיב על הקידוש של יום הכיפורים שיהא במקום קדוש, ולגירסת הר"ח ילפינן קידוש מטבילה לענין זה, וצ"ע. </w:t>
      </w:r>
    </w:p>
    <w:p w:rsidR="00C26E1A" w:rsidRDefault="00C26E1A" w:rsidP="00C26E1A">
      <w:pPr>
        <w:spacing w:line="276" w:lineRule="exact"/>
        <w:rPr>
          <w:rFonts w:ascii="FrankRuehl" w:hAnsi="FrankRuehl" w:cs="FrankRuehl"/>
          <w:sz w:val="24"/>
          <w:szCs w:val="24"/>
          <w:rtl/>
        </w:rPr>
      </w:pPr>
    </w:p>
    <w:p w:rsidR="00C26E1A" w:rsidRPr="00F1251B" w:rsidRDefault="00C26E1A" w:rsidP="00C26E1A">
      <w:pPr>
        <w:spacing w:line="276" w:lineRule="exact"/>
        <w:rPr>
          <w:rFonts w:ascii="FrankRuehl" w:hAnsi="FrankRuehl" w:cs="FrankRuehl"/>
          <w:sz w:val="24"/>
          <w:szCs w:val="24"/>
        </w:rPr>
      </w:pPr>
    </w:p>
    <w:p w:rsidR="00C26E1A" w:rsidRPr="006A11EA" w:rsidRDefault="00C26E1A" w:rsidP="00C26E1A">
      <w:pPr>
        <w:spacing w:before="200" w:line="276" w:lineRule="exact"/>
        <w:ind w:firstLine="227"/>
        <w:rPr>
          <w:sz w:val="24"/>
          <w:szCs w:val="24"/>
          <w:rtl/>
        </w:rPr>
      </w:pPr>
      <w:r w:rsidRPr="006A11EA">
        <w:rPr>
          <w:rFonts w:hint="cs"/>
          <w:sz w:val="24"/>
          <w:szCs w:val="24"/>
          <w:rtl/>
        </w:rPr>
        <w:t>בשיעור הקודם עסקנו בטבילות המלוות את ע</w:t>
      </w:r>
      <w:r>
        <w:rPr>
          <w:rFonts w:hint="cs"/>
          <w:sz w:val="24"/>
          <w:szCs w:val="24"/>
          <w:rtl/>
        </w:rPr>
        <w:t>בודת יום הכיפורים. עיקרה של חובה זו</w:t>
      </w:r>
      <w:r w:rsidRPr="006A11EA">
        <w:rPr>
          <w:rFonts w:hint="cs"/>
          <w:sz w:val="24"/>
          <w:szCs w:val="24"/>
          <w:rtl/>
        </w:rPr>
        <w:t xml:space="preserve"> מפורשת בתורה, בתחילת פרשיית סדר העבודה ובסופה:</w:t>
      </w:r>
    </w:p>
    <w:p w:rsidR="00C26E1A" w:rsidRPr="006A11EA" w:rsidRDefault="00C26E1A" w:rsidP="00C26E1A">
      <w:pPr>
        <w:spacing w:before="200" w:line="276" w:lineRule="exact"/>
        <w:ind w:left="720"/>
        <w:rPr>
          <w:sz w:val="20"/>
          <w:szCs w:val="20"/>
          <w:rtl/>
        </w:rPr>
      </w:pPr>
      <w:r w:rsidRPr="006A11EA">
        <w:rPr>
          <w:sz w:val="24"/>
          <w:szCs w:val="24"/>
          <w:rtl/>
        </w:rPr>
        <w:t>כתנת בד קדש ילבש ומכנסי בד יהיו על בשרו ובאבנט בד יחגר ובמצנפת בד יצנף</w:t>
      </w:r>
      <w:r w:rsidRPr="006A11EA">
        <w:rPr>
          <w:rFonts w:hint="cs"/>
          <w:sz w:val="24"/>
          <w:szCs w:val="24"/>
          <w:rtl/>
        </w:rPr>
        <w:t>,</w:t>
      </w:r>
      <w:r w:rsidRPr="006A11EA">
        <w:rPr>
          <w:sz w:val="24"/>
          <w:szCs w:val="24"/>
          <w:rtl/>
        </w:rPr>
        <w:t xml:space="preserve"> בגדי קדש הם </w:t>
      </w:r>
      <w:r w:rsidRPr="006A11EA">
        <w:rPr>
          <w:b/>
          <w:bCs/>
          <w:sz w:val="24"/>
          <w:szCs w:val="24"/>
          <w:rtl/>
        </w:rPr>
        <w:t>ורחץ במים את בשרו ולבשם</w:t>
      </w:r>
      <w:r w:rsidRPr="006A11EA">
        <w:rPr>
          <w:rFonts w:hint="cs"/>
          <w:sz w:val="24"/>
          <w:szCs w:val="24"/>
          <w:rtl/>
        </w:rPr>
        <w:t>...</w:t>
      </w:r>
      <w:r w:rsidRPr="006A11EA">
        <w:rPr>
          <w:sz w:val="24"/>
          <w:szCs w:val="24"/>
          <w:rtl/>
        </w:rPr>
        <w:t xml:space="preserve">ובא אהרן אל אהל מועד ופשט את בגדי הבד אשר </w:t>
      </w:r>
      <w:r w:rsidRPr="006A11EA">
        <w:rPr>
          <w:sz w:val="24"/>
          <w:szCs w:val="24"/>
          <w:rtl/>
        </w:rPr>
        <w:lastRenderedPageBreak/>
        <w:t>לבש בבאו אל הקדש</w:t>
      </w:r>
      <w:r w:rsidRPr="006A11EA">
        <w:rPr>
          <w:rFonts w:hint="cs"/>
          <w:sz w:val="24"/>
          <w:szCs w:val="24"/>
          <w:rtl/>
        </w:rPr>
        <w:t>,</w:t>
      </w:r>
      <w:r w:rsidRPr="006A11EA">
        <w:rPr>
          <w:sz w:val="24"/>
          <w:szCs w:val="24"/>
          <w:rtl/>
        </w:rPr>
        <w:t xml:space="preserve"> והניחם שם</w:t>
      </w:r>
      <w:r w:rsidRPr="006A11EA">
        <w:rPr>
          <w:rFonts w:hint="cs"/>
          <w:sz w:val="24"/>
          <w:szCs w:val="24"/>
          <w:rtl/>
        </w:rPr>
        <w:t xml:space="preserve">. </w:t>
      </w:r>
      <w:r w:rsidRPr="006A11EA">
        <w:rPr>
          <w:b/>
          <w:bCs/>
          <w:sz w:val="24"/>
          <w:szCs w:val="24"/>
          <w:rtl/>
        </w:rPr>
        <w:t>ורחץ את בשרו במים במקום קדוש</w:t>
      </w:r>
      <w:r w:rsidRPr="006A11EA">
        <w:rPr>
          <w:sz w:val="24"/>
          <w:szCs w:val="24"/>
          <w:rtl/>
        </w:rPr>
        <w:t xml:space="preserve"> ולבש את בגדיו</w:t>
      </w:r>
      <w:r w:rsidRPr="006A11EA">
        <w:rPr>
          <w:rFonts w:hint="cs"/>
          <w:sz w:val="24"/>
          <w:szCs w:val="24"/>
          <w:rtl/>
        </w:rPr>
        <w:t>,</w:t>
      </w:r>
      <w:r w:rsidRPr="006A11EA">
        <w:rPr>
          <w:sz w:val="24"/>
          <w:szCs w:val="24"/>
          <w:rtl/>
        </w:rPr>
        <w:t xml:space="preserve"> ויצא ועשה את עלתו ואת עלת העם וכפר בעדו ובעד העם</w:t>
      </w:r>
      <w:r w:rsidRPr="006A11EA">
        <w:rPr>
          <w:rFonts w:hint="cs"/>
          <w:sz w:val="24"/>
          <w:szCs w:val="24"/>
          <w:rtl/>
        </w:rPr>
        <w:t>.</w:t>
      </w:r>
      <w:r w:rsidRPr="006A11EA">
        <w:rPr>
          <w:sz w:val="24"/>
          <w:szCs w:val="24"/>
          <w:rtl/>
        </w:rPr>
        <w:tab/>
      </w:r>
      <w:r w:rsidRPr="006A11EA">
        <w:rPr>
          <w:sz w:val="24"/>
          <w:szCs w:val="24"/>
          <w:rtl/>
        </w:rPr>
        <w:tab/>
      </w:r>
      <w:r w:rsidRPr="006A11EA">
        <w:rPr>
          <w:rFonts w:hint="cs"/>
          <w:sz w:val="24"/>
          <w:szCs w:val="24"/>
          <w:rtl/>
        </w:rPr>
        <w:t xml:space="preserve"> </w:t>
      </w:r>
      <w:r w:rsidRPr="006A11EA">
        <w:rPr>
          <w:rFonts w:hint="cs"/>
          <w:sz w:val="20"/>
          <w:szCs w:val="20"/>
          <w:rtl/>
        </w:rPr>
        <w:t>[</w:t>
      </w:r>
      <w:r>
        <w:rPr>
          <w:rFonts w:hint="cs"/>
          <w:sz w:val="20"/>
          <w:szCs w:val="20"/>
          <w:rtl/>
        </w:rPr>
        <w:t xml:space="preserve">ויקרא </w:t>
      </w:r>
      <w:r w:rsidRPr="006A11EA">
        <w:rPr>
          <w:rFonts w:hint="cs"/>
          <w:sz w:val="20"/>
          <w:szCs w:val="20"/>
          <w:rtl/>
        </w:rPr>
        <w:t>טז, ג; שם, כג-כד]</w:t>
      </w:r>
    </w:p>
    <w:p w:rsidR="00C26E1A" w:rsidRDefault="00C26E1A" w:rsidP="00C26E1A">
      <w:pPr>
        <w:spacing w:before="200" w:line="276" w:lineRule="exact"/>
        <w:ind w:firstLine="227"/>
        <w:rPr>
          <w:sz w:val="24"/>
          <w:szCs w:val="24"/>
          <w:rtl/>
        </w:rPr>
      </w:pPr>
      <w:r>
        <w:rPr>
          <w:rFonts w:hint="cs"/>
          <w:sz w:val="24"/>
          <w:szCs w:val="24"/>
          <w:rtl/>
        </w:rPr>
        <w:t xml:space="preserve">אמנם, כפי שראינו בשיעור שעבר, חז"ל </w:t>
      </w:r>
      <w:r>
        <w:rPr>
          <w:rFonts w:hint="cs"/>
          <w:sz w:val="20"/>
          <w:szCs w:val="20"/>
          <w:rtl/>
        </w:rPr>
        <w:t>[יומא לב.]</w:t>
      </w:r>
      <w:r>
        <w:rPr>
          <w:rFonts w:hint="cs"/>
          <w:sz w:val="24"/>
          <w:szCs w:val="24"/>
          <w:rtl/>
        </w:rPr>
        <w:t xml:space="preserve"> לומדים מדרשה ש"כל המשנה מעבודה לעבודה טעון טבילה", וכך הכהן הגדול טובל ביום הכיפורים חמש טבילות. בנוסף, חז"ל לומדים מדרשה כי לפני ואחרי כל טבילה הכהן הגדול מקדש ידיו ורגליו:</w:t>
      </w:r>
    </w:p>
    <w:p w:rsidR="00C26E1A" w:rsidRPr="00076CE7" w:rsidRDefault="00C26E1A" w:rsidP="00C26E1A">
      <w:pPr>
        <w:spacing w:before="200" w:line="276" w:lineRule="exact"/>
        <w:ind w:left="720"/>
        <w:rPr>
          <w:sz w:val="24"/>
          <w:szCs w:val="24"/>
          <w:rtl/>
        </w:rPr>
      </w:pPr>
      <w:r w:rsidRPr="006A11EA">
        <w:rPr>
          <w:sz w:val="24"/>
          <w:szCs w:val="24"/>
          <w:rtl/>
        </w:rPr>
        <w:t>אמר רבי</w:t>
      </w:r>
      <w:r>
        <w:rPr>
          <w:rFonts w:hint="cs"/>
          <w:sz w:val="24"/>
          <w:szCs w:val="24"/>
          <w:rtl/>
        </w:rPr>
        <w:t xml:space="preserve">: </w:t>
      </w:r>
      <w:r w:rsidRPr="00076CE7">
        <w:rPr>
          <w:sz w:val="24"/>
          <w:szCs w:val="24"/>
          <w:rtl/>
        </w:rPr>
        <w:t>מנין לחמש טבילות ועשרה קידושין שטובל כהן גדול ומקדש בו ביום</w:t>
      </w:r>
      <w:r>
        <w:rPr>
          <w:rFonts w:hint="cs"/>
          <w:sz w:val="24"/>
          <w:szCs w:val="24"/>
          <w:rtl/>
        </w:rPr>
        <w:t>?</w:t>
      </w:r>
      <w:r w:rsidRPr="00076CE7">
        <w:rPr>
          <w:sz w:val="24"/>
          <w:szCs w:val="24"/>
          <w:rtl/>
        </w:rPr>
        <w:t xml:space="preserve"> שנאמר </w:t>
      </w:r>
      <w:r>
        <w:rPr>
          <w:rFonts w:hint="cs"/>
          <w:sz w:val="24"/>
          <w:szCs w:val="24"/>
          <w:rtl/>
        </w:rPr>
        <w:t>'</w:t>
      </w:r>
      <w:r w:rsidRPr="00076CE7">
        <w:rPr>
          <w:sz w:val="24"/>
          <w:szCs w:val="24"/>
          <w:rtl/>
        </w:rPr>
        <w:t>כתנת בד קדש</w:t>
      </w:r>
      <w:r>
        <w:rPr>
          <w:rFonts w:hint="cs"/>
          <w:sz w:val="24"/>
          <w:szCs w:val="24"/>
          <w:rtl/>
        </w:rPr>
        <w:t xml:space="preserve"> ילבש...</w:t>
      </w:r>
      <w:r w:rsidRPr="00076CE7">
        <w:rPr>
          <w:sz w:val="24"/>
          <w:szCs w:val="24"/>
          <w:rtl/>
        </w:rPr>
        <w:t xml:space="preserve"> בגדי קדש הם ורחץ במים את בשרו ולבשם</w:t>
      </w:r>
      <w:r>
        <w:rPr>
          <w:rFonts w:hint="cs"/>
          <w:sz w:val="24"/>
          <w:szCs w:val="24"/>
          <w:rtl/>
        </w:rPr>
        <w:t>',</w:t>
      </w:r>
      <w:r w:rsidRPr="00076CE7">
        <w:rPr>
          <w:sz w:val="24"/>
          <w:szCs w:val="24"/>
          <w:rtl/>
        </w:rPr>
        <w:t xml:space="preserve"> הא למדת שכל המשנה מעבודה לעבודה טעון טבילה</w:t>
      </w:r>
      <w:r w:rsidRPr="00076CE7">
        <w:rPr>
          <w:rFonts w:hint="cs"/>
          <w:sz w:val="24"/>
          <w:szCs w:val="24"/>
          <w:rtl/>
        </w:rPr>
        <w:t>.</w:t>
      </w:r>
      <w:r>
        <w:rPr>
          <w:rFonts w:hint="cs"/>
          <w:sz w:val="24"/>
          <w:szCs w:val="24"/>
          <w:rtl/>
        </w:rPr>
        <w:t>..</w:t>
      </w:r>
      <w:r w:rsidRPr="006A11EA">
        <w:rPr>
          <w:sz w:val="24"/>
          <w:szCs w:val="24"/>
          <w:rtl/>
        </w:rPr>
        <w:t xml:space="preserve"> ומנין שכל טבילה וטבילה צריכה שני קידושין</w:t>
      </w:r>
      <w:r>
        <w:rPr>
          <w:rFonts w:hint="cs"/>
          <w:sz w:val="24"/>
          <w:szCs w:val="24"/>
          <w:rtl/>
        </w:rPr>
        <w:t>?</w:t>
      </w:r>
      <w:r w:rsidRPr="006A11EA">
        <w:rPr>
          <w:sz w:val="24"/>
          <w:szCs w:val="24"/>
          <w:rtl/>
        </w:rPr>
        <w:t xml:space="preserve"> תלמוד לומר </w:t>
      </w:r>
      <w:r>
        <w:rPr>
          <w:rFonts w:hint="cs"/>
          <w:sz w:val="24"/>
          <w:szCs w:val="24"/>
          <w:rtl/>
        </w:rPr>
        <w:t>'</w:t>
      </w:r>
      <w:r w:rsidRPr="006A11EA">
        <w:rPr>
          <w:sz w:val="24"/>
          <w:szCs w:val="24"/>
          <w:rtl/>
        </w:rPr>
        <w:t>ופשט ורחץ</w:t>
      </w:r>
      <w:r>
        <w:rPr>
          <w:rFonts w:hint="cs"/>
          <w:sz w:val="24"/>
          <w:szCs w:val="24"/>
          <w:rtl/>
        </w:rPr>
        <w:t>,</w:t>
      </w:r>
      <w:r w:rsidRPr="006A11EA">
        <w:rPr>
          <w:sz w:val="24"/>
          <w:szCs w:val="24"/>
          <w:rtl/>
        </w:rPr>
        <w:t xml:space="preserve"> ורחץ ולבש</w:t>
      </w:r>
      <w:r>
        <w:rPr>
          <w:rFonts w:hint="cs"/>
          <w:sz w:val="24"/>
          <w:szCs w:val="24"/>
          <w:rtl/>
        </w:rPr>
        <w:t>'.</w:t>
      </w:r>
      <w:r w:rsidRPr="006A11EA">
        <w:rPr>
          <w:sz w:val="24"/>
          <w:szCs w:val="24"/>
          <w:rtl/>
        </w:rPr>
        <w:t xml:space="preserve"> רבי אלעזר ברבי שמעון אומר</w:t>
      </w:r>
      <w:r>
        <w:rPr>
          <w:rFonts w:hint="cs"/>
          <w:sz w:val="24"/>
          <w:szCs w:val="24"/>
          <w:rtl/>
        </w:rPr>
        <w:t>:</w:t>
      </w:r>
      <w:r w:rsidRPr="006A11EA">
        <w:rPr>
          <w:sz w:val="24"/>
          <w:szCs w:val="24"/>
          <w:rtl/>
        </w:rPr>
        <w:t xml:space="preserve"> קל וחומר</w:t>
      </w:r>
      <w:r>
        <w:rPr>
          <w:rFonts w:hint="cs"/>
          <w:sz w:val="24"/>
          <w:szCs w:val="24"/>
          <w:rtl/>
        </w:rPr>
        <w:t>,</w:t>
      </w:r>
      <w:r w:rsidRPr="006A11EA">
        <w:rPr>
          <w:sz w:val="24"/>
          <w:szCs w:val="24"/>
          <w:rtl/>
        </w:rPr>
        <w:t xml:space="preserve"> ומה במקום שאין טעון טבילה טעון קידוש</w:t>
      </w:r>
      <w:r>
        <w:rPr>
          <w:rFonts w:hint="cs"/>
          <w:sz w:val="24"/>
          <w:szCs w:val="24"/>
          <w:rtl/>
        </w:rPr>
        <w:t>,</w:t>
      </w:r>
      <w:r w:rsidRPr="006A11EA">
        <w:rPr>
          <w:sz w:val="24"/>
          <w:szCs w:val="24"/>
          <w:rtl/>
        </w:rPr>
        <w:t xml:space="preserve"> מקום שטעון טבילה אינו דין שטעון קידוש</w:t>
      </w:r>
      <w:r>
        <w:rPr>
          <w:rFonts w:hint="cs"/>
          <w:sz w:val="24"/>
          <w:szCs w:val="24"/>
          <w:rtl/>
        </w:rPr>
        <w:t>?!</w:t>
      </w:r>
      <w:r w:rsidRPr="006A11EA">
        <w:rPr>
          <w:sz w:val="24"/>
          <w:szCs w:val="24"/>
          <w:rtl/>
        </w:rPr>
        <w:t xml:space="preserve"> אי מה </w:t>
      </w:r>
      <w:r>
        <w:rPr>
          <w:sz w:val="24"/>
          <w:szCs w:val="24"/>
          <w:rtl/>
        </w:rPr>
        <w:t>להלן קידוש אחד אף כאן קידוש אחד</w:t>
      </w:r>
      <w:r>
        <w:rPr>
          <w:rFonts w:hint="cs"/>
          <w:sz w:val="24"/>
          <w:szCs w:val="24"/>
          <w:rtl/>
        </w:rPr>
        <w:t xml:space="preserve">, </w:t>
      </w:r>
      <w:r w:rsidRPr="006A11EA">
        <w:rPr>
          <w:sz w:val="24"/>
          <w:szCs w:val="24"/>
          <w:rtl/>
        </w:rPr>
        <w:t xml:space="preserve">תלמוד לומר </w:t>
      </w:r>
      <w:r>
        <w:rPr>
          <w:rFonts w:hint="cs"/>
          <w:sz w:val="24"/>
          <w:szCs w:val="24"/>
          <w:rtl/>
        </w:rPr>
        <w:t>'</w:t>
      </w:r>
      <w:r w:rsidRPr="006A11EA">
        <w:rPr>
          <w:sz w:val="24"/>
          <w:szCs w:val="24"/>
          <w:rtl/>
        </w:rPr>
        <w:t>ובא אהרן אל אהל מועד ופשט את בגדי הבד אשר לבש</w:t>
      </w:r>
      <w:r>
        <w:rPr>
          <w:rFonts w:hint="cs"/>
          <w:sz w:val="24"/>
          <w:szCs w:val="24"/>
          <w:rtl/>
        </w:rPr>
        <w:t xml:space="preserve">' </w:t>
      </w:r>
      <w:r>
        <w:rPr>
          <w:sz w:val="24"/>
          <w:szCs w:val="24"/>
          <w:rtl/>
        </w:rPr>
        <w:t>–</w:t>
      </w:r>
      <w:r w:rsidRPr="006A11EA">
        <w:rPr>
          <w:sz w:val="24"/>
          <w:szCs w:val="24"/>
          <w:rtl/>
        </w:rPr>
        <w:t xml:space="preserve"> מה תלמוד לומר </w:t>
      </w:r>
      <w:r>
        <w:rPr>
          <w:rFonts w:hint="cs"/>
          <w:sz w:val="24"/>
          <w:szCs w:val="24"/>
          <w:rtl/>
        </w:rPr>
        <w:t>'</w:t>
      </w:r>
      <w:r w:rsidRPr="006A11EA">
        <w:rPr>
          <w:sz w:val="24"/>
          <w:szCs w:val="24"/>
          <w:rtl/>
        </w:rPr>
        <w:t>אשר לבש</w:t>
      </w:r>
      <w:r>
        <w:rPr>
          <w:rFonts w:hint="cs"/>
          <w:sz w:val="24"/>
          <w:szCs w:val="24"/>
          <w:rtl/>
        </w:rPr>
        <w:t>',</w:t>
      </w:r>
      <w:r w:rsidRPr="006A11EA">
        <w:rPr>
          <w:sz w:val="24"/>
          <w:szCs w:val="24"/>
          <w:rtl/>
        </w:rPr>
        <w:t xml:space="preserve"> כלום אדם פושט אלא מה שלבש</w:t>
      </w:r>
      <w:r>
        <w:rPr>
          <w:rFonts w:hint="cs"/>
          <w:sz w:val="24"/>
          <w:szCs w:val="24"/>
          <w:rtl/>
        </w:rPr>
        <w:t>,</w:t>
      </w:r>
      <w:r w:rsidRPr="006A11EA">
        <w:rPr>
          <w:sz w:val="24"/>
          <w:szCs w:val="24"/>
          <w:rtl/>
        </w:rPr>
        <w:t xml:space="preserve"> אלא להקיש פשיטה ללבישה</w:t>
      </w:r>
      <w:r>
        <w:rPr>
          <w:rFonts w:hint="cs"/>
          <w:sz w:val="24"/>
          <w:szCs w:val="24"/>
          <w:rtl/>
        </w:rPr>
        <w:t>,</w:t>
      </w:r>
      <w:r w:rsidRPr="006A11EA">
        <w:rPr>
          <w:sz w:val="24"/>
          <w:szCs w:val="24"/>
          <w:rtl/>
        </w:rPr>
        <w:t xml:space="preserve"> מה לבישה טעון קידוש אף פשיטה טעון קידוש</w:t>
      </w:r>
      <w:r>
        <w:rPr>
          <w:rFonts w:hint="cs"/>
          <w:sz w:val="24"/>
          <w:szCs w:val="24"/>
          <w:rtl/>
        </w:rPr>
        <w:t>.</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לב.]</w:t>
      </w:r>
    </w:p>
    <w:p w:rsidR="00C26E1A" w:rsidRDefault="00C26E1A" w:rsidP="00C26E1A">
      <w:pPr>
        <w:spacing w:before="200" w:line="276" w:lineRule="exact"/>
        <w:ind w:firstLine="227"/>
        <w:rPr>
          <w:sz w:val="24"/>
          <w:szCs w:val="24"/>
          <w:rtl/>
        </w:rPr>
      </w:pPr>
      <w:r>
        <w:rPr>
          <w:rFonts w:hint="cs"/>
          <w:sz w:val="24"/>
          <w:szCs w:val="24"/>
          <w:rtl/>
        </w:rPr>
        <w:t>רבי לומד חובה זו מהכתוב "</w:t>
      </w:r>
      <w:r w:rsidRPr="00076CE7">
        <w:rPr>
          <w:sz w:val="24"/>
          <w:szCs w:val="24"/>
          <w:rtl/>
        </w:rPr>
        <w:t>ופשט את בגדי הבד</w:t>
      </w:r>
      <w:r>
        <w:rPr>
          <w:rFonts w:hint="cs"/>
          <w:sz w:val="24"/>
          <w:szCs w:val="24"/>
          <w:rtl/>
        </w:rPr>
        <w:t>...</w:t>
      </w:r>
      <w:r w:rsidRPr="00076CE7">
        <w:rPr>
          <w:sz w:val="24"/>
          <w:szCs w:val="24"/>
          <w:rtl/>
        </w:rPr>
        <w:t xml:space="preserve"> ורחץ את בשרו במים במקום קדוש ולבש את בגדיו</w:t>
      </w:r>
      <w:r>
        <w:rPr>
          <w:rFonts w:hint="cs"/>
          <w:sz w:val="24"/>
          <w:szCs w:val="24"/>
          <w:rtl/>
        </w:rPr>
        <w:t xml:space="preserve">" </w:t>
      </w:r>
      <w:r>
        <w:rPr>
          <w:rFonts w:hint="cs"/>
          <w:sz w:val="20"/>
          <w:szCs w:val="20"/>
          <w:rtl/>
        </w:rPr>
        <w:t>[ויקרא טז, כג-כד]</w:t>
      </w:r>
      <w:r>
        <w:rPr>
          <w:rFonts w:hint="cs"/>
          <w:sz w:val="24"/>
          <w:szCs w:val="24"/>
          <w:rtl/>
        </w:rPr>
        <w:t xml:space="preserve">. לפי פשטות הכתובים, הפסוק עוסק בטבילת כל גופו במים בשעת פשיטת בגדי הלבן, אך רבי לומד את חובת הטבילה מכתוב אחר, ולכן לשיטתו כתוב זה מלמד על חובת קידוש ידיים ורגליים בשעת לבישת ופשיטת הבגדים. לעומתו, רבי אלעזר ברבי שמעון לומד את יסוד חובת קידוש ידיים ורגליים ב'קל וחומר' מחובת קידוש ידיים ורגליים בכל יום לפני תחילת העבודה, וההיקש הקיים בין הפשיטה ללבישה </w:t>
      </w:r>
      <w:r>
        <w:rPr>
          <w:sz w:val="24"/>
          <w:szCs w:val="24"/>
          <w:rtl/>
        </w:rPr>
        <w:t>–</w:t>
      </w:r>
      <w:r>
        <w:rPr>
          <w:rFonts w:hint="cs"/>
          <w:sz w:val="24"/>
          <w:szCs w:val="24"/>
          <w:rtl/>
        </w:rPr>
        <w:t xml:space="preserve"> "ופשט... אשר לבש" </w:t>
      </w:r>
      <w:r>
        <w:rPr>
          <w:sz w:val="24"/>
          <w:szCs w:val="24"/>
          <w:rtl/>
        </w:rPr>
        <w:t>–</w:t>
      </w:r>
      <w:r>
        <w:rPr>
          <w:rFonts w:hint="cs"/>
          <w:sz w:val="24"/>
          <w:szCs w:val="24"/>
          <w:rtl/>
        </w:rPr>
        <w:t xml:space="preserve"> מלמד כי בדומה ללבישת הבגדים, גם פשיטתם טעונה קידוש ידיים ורגליים.</w:t>
      </w:r>
    </w:p>
    <w:p w:rsidR="00C26E1A" w:rsidRDefault="00C26E1A" w:rsidP="00C26E1A">
      <w:pPr>
        <w:spacing w:before="200" w:line="276" w:lineRule="exact"/>
        <w:ind w:firstLine="227"/>
        <w:rPr>
          <w:sz w:val="24"/>
          <w:szCs w:val="24"/>
          <w:rtl/>
        </w:rPr>
      </w:pPr>
      <w:r>
        <w:rPr>
          <w:rFonts w:hint="cs"/>
          <w:sz w:val="24"/>
          <w:szCs w:val="24"/>
          <w:rtl/>
        </w:rPr>
        <w:t>לפי רבי אלעזר ברבי שמעון, קידוש ידיים ורגליים ביום הכיפורים נלמד מקידוש ידיים ורגליים שבכל יום. מכך מסתבר כי חובת קידוש ידיים ורגליים ביום הכיפורים דומה במהותה ובדיניה לחובת קידוש ידיים ורגליים הנוהגת בכל יום. הבנה זו משתמעת מדברי התוספות ישנים המבאר מדוע הכהן הגדול צריך לקדש ידיו ורגליו בעזרה:</w:t>
      </w:r>
    </w:p>
    <w:p w:rsidR="00C26E1A" w:rsidRDefault="00C26E1A" w:rsidP="00C26E1A">
      <w:pPr>
        <w:spacing w:before="200" w:line="276" w:lineRule="exact"/>
        <w:ind w:left="720"/>
        <w:rPr>
          <w:sz w:val="24"/>
          <w:szCs w:val="24"/>
          <w:rtl/>
        </w:rPr>
      </w:pPr>
      <w:r>
        <w:rPr>
          <w:rFonts w:hint="cs"/>
          <w:sz w:val="24"/>
          <w:szCs w:val="24"/>
          <w:rtl/>
        </w:rPr>
        <w:t>דאין קידוש אלא בפנים, כדאמר 'קידש בכלי שרת בחוץ או בכלי חול בפנים ועבד עבודתו פסולה'.</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[תוספות ישנים לא: ד"ה פושט]</w:t>
      </w:r>
    </w:p>
    <w:p w:rsidR="00C26E1A" w:rsidRDefault="00C26E1A" w:rsidP="00C26E1A">
      <w:pPr>
        <w:spacing w:before="200" w:line="276" w:lineRule="exact"/>
        <w:ind w:firstLine="227"/>
        <w:rPr>
          <w:sz w:val="24"/>
          <w:szCs w:val="24"/>
          <w:rtl/>
        </w:rPr>
      </w:pPr>
      <w:r>
        <w:rPr>
          <w:rFonts w:hint="cs"/>
          <w:sz w:val="24"/>
          <w:szCs w:val="24"/>
          <w:rtl/>
        </w:rPr>
        <w:t xml:space="preserve">התוספות ישנים מביא כמקור לכך את הדין הנאמר בגמרא </w:t>
      </w:r>
      <w:r>
        <w:rPr>
          <w:rFonts w:hint="cs"/>
          <w:sz w:val="20"/>
          <w:szCs w:val="20"/>
          <w:rtl/>
        </w:rPr>
        <w:t>[זבחים כ:]</w:t>
      </w:r>
      <w:r>
        <w:rPr>
          <w:rFonts w:hint="cs"/>
          <w:sz w:val="24"/>
          <w:szCs w:val="24"/>
          <w:rtl/>
        </w:rPr>
        <w:t xml:space="preserve"> לגבי קידוש ידיים ורגליים בכל השנה. עולה מכך, כי לשיטתו דינים אלו דומים במהותם ובדיניהם.</w:t>
      </w:r>
    </w:p>
    <w:p w:rsidR="00C26E1A" w:rsidRDefault="00C26E1A" w:rsidP="00C26E1A">
      <w:pPr>
        <w:spacing w:before="200" w:line="276" w:lineRule="exact"/>
        <w:ind w:firstLine="227"/>
        <w:rPr>
          <w:sz w:val="24"/>
          <w:szCs w:val="24"/>
          <w:rtl/>
        </w:rPr>
      </w:pPr>
      <w:r>
        <w:rPr>
          <w:rFonts w:hint="cs"/>
          <w:sz w:val="24"/>
          <w:szCs w:val="24"/>
          <w:rtl/>
        </w:rPr>
        <w:t>הבנה זו עולה גם מדברי הרמב"ן המשווה בין שני הדינים בהקשר נוסף:</w:t>
      </w:r>
    </w:p>
    <w:p w:rsidR="00C26E1A" w:rsidRDefault="00C26E1A" w:rsidP="00C26E1A">
      <w:pPr>
        <w:spacing w:before="200" w:line="276" w:lineRule="exact"/>
        <w:ind w:left="720"/>
        <w:rPr>
          <w:sz w:val="20"/>
          <w:szCs w:val="20"/>
          <w:rtl/>
        </w:rPr>
      </w:pPr>
      <w:r w:rsidRPr="005440E9">
        <w:rPr>
          <w:sz w:val="24"/>
          <w:szCs w:val="24"/>
          <w:rtl/>
        </w:rPr>
        <w:t>אבל הכיור צ</w:t>
      </w:r>
      <w:r>
        <w:rPr>
          <w:rFonts w:hint="cs"/>
          <w:sz w:val="24"/>
          <w:szCs w:val="24"/>
          <w:rtl/>
        </w:rPr>
        <w:t>יו</w:t>
      </w:r>
      <w:r w:rsidRPr="005440E9">
        <w:rPr>
          <w:sz w:val="24"/>
          <w:szCs w:val="24"/>
          <w:rtl/>
        </w:rPr>
        <w:t>וה בו להזמנה ואיננו מעכב ולא מצוה, כי ביום הכיפורים כהן גדול מקדש ידיו ורגליו מקיתון של זהב שהיו עושי</w:t>
      </w:r>
      <w:r>
        <w:rPr>
          <w:sz w:val="24"/>
          <w:szCs w:val="24"/>
          <w:rtl/>
        </w:rPr>
        <w:t>ן לכבודו</w:t>
      </w:r>
      <w:r w:rsidRPr="005440E9">
        <w:rPr>
          <w:sz w:val="24"/>
          <w:szCs w:val="24"/>
          <w:rtl/>
        </w:rPr>
        <w:t xml:space="preserve">, </w:t>
      </w:r>
      <w:r>
        <w:rPr>
          <w:sz w:val="24"/>
          <w:szCs w:val="24"/>
          <w:rtl/>
        </w:rPr>
        <w:t>אבל למדנו מן הכיור כי צריכה כלי</w:t>
      </w:r>
      <w:r>
        <w:rPr>
          <w:rFonts w:hint="cs"/>
          <w:sz w:val="24"/>
          <w:szCs w:val="24"/>
          <w:rtl/>
        </w:rPr>
        <w:t xml:space="preserve">. </w:t>
      </w:r>
    </w:p>
    <w:p w:rsidR="00C26E1A" w:rsidRDefault="00C26E1A" w:rsidP="00C26E1A">
      <w:pPr>
        <w:spacing w:before="200" w:line="276" w:lineRule="exact"/>
        <w:ind w:left="720"/>
        <w:jc w:val="right"/>
        <w:rPr>
          <w:sz w:val="24"/>
          <w:szCs w:val="24"/>
          <w:rtl/>
        </w:rPr>
      </w:pPr>
      <w:r>
        <w:rPr>
          <w:rFonts w:hint="cs"/>
          <w:sz w:val="20"/>
          <w:szCs w:val="20"/>
          <w:rtl/>
        </w:rPr>
        <w:t>[רמב"ן שמות ל, יט]</w:t>
      </w:r>
    </w:p>
    <w:p w:rsidR="00C26E1A" w:rsidRDefault="00C26E1A" w:rsidP="00C26E1A">
      <w:pPr>
        <w:spacing w:before="200" w:line="276" w:lineRule="exact"/>
        <w:ind w:firstLine="227"/>
        <w:rPr>
          <w:sz w:val="24"/>
          <w:szCs w:val="24"/>
          <w:rtl/>
        </w:rPr>
      </w:pPr>
      <w:r>
        <w:rPr>
          <w:rFonts w:hint="cs"/>
          <w:sz w:val="24"/>
          <w:szCs w:val="24"/>
          <w:rtl/>
        </w:rPr>
        <w:t xml:space="preserve">הרמב"ן לומד מדברי המשנה </w:t>
      </w:r>
      <w:r>
        <w:rPr>
          <w:rFonts w:hint="cs"/>
          <w:sz w:val="20"/>
          <w:szCs w:val="20"/>
          <w:rtl/>
        </w:rPr>
        <w:t>[יומא מג:]</w:t>
      </w:r>
      <w:r>
        <w:rPr>
          <w:rFonts w:hint="cs"/>
          <w:sz w:val="24"/>
          <w:szCs w:val="24"/>
          <w:rtl/>
        </w:rPr>
        <w:t xml:space="preserve"> כי הכהן הגדול היה מקדש ידיו ורגליו מקיתון של זהב, שאין חובה לקדש ידיים ורגליים בתחילת העבודה דווקא מן הכיור. דבריו מבוססים על ההנחה שיש השוואה בין קידוש ידיים ורגליים של הכהן הגדול לבין קידוש ידיים ורגליים בכל יום בתחילת העבודה.</w:t>
      </w:r>
    </w:p>
    <w:p w:rsidR="00C26E1A" w:rsidRDefault="00C26E1A" w:rsidP="00C26E1A">
      <w:pPr>
        <w:spacing w:before="200" w:line="276" w:lineRule="exact"/>
        <w:ind w:firstLine="227"/>
        <w:rPr>
          <w:sz w:val="24"/>
          <w:szCs w:val="24"/>
          <w:rtl/>
        </w:rPr>
      </w:pPr>
      <w:r>
        <w:rPr>
          <w:rFonts w:hint="cs"/>
          <w:sz w:val="24"/>
          <w:szCs w:val="24"/>
          <w:rtl/>
        </w:rPr>
        <w:t>עם זאת, מדברי הירושלמי עולה חילוק בין הדינים בעניין זה. על משנה זו אומר הירושלמי:</w:t>
      </w:r>
    </w:p>
    <w:p w:rsidR="00C26E1A" w:rsidRPr="000808BB" w:rsidRDefault="00C26E1A" w:rsidP="00C26E1A">
      <w:pPr>
        <w:spacing w:before="200" w:line="276" w:lineRule="exact"/>
        <w:ind w:firstLine="720"/>
        <w:rPr>
          <w:sz w:val="20"/>
          <w:szCs w:val="20"/>
          <w:rtl/>
        </w:rPr>
      </w:pPr>
      <w:r>
        <w:rPr>
          <w:rFonts w:hint="cs"/>
          <w:sz w:val="24"/>
          <w:szCs w:val="24"/>
          <w:rtl/>
        </w:rPr>
        <w:t>אמר רבי יונה: חוץ מקידוש ראשון.</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[ירושלמי יומא פ"ד ה"ה]</w:t>
      </w:r>
    </w:p>
    <w:p w:rsidR="00C26E1A" w:rsidRDefault="00C26E1A" w:rsidP="00C26E1A">
      <w:pPr>
        <w:spacing w:before="200" w:line="276" w:lineRule="exact"/>
        <w:ind w:firstLine="227"/>
        <w:rPr>
          <w:sz w:val="24"/>
          <w:szCs w:val="24"/>
          <w:rtl/>
        </w:rPr>
      </w:pPr>
      <w:r>
        <w:rPr>
          <w:rFonts w:hint="cs"/>
          <w:sz w:val="24"/>
          <w:szCs w:val="24"/>
          <w:rtl/>
        </w:rPr>
        <w:lastRenderedPageBreak/>
        <w:t>רבי יונה אומר, כי דברי המשנה אינם אמורים לגבי הקידוש הראשון, שהוא צריך להיעשות דווקא מן הכיור</w:t>
      </w:r>
      <w:r>
        <w:rPr>
          <w:rStyle w:val="a7"/>
          <w:sz w:val="24"/>
          <w:szCs w:val="24"/>
          <w:rtl/>
        </w:rPr>
        <w:footnoteReference w:id="52"/>
      </w:r>
      <w:r>
        <w:rPr>
          <w:rFonts w:hint="cs"/>
          <w:sz w:val="24"/>
          <w:szCs w:val="24"/>
          <w:rtl/>
        </w:rPr>
        <w:t>. הגרי"ז מבאר את טעם החילוק בין קידוש ראשון לשאר הקידושים:</w:t>
      </w:r>
    </w:p>
    <w:p w:rsidR="00C26E1A" w:rsidRDefault="00C26E1A" w:rsidP="00C26E1A">
      <w:pPr>
        <w:spacing w:before="200" w:line="276" w:lineRule="exact"/>
        <w:ind w:left="720"/>
        <w:rPr>
          <w:sz w:val="24"/>
          <w:szCs w:val="24"/>
          <w:rtl/>
        </w:rPr>
      </w:pPr>
      <w:r>
        <w:rPr>
          <w:rFonts w:hint="cs"/>
          <w:sz w:val="24"/>
          <w:szCs w:val="24"/>
          <w:rtl/>
        </w:rPr>
        <w:t>משום דהנך קידושין של יום הכיפורים לא כתיבי כלל בפרשת כיור האמורה בכי תשא, רק נלמדין מהקרא ד'ורחץ את בשרו במים' האמור באחרי מות, ועל כן חלוקים הם בעיקר דינם מדין קידוש ידיים ורגליים של כל השנה, שהוא קידוש ראשון, ולא נאמר בהם מצות כיור כלל.</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[חידושי מרן רי"ז הלוי הל' עבודת יום הכיפורים פ"ב ה"ג]</w:t>
      </w:r>
    </w:p>
    <w:p w:rsidR="00C26E1A" w:rsidRDefault="00C26E1A" w:rsidP="00C26E1A">
      <w:pPr>
        <w:spacing w:before="200" w:line="276" w:lineRule="exact"/>
        <w:ind w:firstLine="227"/>
        <w:rPr>
          <w:sz w:val="24"/>
          <w:szCs w:val="24"/>
          <w:rtl/>
        </w:rPr>
      </w:pPr>
      <w:r>
        <w:rPr>
          <w:rFonts w:hint="cs"/>
          <w:sz w:val="24"/>
          <w:szCs w:val="24"/>
          <w:rtl/>
        </w:rPr>
        <w:t xml:space="preserve">לפי דבריו, הירושלמי מחלק בין קידוש ידיים ורגליים בכל יום לפני תחילת העבודה לבין חובת עשרה קידושים ביום הכיפורים. בשל כך, סובר הירושלמי כי קידוש ידיים ורגליים בכל יום צריך להיעשות מן הכיור, ולכן גם הקידוש הראשון הנעשה ביום הכיפורים </w:t>
      </w:r>
      <w:r>
        <w:rPr>
          <w:sz w:val="24"/>
          <w:szCs w:val="24"/>
          <w:rtl/>
        </w:rPr>
        <w:t>–</w:t>
      </w:r>
      <w:r>
        <w:rPr>
          <w:rFonts w:hint="cs"/>
          <w:sz w:val="24"/>
          <w:szCs w:val="24"/>
          <w:rtl/>
        </w:rPr>
        <w:t xml:space="preserve"> בו מחויב הכהן הגדול כמו בכל יום לפני תחילת העבודה </w:t>
      </w:r>
      <w:r>
        <w:rPr>
          <w:sz w:val="24"/>
          <w:szCs w:val="24"/>
          <w:rtl/>
        </w:rPr>
        <w:t>–</w:t>
      </w:r>
      <w:r>
        <w:rPr>
          <w:rFonts w:hint="cs"/>
          <w:sz w:val="24"/>
          <w:szCs w:val="24"/>
          <w:rtl/>
        </w:rPr>
        <w:t xml:space="preserve"> צריך להיעשות מן הכיור. לעומת זאת, שאר הקידושים הנעשים ביום הכיפורים המהווים חיוב שונה, אינם צריכים להיעשות מן הכיור. </w:t>
      </w:r>
    </w:p>
    <w:p w:rsidR="00C26E1A" w:rsidRDefault="00C26E1A" w:rsidP="00C26E1A">
      <w:pPr>
        <w:spacing w:before="200" w:line="276" w:lineRule="exact"/>
        <w:ind w:firstLine="227"/>
        <w:rPr>
          <w:sz w:val="24"/>
          <w:szCs w:val="24"/>
          <w:rtl/>
        </w:rPr>
      </w:pPr>
      <w:r>
        <w:rPr>
          <w:rFonts w:hint="cs"/>
          <w:sz w:val="24"/>
          <w:szCs w:val="24"/>
          <w:rtl/>
        </w:rPr>
        <w:t>הגרי"ז מביא ראיה נוספת לחילוק בין הקידוש ביום הכיפורים לקידוש שבכל יום מדברי הרמב"ם בהלכות עבודת יום הכיפורים:</w:t>
      </w:r>
    </w:p>
    <w:p w:rsidR="00C26E1A" w:rsidRDefault="00C26E1A" w:rsidP="00C26E1A">
      <w:pPr>
        <w:spacing w:before="200" w:line="276" w:lineRule="exact"/>
        <w:ind w:left="720"/>
        <w:rPr>
          <w:sz w:val="24"/>
          <w:szCs w:val="24"/>
          <w:rtl/>
        </w:rPr>
      </w:pPr>
      <w:r w:rsidRPr="0086675D">
        <w:rPr>
          <w:sz w:val="24"/>
          <w:szCs w:val="24"/>
          <w:rtl/>
        </w:rPr>
        <w:t>כל הטבילות האלו והקידושין כולן במקדש</w:t>
      </w:r>
      <w:r>
        <w:rPr>
          <w:rFonts w:hint="cs"/>
          <w:sz w:val="24"/>
          <w:szCs w:val="24"/>
          <w:rtl/>
        </w:rPr>
        <w:t>,</w:t>
      </w:r>
      <w:r w:rsidRPr="0086675D">
        <w:rPr>
          <w:sz w:val="24"/>
          <w:szCs w:val="24"/>
          <w:rtl/>
        </w:rPr>
        <w:t xml:space="preserve"> שנאמר </w:t>
      </w:r>
      <w:r>
        <w:rPr>
          <w:rFonts w:hint="cs"/>
          <w:sz w:val="24"/>
          <w:szCs w:val="24"/>
          <w:rtl/>
        </w:rPr>
        <w:t>'</w:t>
      </w:r>
      <w:r w:rsidRPr="0086675D">
        <w:rPr>
          <w:sz w:val="24"/>
          <w:szCs w:val="24"/>
          <w:rtl/>
        </w:rPr>
        <w:t>ורחץ את בשרו במים במקום קדו</w:t>
      </w:r>
      <w:r>
        <w:rPr>
          <w:rFonts w:hint="cs"/>
          <w:sz w:val="24"/>
          <w:szCs w:val="24"/>
          <w:rtl/>
        </w:rPr>
        <w:t>ש'.</w:t>
      </w:r>
    </w:p>
    <w:p w:rsidR="00C26E1A" w:rsidRDefault="00C26E1A" w:rsidP="00C26E1A">
      <w:pPr>
        <w:spacing w:before="200" w:line="276" w:lineRule="exact"/>
        <w:ind w:left="720"/>
        <w:jc w:val="right"/>
        <w:rPr>
          <w:sz w:val="24"/>
          <w:szCs w:val="24"/>
          <w:rtl/>
        </w:rPr>
      </w:pPr>
      <w:r>
        <w:rPr>
          <w:rFonts w:hint="cs"/>
          <w:sz w:val="20"/>
          <w:szCs w:val="20"/>
          <w:rtl/>
        </w:rPr>
        <w:t>[רמב"ם הל' עבודת יום הכיפורים פ"ב ה"ג]</w:t>
      </w:r>
    </w:p>
    <w:p w:rsidR="00C26E1A" w:rsidRDefault="00C26E1A" w:rsidP="00C26E1A">
      <w:pPr>
        <w:spacing w:before="200" w:line="276" w:lineRule="exact"/>
        <w:ind w:firstLine="227"/>
        <w:rPr>
          <w:sz w:val="24"/>
          <w:szCs w:val="24"/>
          <w:rtl/>
        </w:rPr>
      </w:pPr>
      <w:r>
        <w:rPr>
          <w:rFonts w:hint="cs"/>
          <w:sz w:val="24"/>
          <w:szCs w:val="24"/>
          <w:rtl/>
        </w:rPr>
        <w:t xml:space="preserve">הגרי"ז טוען כי הרמב"ם נזקק להביא לכך מקור מיוחד, ולא למד זאת מכך שקידוש ידיים ורגליים בכל יום צריך להיעשות דווקא בעזרה (כדברי הגמ' בזבחים </w:t>
      </w:r>
      <w:r>
        <w:rPr>
          <w:rFonts w:hint="cs"/>
          <w:sz w:val="20"/>
          <w:szCs w:val="20"/>
          <w:rtl/>
        </w:rPr>
        <w:t>[כ:]</w:t>
      </w:r>
      <w:r>
        <w:rPr>
          <w:rFonts w:hint="cs"/>
          <w:sz w:val="24"/>
          <w:szCs w:val="24"/>
          <w:rtl/>
        </w:rPr>
        <w:t xml:space="preserve"> שהובאו לעיל), משום שהוא מחלק בין הדינים: קידוש ידיים ורגליים ביום הכיפורים מהווה דין נפרד בעל גדרים שונים, ולכן לא ניתן ללמוד את דיניו מדיני קידוש ידיים ורגליים שבכל יום.</w:t>
      </w:r>
    </w:p>
    <w:p w:rsidR="00C26E1A" w:rsidRPr="003C2C1E" w:rsidRDefault="00C26E1A" w:rsidP="00C26E1A">
      <w:pPr>
        <w:spacing w:before="200" w:line="276" w:lineRule="exact"/>
        <w:ind w:firstLine="227"/>
        <w:rPr>
          <w:sz w:val="24"/>
          <w:szCs w:val="24"/>
          <w:rtl/>
        </w:rPr>
      </w:pPr>
      <w:r w:rsidRPr="00D74DEC">
        <w:rPr>
          <w:rFonts w:hint="cs"/>
          <w:sz w:val="24"/>
          <w:szCs w:val="24"/>
          <w:rtl/>
        </w:rPr>
        <w:t>בדברי הגרי"ז במקום אחר מובא חילוק זה בתוספת ביאור:</w:t>
      </w:r>
    </w:p>
    <w:p w:rsidR="00C26E1A" w:rsidRPr="003C2C1E" w:rsidRDefault="00C26E1A" w:rsidP="00C26E1A">
      <w:pPr>
        <w:spacing w:line="276" w:lineRule="auto"/>
        <w:ind w:left="720"/>
        <w:rPr>
          <w:sz w:val="24"/>
          <w:szCs w:val="24"/>
          <w:rtl/>
        </w:rPr>
      </w:pPr>
      <w:r w:rsidRPr="003C2C1E">
        <w:rPr>
          <w:sz w:val="24"/>
          <w:szCs w:val="24"/>
          <w:rtl/>
        </w:rPr>
        <w:t>ואמר הגרי"</w:t>
      </w:r>
      <w:r>
        <w:rPr>
          <w:sz w:val="24"/>
          <w:szCs w:val="24"/>
          <w:rtl/>
        </w:rPr>
        <w:t>ז זצ"ל דדין עשרה קידושין דיו</w:t>
      </w:r>
      <w:r>
        <w:rPr>
          <w:rFonts w:hint="cs"/>
          <w:sz w:val="24"/>
          <w:szCs w:val="24"/>
          <w:rtl/>
        </w:rPr>
        <w:t>ם הכיפורים</w:t>
      </w:r>
      <w:r w:rsidRPr="003C2C1E">
        <w:rPr>
          <w:sz w:val="24"/>
          <w:szCs w:val="24"/>
          <w:rtl/>
        </w:rPr>
        <w:t xml:space="preserve"> אין דינו ש</w:t>
      </w:r>
      <w:r>
        <w:rPr>
          <w:rFonts w:hint="cs"/>
          <w:sz w:val="24"/>
          <w:szCs w:val="24"/>
          <w:rtl/>
        </w:rPr>
        <w:t>ו</w:t>
      </w:r>
      <w:r w:rsidRPr="003C2C1E">
        <w:rPr>
          <w:sz w:val="24"/>
          <w:szCs w:val="24"/>
          <w:rtl/>
        </w:rPr>
        <w:t>וה לקידוש דכל השנה, דקידוש דכל השנ</w:t>
      </w:r>
      <w:r>
        <w:rPr>
          <w:sz w:val="24"/>
          <w:szCs w:val="24"/>
          <w:rtl/>
        </w:rPr>
        <w:t>ה עושה חלות דהידים מקודשות וע</w:t>
      </w:r>
      <w:r>
        <w:rPr>
          <w:rFonts w:hint="cs"/>
          <w:sz w:val="24"/>
          <w:szCs w:val="24"/>
          <w:rtl/>
        </w:rPr>
        <w:t>ל ידי זה</w:t>
      </w:r>
      <w:r w:rsidRPr="003C2C1E">
        <w:rPr>
          <w:sz w:val="24"/>
          <w:szCs w:val="24"/>
          <w:rtl/>
        </w:rPr>
        <w:t xml:space="preserve"> ראוי הכהן לעבודה, מ</w:t>
      </w:r>
      <w:r>
        <w:rPr>
          <w:rFonts w:hint="cs"/>
          <w:sz w:val="24"/>
          <w:szCs w:val="24"/>
          <w:rtl/>
        </w:rPr>
        <w:t xml:space="preserve">ה שאין כן </w:t>
      </w:r>
      <w:r w:rsidRPr="003C2C1E">
        <w:rPr>
          <w:sz w:val="24"/>
          <w:szCs w:val="24"/>
          <w:rtl/>
        </w:rPr>
        <w:t>י' קי</w:t>
      </w:r>
      <w:r>
        <w:rPr>
          <w:sz w:val="24"/>
          <w:szCs w:val="24"/>
          <w:rtl/>
        </w:rPr>
        <w:t>דושין הוי דין בסדר עבודות יו</w:t>
      </w:r>
      <w:r>
        <w:rPr>
          <w:rFonts w:hint="cs"/>
          <w:sz w:val="24"/>
          <w:szCs w:val="24"/>
          <w:rtl/>
        </w:rPr>
        <w:t>ם הכיפורים</w:t>
      </w:r>
      <w:r w:rsidRPr="003C2C1E">
        <w:rPr>
          <w:sz w:val="24"/>
          <w:szCs w:val="24"/>
          <w:rtl/>
        </w:rPr>
        <w:t xml:space="preserve"> דבעי' י' קידושין</w:t>
      </w:r>
      <w:r>
        <w:rPr>
          <w:rFonts w:hint="cs"/>
          <w:sz w:val="24"/>
          <w:szCs w:val="24"/>
          <w:rtl/>
        </w:rPr>
        <w:t>,</w:t>
      </w:r>
      <w:r w:rsidRPr="003C2C1E">
        <w:rPr>
          <w:sz w:val="24"/>
          <w:szCs w:val="24"/>
          <w:rtl/>
        </w:rPr>
        <w:t xml:space="preserve"> כלומר ב' קידושין בין כל בגד, ודומיא דה' טבילות</w:t>
      </w:r>
      <w:r>
        <w:rPr>
          <w:sz w:val="24"/>
          <w:szCs w:val="24"/>
          <w:rtl/>
        </w:rPr>
        <w:t xml:space="preserve"> דלא הוי דין העושה חלות על הכה</w:t>
      </w:r>
      <w:r>
        <w:rPr>
          <w:rFonts w:hint="cs"/>
          <w:sz w:val="24"/>
          <w:szCs w:val="24"/>
          <w:rtl/>
        </w:rPr>
        <w:t>ן הגדול</w:t>
      </w:r>
      <w:r w:rsidRPr="003C2C1E">
        <w:rPr>
          <w:sz w:val="24"/>
          <w:szCs w:val="24"/>
          <w:rtl/>
        </w:rPr>
        <w:t xml:space="preserve"> המכשירו לעבוד</w:t>
      </w:r>
      <w:r>
        <w:rPr>
          <w:sz w:val="24"/>
          <w:szCs w:val="24"/>
          <w:rtl/>
        </w:rPr>
        <w:t>ה אלא הוא דין בסדר עבודת יו</w:t>
      </w:r>
      <w:r>
        <w:rPr>
          <w:rFonts w:hint="cs"/>
          <w:sz w:val="24"/>
          <w:szCs w:val="24"/>
          <w:rtl/>
        </w:rPr>
        <w:t>ם הכיפורים</w:t>
      </w:r>
      <w:r w:rsidRPr="003C2C1E">
        <w:rPr>
          <w:rFonts w:hint="cs"/>
          <w:sz w:val="24"/>
          <w:szCs w:val="24"/>
          <w:rtl/>
        </w:rPr>
        <w:t>.</w:t>
      </w:r>
      <w:r>
        <w:rPr>
          <w:sz w:val="20"/>
          <w:szCs w:val="20"/>
          <w:rtl/>
        </w:rPr>
        <w:tab/>
      </w:r>
      <w:r>
        <w:rPr>
          <w:sz w:val="20"/>
          <w:szCs w:val="20"/>
          <w:rtl/>
        </w:rPr>
        <w:tab/>
      </w:r>
      <w:r>
        <w:rPr>
          <w:sz w:val="20"/>
          <w:szCs w:val="20"/>
          <w:rtl/>
        </w:rPr>
        <w:tab/>
      </w:r>
      <w:r w:rsidRPr="003C2C1E">
        <w:rPr>
          <w:rFonts w:hint="cs"/>
          <w:sz w:val="20"/>
          <w:szCs w:val="20"/>
          <w:rtl/>
        </w:rPr>
        <w:t>[</w:t>
      </w:r>
      <w:r>
        <w:rPr>
          <w:rFonts w:hint="cs"/>
          <w:sz w:val="20"/>
          <w:szCs w:val="20"/>
          <w:rtl/>
        </w:rPr>
        <w:t>חידושי ה</w:t>
      </w:r>
      <w:r w:rsidRPr="003C2C1E">
        <w:rPr>
          <w:rFonts w:hint="cs"/>
          <w:sz w:val="20"/>
          <w:szCs w:val="20"/>
          <w:rtl/>
        </w:rPr>
        <w:t>גרי"ז זבחים יט: ד"ה ואחד]</w:t>
      </w:r>
    </w:p>
    <w:p w:rsidR="00C26E1A" w:rsidRDefault="00C26E1A" w:rsidP="00C26E1A">
      <w:pPr>
        <w:spacing w:line="276" w:lineRule="auto"/>
        <w:ind w:firstLine="227"/>
        <w:rPr>
          <w:sz w:val="24"/>
          <w:szCs w:val="24"/>
          <w:rtl/>
        </w:rPr>
      </w:pPr>
      <w:r>
        <w:rPr>
          <w:rFonts w:hint="cs"/>
          <w:sz w:val="24"/>
          <w:szCs w:val="24"/>
          <w:rtl/>
        </w:rPr>
        <w:t xml:space="preserve">לפי דבריו, הקידוש בתחילת העבודה מכשיר את הכהן לעבודה, ואילו הקידוש ביום הכיפורים אינו משנה במאומה את מעמדו של הכהן; הכהן ראוי לעבוד לפני הקידוש כמו לאחריו, והוא אינו אלא "דין בסדר עבודת יום הכיפורים". נראה להגדיר כי הקידוש שבתחילת העבודה הוא </w:t>
      </w:r>
      <w:r>
        <w:rPr>
          <w:rFonts w:hint="cs"/>
          <w:b/>
          <w:bCs/>
          <w:sz w:val="24"/>
          <w:szCs w:val="24"/>
          <w:rtl/>
        </w:rPr>
        <w:t>דין בכהן העובד</w:t>
      </w:r>
      <w:r>
        <w:rPr>
          <w:rFonts w:hint="cs"/>
          <w:sz w:val="24"/>
          <w:szCs w:val="24"/>
          <w:rtl/>
        </w:rPr>
        <w:t xml:space="preserve"> </w:t>
      </w:r>
      <w:r>
        <w:rPr>
          <w:sz w:val="24"/>
          <w:szCs w:val="24"/>
          <w:rtl/>
        </w:rPr>
        <w:t>–</w:t>
      </w:r>
      <w:r>
        <w:rPr>
          <w:rFonts w:hint="cs"/>
          <w:sz w:val="24"/>
          <w:szCs w:val="24"/>
          <w:rtl/>
        </w:rPr>
        <w:t xml:space="preserve"> כהן שאינו רחוץ ידיים ורגליים אינו ראוי לעבודה, ולכן הוא חייב מיתה</w:t>
      </w:r>
      <w:r>
        <w:rPr>
          <w:rStyle w:val="a7"/>
          <w:sz w:val="24"/>
          <w:szCs w:val="24"/>
          <w:rtl/>
        </w:rPr>
        <w:footnoteReference w:id="53"/>
      </w:r>
      <w:r>
        <w:rPr>
          <w:rFonts w:hint="cs"/>
          <w:sz w:val="24"/>
          <w:szCs w:val="24"/>
          <w:rtl/>
        </w:rPr>
        <w:t xml:space="preserve"> ועבודתו מחוללת</w:t>
      </w:r>
      <w:r>
        <w:rPr>
          <w:rStyle w:val="a7"/>
          <w:sz w:val="24"/>
          <w:szCs w:val="24"/>
          <w:rtl/>
        </w:rPr>
        <w:footnoteReference w:id="54"/>
      </w:r>
      <w:r>
        <w:rPr>
          <w:rFonts w:hint="cs"/>
          <w:sz w:val="24"/>
          <w:szCs w:val="24"/>
          <w:rtl/>
        </w:rPr>
        <w:t xml:space="preserve">. לעומת זאת, הקידוש ביום הכיפורים הוא </w:t>
      </w:r>
      <w:r>
        <w:rPr>
          <w:rFonts w:hint="cs"/>
          <w:b/>
          <w:bCs/>
          <w:sz w:val="24"/>
          <w:szCs w:val="24"/>
          <w:rtl/>
        </w:rPr>
        <w:t>דין בקדושת הבגדים</w:t>
      </w:r>
      <w:r>
        <w:rPr>
          <w:rFonts w:hint="cs"/>
          <w:sz w:val="24"/>
          <w:szCs w:val="24"/>
          <w:rtl/>
        </w:rPr>
        <w:t xml:space="preserve"> </w:t>
      </w:r>
      <w:r>
        <w:rPr>
          <w:sz w:val="24"/>
          <w:szCs w:val="24"/>
          <w:rtl/>
        </w:rPr>
        <w:t>–</w:t>
      </w:r>
      <w:r>
        <w:rPr>
          <w:rFonts w:hint="cs"/>
          <w:sz w:val="24"/>
          <w:szCs w:val="24"/>
          <w:rtl/>
        </w:rPr>
        <w:t xml:space="preserve">  מקור הדין, לפי דרשתו של רבי אלעזר ברבי שמעון דלעיל, הוא בכתוב </w:t>
      </w:r>
      <w:r>
        <w:rPr>
          <w:rFonts w:hint="cs"/>
          <w:sz w:val="20"/>
          <w:szCs w:val="20"/>
          <w:rtl/>
        </w:rPr>
        <w:t>[ויקרא טז, כג-כד]</w:t>
      </w:r>
      <w:r>
        <w:rPr>
          <w:rFonts w:hint="cs"/>
          <w:sz w:val="24"/>
          <w:szCs w:val="24"/>
          <w:rtl/>
        </w:rPr>
        <w:t xml:space="preserve"> "</w:t>
      </w:r>
      <w:r w:rsidRPr="001B28A8">
        <w:rPr>
          <w:sz w:val="24"/>
          <w:szCs w:val="24"/>
          <w:rtl/>
        </w:rPr>
        <w:t>ופשט את בגדי הבד</w:t>
      </w:r>
      <w:r>
        <w:rPr>
          <w:rFonts w:hint="cs"/>
          <w:sz w:val="24"/>
          <w:szCs w:val="24"/>
          <w:rtl/>
        </w:rPr>
        <w:t>...</w:t>
      </w:r>
      <w:r w:rsidRPr="001B28A8">
        <w:rPr>
          <w:sz w:val="24"/>
          <w:szCs w:val="24"/>
          <w:rtl/>
        </w:rPr>
        <w:t xml:space="preserve"> ורחץ את בשרו במים במקום קדוש ולבש את בגדיו</w:t>
      </w:r>
      <w:r>
        <w:rPr>
          <w:rFonts w:hint="cs"/>
          <w:sz w:val="24"/>
          <w:szCs w:val="24"/>
          <w:rtl/>
        </w:rPr>
        <w:t>", וממנו עולה כי קדושת הבגדים מחייבת קידוש ידיים ורגליים בשעת לבישתם ובשעת פשיטתם</w:t>
      </w:r>
      <w:r>
        <w:rPr>
          <w:rStyle w:val="a7"/>
          <w:sz w:val="24"/>
          <w:szCs w:val="24"/>
          <w:rtl/>
        </w:rPr>
        <w:footnoteReference w:id="55"/>
      </w:r>
      <w:r>
        <w:rPr>
          <w:rFonts w:hint="cs"/>
          <w:sz w:val="24"/>
          <w:szCs w:val="24"/>
          <w:rtl/>
        </w:rPr>
        <w:t>.</w:t>
      </w:r>
    </w:p>
    <w:p w:rsidR="00C26E1A" w:rsidRDefault="00C26E1A" w:rsidP="00C26E1A">
      <w:pPr>
        <w:spacing w:line="276" w:lineRule="auto"/>
        <w:ind w:firstLine="227"/>
        <w:rPr>
          <w:sz w:val="24"/>
          <w:szCs w:val="24"/>
          <w:rtl/>
        </w:rPr>
      </w:pPr>
    </w:p>
    <w:p w:rsidR="00C26E1A" w:rsidRDefault="00C26E1A" w:rsidP="00C26E1A">
      <w:pPr>
        <w:spacing w:line="276" w:lineRule="auto"/>
        <w:ind w:firstLine="227"/>
        <w:rPr>
          <w:sz w:val="24"/>
          <w:szCs w:val="24"/>
          <w:rtl/>
        </w:rPr>
      </w:pPr>
      <w:r>
        <w:rPr>
          <w:rFonts w:hint="cs"/>
          <w:sz w:val="24"/>
          <w:szCs w:val="24"/>
          <w:rtl/>
        </w:rPr>
        <w:lastRenderedPageBreak/>
        <w:t>מדברי השפת אמת עולה חילוק מתון יותר בין הקידוש ביום הכיפורים לקידוש שבכל יום. השפת אמת מביא את דברי הרמב"ם:</w:t>
      </w:r>
    </w:p>
    <w:p w:rsidR="00C26E1A" w:rsidRDefault="00C26E1A" w:rsidP="00C26E1A">
      <w:pPr>
        <w:spacing w:line="276" w:lineRule="auto"/>
        <w:ind w:left="720"/>
        <w:rPr>
          <w:sz w:val="24"/>
          <w:szCs w:val="24"/>
          <w:rtl/>
        </w:rPr>
      </w:pPr>
      <w:r w:rsidRPr="007B1DB0">
        <w:rPr>
          <w:sz w:val="24"/>
          <w:szCs w:val="24"/>
          <w:rtl/>
        </w:rPr>
        <w:t>כיצד מצות קידוש, מניח ידו הימנית על גבי רגלו הימנית וידו השמאלית על ג</w:t>
      </w:r>
      <w:r>
        <w:rPr>
          <w:sz w:val="24"/>
          <w:szCs w:val="24"/>
          <w:rtl/>
        </w:rPr>
        <w:t>בי רגלו השמאלית ושוחה ומקדש</w:t>
      </w:r>
      <w:r>
        <w:rPr>
          <w:rFonts w:hint="cs"/>
          <w:sz w:val="24"/>
          <w:szCs w:val="24"/>
          <w:rtl/>
        </w:rPr>
        <w:t xml:space="preserve">... </w:t>
      </w:r>
      <w:r w:rsidRPr="007B1DB0">
        <w:rPr>
          <w:sz w:val="24"/>
          <w:szCs w:val="24"/>
          <w:rtl/>
        </w:rPr>
        <w:t xml:space="preserve">ואינו מקדש כשהוא יושב </w:t>
      </w:r>
      <w:r w:rsidRPr="007B1DB0">
        <w:rPr>
          <w:b/>
          <w:bCs/>
          <w:sz w:val="24"/>
          <w:szCs w:val="24"/>
          <w:rtl/>
        </w:rPr>
        <w:t>מפני שהוא כעבודה</w:t>
      </w:r>
      <w:r w:rsidRPr="0045295E">
        <w:rPr>
          <w:sz w:val="24"/>
          <w:szCs w:val="24"/>
          <w:rtl/>
        </w:rPr>
        <w:t xml:space="preserve">, ואין עבודה אלא מעומד שנאמר </w:t>
      </w:r>
      <w:r w:rsidRPr="0045295E">
        <w:rPr>
          <w:rFonts w:hint="cs"/>
          <w:sz w:val="24"/>
          <w:szCs w:val="24"/>
          <w:rtl/>
        </w:rPr>
        <w:t>'</w:t>
      </w:r>
      <w:r w:rsidRPr="0045295E">
        <w:rPr>
          <w:sz w:val="24"/>
          <w:szCs w:val="24"/>
          <w:rtl/>
        </w:rPr>
        <w:t>לעמוד לשרת</w:t>
      </w:r>
      <w:r w:rsidRPr="0045295E">
        <w:rPr>
          <w:rFonts w:hint="cs"/>
          <w:sz w:val="24"/>
          <w:szCs w:val="24"/>
          <w:rtl/>
        </w:rPr>
        <w:t>'</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[הל' ביאת מקדש פ"ה הט"ז]</w:t>
      </w:r>
      <w:r>
        <w:rPr>
          <w:rStyle w:val="a7"/>
          <w:sz w:val="24"/>
          <w:szCs w:val="24"/>
          <w:rtl/>
        </w:rPr>
        <w:footnoteReference w:id="56"/>
      </w:r>
    </w:p>
    <w:p w:rsidR="00C26E1A" w:rsidRDefault="00C26E1A" w:rsidP="00C26E1A">
      <w:pPr>
        <w:spacing w:line="276" w:lineRule="auto"/>
        <w:ind w:firstLine="227"/>
        <w:rPr>
          <w:sz w:val="24"/>
          <w:szCs w:val="24"/>
          <w:rtl/>
        </w:rPr>
      </w:pPr>
      <w:r>
        <w:rPr>
          <w:rFonts w:hint="cs"/>
          <w:sz w:val="24"/>
          <w:szCs w:val="24"/>
          <w:rtl/>
        </w:rPr>
        <w:t>מדברי הרמב"ם עולה שהקידוש שבכל יום אינו רק מעשה המכשיר את הכהן לעבודה, אלא זהו חלק ממעשה השירות; השלב הפותח את עבודת היום במקדש הוא קידוש הידיים והרגליים, וכך הוא מהווה חלק מגוף עבודת המקדש</w:t>
      </w:r>
      <w:r>
        <w:rPr>
          <w:rStyle w:val="a7"/>
          <w:sz w:val="24"/>
          <w:szCs w:val="24"/>
          <w:rtl/>
        </w:rPr>
        <w:footnoteReference w:id="57"/>
      </w:r>
      <w:r>
        <w:rPr>
          <w:rFonts w:hint="cs"/>
          <w:sz w:val="24"/>
          <w:szCs w:val="24"/>
          <w:rtl/>
        </w:rPr>
        <w:t xml:space="preserve">. </w:t>
      </w:r>
    </w:p>
    <w:p w:rsidR="00C26E1A" w:rsidRDefault="00C26E1A" w:rsidP="00C26E1A">
      <w:pPr>
        <w:spacing w:line="276" w:lineRule="auto"/>
        <w:ind w:firstLine="227"/>
        <w:rPr>
          <w:sz w:val="24"/>
          <w:szCs w:val="24"/>
          <w:rtl/>
        </w:rPr>
      </w:pPr>
      <w:r>
        <w:rPr>
          <w:rFonts w:hint="cs"/>
          <w:sz w:val="24"/>
          <w:szCs w:val="24"/>
          <w:rtl/>
        </w:rPr>
        <w:t>על פי דברים אלו כותב השפת אמת:</w:t>
      </w:r>
    </w:p>
    <w:p w:rsidR="00C26E1A" w:rsidRDefault="00C26E1A" w:rsidP="00C26E1A">
      <w:pPr>
        <w:spacing w:line="276" w:lineRule="auto"/>
        <w:ind w:left="720"/>
        <w:rPr>
          <w:sz w:val="20"/>
          <w:szCs w:val="20"/>
          <w:rtl/>
        </w:rPr>
      </w:pPr>
      <w:r>
        <w:rPr>
          <w:rFonts w:hint="cs"/>
          <w:sz w:val="24"/>
          <w:szCs w:val="24"/>
          <w:rtl/>
        </w:rPr>
        <w:t xml:space="preserve">ואם כן נראה דבלאו הכי צריך להיות </w:t>
      </w:r>
      <w:r w:rsidRPr="00785B5C">
        <w:rPr>
          <w:sz w:val="24"/>
          <w:szCs w:val="24"/>
          <w:rtl/>
        </w:rPr>
        <w:t>הקידוש כשהוא לבוש</w:t>
      </w:r>
      <w:r>
        <w:rPr>
          <w:rFonts w:hint="cs"/>
          <w:sz w:val="24"/>
          <w:szCs w:val="24"/>
          <w:rtl/>
        </w:rPr>
        <w:t>,</w:t>
      </w:r>
      <w:r w:rsidRPr="00785B5C">
        <w:rPr>
          <w:sz w:val="24"/>
          <w:szCs w:val="24"/>
          <w:rtl/>
        </w:rPr>
        <w:t xml:space="preserve"> דעבודה פסולה במחוסר בגד</w:t>
      </w:r>
      <w:r>
        <w:rPr>
          <w:sz w:val="24"/>
          <w:szCs w:val="24"/>
          <w:rtl/>
        </w:rPr>
        <w:t>ים</w:t>
      </w:r>
      <w:r>
        <w:rPr>
          <w:rFonts w:hint="cs"/>
          <w:sz w:val="24"/>
          <w:szCs w:val="24"/>
          <w:rtl/>
        </w:rPr>
        <w:t>.</w:t>
      </w:r>
      <w:r>
        <w:rPr>
          <w:sz w:val="24"/>
          <w:szCs w:val="24"/>
          <w:rtl/>
        </w:rPr>
        <w:t xml:space="preserve"> ואין להקשות ע</w:t>
      </w:r>
      <w:r>
        <w:rPr>
          <w:rFonts w:hint="cs"/>
          <w:sz w:val="24"/>
          <w:szCs w:val="24"/>
          <w:rtl/>
        </w:rPr>
        <w:t>ל זה</w:t>
      </w:r>
      <w:r>
        <w:rPr>
          <w:sz w:val="24"/>
          <w:szCs w:val="24"/>
          <w:rtl/>
        </w:rPr>
        <w:t xml:space="preserve"> מהני קידושי דיומא ביו</w:t>
      </w:r>
      <w:r>
        <w:rPr>
          <w:rFonts w:hint="cs"/>
          <w:sz w:val="24"/>
          <w:szCs w:val="24"/>
          <w:rtl/>
        </w:rPr>
        <w:t>ם כיפור</w:t>
      </w:r>
      <w:r>
        <w:rPr>
          <w:sz w:val="24"/>
          <w:szCs w:val="24"/>
          <w:rtl/>
        </w:rPr>
        <w:t xml:space="preserve"> דאיכא מ</w:t>
      </w:r>
      <w:r>
        <w:rPr>
          <w:rFonts w:hint="cs"/>
          <w:sz w:val="24"/>
          <w:szCs w:val="24"/>
          <w:rtl/>
        </w:rPr>
        <w:t>אן דאמר</w:t>
      </w:r>
      <w:r w:rsidRPr="00785B5C">
        <w:rPr>
          <w:sz w:val="24"/>
          <w:szCs w:val="24"/>
          <w:rtl/>
        </w:rPr>
        <w:t xml:space="preserve"> דהוי קודם לבישה, </w:t>
      </w:r>
      <w:r w:rsidRPr="00F61FCC">
        <w:rPr>
          <w:b/>
          <w:bCs/>
          <w:sz w:val="24"/>
          <w:szCs w:val="24"/>
          <w:rtl/>
        </w:rPr>
        <w:t>דהני גז</w:t>
      </w:r>
      <w:r w:rsidRPr="00F61FCC">
        <w:rPr>
          <w:rFonts w:hint="cs"/>
          <w:b/>
          <w:bCs/>
          <w:sz w:val="24"/>
          <w:szCs w:val="24"/>
          <w:rtl/>
        </w:rPr>
        <w:t>ירת הכתוב</w:t>
      </w:r>
      <w:r w:rsidRPr="00F61FCC">
        <w:rPr>
          <w:b/>
          <w:bCs/>
          <w:sz w:val="24"/>
          <w:szCs w:val="24"/>
          <w:rtl/>
        </w:rPr>
        <w:t xml:space="preserve"> נינהו ואינן בכלל </w:t>
      </w:r>
      <w:r w:rsidRPr="00F61FCC">
        <w:rPr>
          <w:rFonts w:hint="cs"/>
          <w:b/>
          <w:bCs/>
          <w:sz w:val="24"/>
          <w:szCs w:val="24"/>
          <w:rtl/>
        </w:rPr>
        <w:t>'</w:t>
      </w:r>
      <w:r w:rsidRPr="00F61FCC">
        <w:rPr>
          <w:b/>
          <w:bCs/>
          <w:sz w:val="24"/>
          <w:szCs w:val="24"/>
          <w:rtl/>
        </w:rPr>
        <w:t>לשרת</w:t>
      </w:r>
      <w:r w:rsidRPr="00F61FCC">
        <w:rPr>
          <w:rFonts w:hint="cs"/>
          <w:b/>
          <w:bCs/>
          <w:sz w:val="24"/>
          <w:szCs w:val="24"/>
          <w:rtl/>
        </w:rPr>
        <w:t>'</w:t>
      </w:r>
      <w:r w:rsidRPr="00F61FCC">
        <w:rPr>
          <w:b/>
          <w:bCs/>
          <w:sz w:val="24"/>
          <w:szCs w:val="24"/>
          <w:rtl/>
        </w:rPr>
        <w:t xml:space="preserve"> דכתי</w:t>
      </w:r>
      <w:r w:rsidRPr="00F61FCC">
        <w:rPr>
          <w:rFonts w:hint="cs"/>
          <w:b/>
          <w:bCs/>
          <w:sz w:val="24"/>
          <w:szCs w:val="24"/>
          <w:rtl/>
        </w:rPr>
        <w:t>ב</w:t>
      </w:r>
      <w:r w:rsidRPr="00F61FCC">
        <w:rPr>
          <w:b/>
          <w:bCs/>
          <w:sz w:val="24"/>
          <w:szCs w:val="24"/>
          <w:rtl/>
        </w:rPr>
        <w:t xml:space="preserve"> גבי קידוש ידים ורגלים דכל השנה</w:t>
      </w:r>
      <w:r>
        <w:rPr>
          <w:rFonts w:hint="cs"/>
          <w:sz w:val="24"/>
          <w:szCs w:val="24"/>
          <w:rtl/>
        </w:rPr>
        <w:t xml:space="preserve">. </w:t>
      </w:r>
    </w:p>
    <w:p w:rsidR="00C26E1A" w:rsidRDefault="00C26E1A" w:rsidP="00C26E1A">
      <w:pPr>
        <w:spacing w:line="276" w:lineRule="auto"/>
        <w:ind w:left="720"/>
        <w:jc w:val="right"/>
        <w:rPr>
          <w:sz w:val="20"/>
          <w:szCs w:val="20"/>
          <w:rtl/>
        </w:rPr>
      </w:pPr>
      <w:r>
        <w:rPr>
          <w:rFonts w:hint="cs"/>
          <w:sz w:val="20"/>
          <w:szCs w:val="20"/>
          <w:rtl/>
        </w:rPr>
        <w:t>[שפת אמת לב: ד"ה לא]</w:t>
      </w:r>
    </w:p>
    <w:p w:rsidR="00C26E1A" w:rsidRDefault="00C26E1A" w:rsidP="00C26E1A">
      <w:pPr>
        <w:spacing w:line="276" w:lineRule="auto"/>
        <w:ind w:firstLine="266"/>
        <w:rPr>
          <w:sz w:val="24"/>
          <w:szCs w:val="24"/>
          <w:rtl/>
        </w:rPr>
      </w:pPr>
      <w:r>
        <w:rPr>
          <w:rFonts w:hint="cs"/>
          <w:sz w:val="24"/>
          <w:szCs w:val="24"/>
          <w:rtl/>
        </w:rPr>
        <w:t>לדברי השפת אמת, דווקא הקידוש שבכל השנה מהווה מעשה של 'שירות', ולכן הוא צריך להיעשות כאשר הכהן לבוש בבגדי כהונה; ביום הכיפורים הקידוש אינו 'שירות', ולכן קיימת דעה שהוא נעשה לאחר פשיטת הבגדים</w:t>
      </w:r>
      <w:r>
        <w:rPr>
          <w:rStyle w:val="a7"/>
          <w:sz w:val="24"/>
          <w:szCs w:val="24"/>
          <w:rtl/>
        </w:rPr>
        <w:footnoteReference w:id="58"/>
      </w:r>
      <w:r>
        <w:rPr>
          <w:rFonts w:hint="cs"/>
          <w:sz w:val="24"/>
          <w:szCs w:val="24"/>
          <w:rtl/>
        </w:rPr>
        <w:t>.</w:t>
      </w:r>
    </w:p>
    <w:p w:rsidR="00C26E1A" w:rsidRDefault="00C26E1A" w:rsidP="00C26E1A">
      <w:pPr>
        <w:spacing w:line="276" w:lineRule="auto"/>
        <w:ind w:firstLine="266"/>
        <w:rPr>
          <w:sz w:val="24"/>
          <w:szCs w:val="24"/>
          <w:rtl/>
        </w:rPr>
      </w:pPr>
      <w:r>
        <w:rPr>
          <w:rFonts w:hint="cs"/>
          <w:sz w:val="24"/>
          <w:szCs w:val="24"/>
          <w:rtl/>
        </w:rPr>
        <w:t xml:space="preserve">על פי דבריו נראה כי באופן בסיסי שני הקידושים דומים זה לזה; בשניהם הכהן מקדש את עצמו על ידי רחיצת הידיים והרגליים. ההבדל ביניהם הוא ברובד נוסף הקיים בקידוש שבכל יום בלבד </w:t>
      </w:r>
      <w:r>
        <w:rPr>
          <w:sz w:val="24"/>
          <w:szCs w:val="24"/>
          <w:rtl/>
        </w:rPr>
        <w:t>–</w:t>
      </w:r>
      <w:r>
        <w:rPr>
          <w:rFonts w:hint="cs"/>
          <w:sz w:val="24"/>
          <w:szCs w:val="24"/>
          <w:rtl/>
        </w:rPr>
        <w:t xml:space="preserve"> רק קידוש זה, הפותח את עבודות היום, מהווה מעשה של 'שירות', אך הקידוש שביום הכיפורים מהווה קידוש אך לא 'שירות'.</w:t>
      </w:r>
    </w:p>
    <w:p w:rsidR="00C26E1A" w:rsidRDefault="00C26E1A" w:rsidP="00C26E1A">
      <w:pPr>
        <w:spacing w:line="276" w:lineRule="auto"/>
        <w:ind w:firstLine="266"/>
        <w:rPr>
          <w:sz w:val="24"/>
          <w:szCs w:val="24"/>
          <w:rtl/>
        </w:rPr>
      </w:pPr>
    </w:p>
    <w:p w:rsidR="00C26E1A" w:rsidRDefault="00C26E1A" w:rsidP="00C26E1A">
      <w:pPr>
        <w:spacing w:line="276" w:lineRule="auto"/>
        <w:ind w:firstLine="266"/>
        <w:rPr>
          <w:sz w:val="24"/>
          <w:szCs w:val="24"/>
          <w:rtl/>
        </w:rPr>
      </w:pPr>
      <w:r>
        <w:rPr>
          <w:rFonts w:hint="cs"/>
          <w:sz w:val="24"/>
          <w:szCs w:val="24"/>
          <w:rtl/>
        </w:rPr>
        <w:t>כתוספת לדברים אלו נציין כי בגמרא מפורש שקיים חילוק בין הקידוש שבכל יום לקידוש של יום הכיפורים לגבי הדין בדיעבד:</w:t>
      </w:r>
    </w:p>
    <w:p w:rsidR="00C26E1A" w:rsidRDefault="00C26E1A" w:rsidP="00C26E1A">
      <w:pPr>
        <w:spacing w:line="276" w:lineRule="auto"/>
        <w:ind w:left="720"/>
        <w:rPr>
          <w:sz w:val="24"/>
          <w:szCs w:val="24"/>
          <w:rtl/>
        </w:rPr>
      </w:pPr>
      <w:r>
        <w:rPr>
          <w:rFonts w:hint="cs"/>
          <w:sz w:val="24"/>
          <w:szCs w:val="24"/>
          <w:rtl/>
        </w:rPr>
        <w:t xml:space="preserve">תנו רבנן, </w:t>
      </w:r>
      <w:r w:rsidRPr="00F339EC">
        <w:rPr>
          <w:sz w:val="24"/>
          <w:szCs w:val="24"/>
          <w:rtl/>
        </w:rPr>
        <w:t xml:space="preserve">כהן גדול שלא טבל ושלא קידש בין בגד לבגד ובין עבודה לעבודה ועבד </w:t>
      </w:r>
      <w:r>
        <w:rPr>
          <w:sz w:val="24"/>
          <w:szCs w:val="24"/>
          <w:rtl/>
        </w:rPr>
        <w:t>–</w:t>
      </w:r>
      <w:r>
        <w:rPr>
          <w:rFonts w:hint="cs"/>
          <w:sz w:val="24"/>
          <w:szCs w:val="24"/>
          <w:rtl/>
        </w:rPr>
        <w:t xml:space="preserve"> </w:t>
      </w:r>
      <w:r w:rsidRPr="00F339EC">
        <w:rPr>
          <w:sz w:val="24"/>
          <w:szCs w:val="24"/>
          <w:rtl/>
        </w:rPr>
        <w:t>עבודתו כשרה</w:t>
      </w:r>
      <w:r>
        <w:rPr>
          <w:rFonts w:hint="cs"/>
          <w:sz w:val="24"/>
          <w:szCs w:val="24"/>
          <w:rtl/>
        </w:rPr>
        <w:t>.</w:t>
      </w:r>
      <w:r w:rsidRPr="00F339EC">
        <w:rPr>
          <w:sz w:val="24"/>
          <w:szCs w:val="24"/>
          <w:rtl/>
        </w:rPr>
        <w:t xml:space="preserve"> ואחד כהן גדול ואחד כהן הדיוט שלא קידש ידיו ורגליו שחרית ועבד </w:t>
      </w:r>
      <w:r>
        <w:rPr>
          <w:sz w:val="24"/>
          <w:szCs w:val="24"/>
          <w:rtl/>
        </w:rPr>
        <w:t>–</w:t>
      </w:r>
      <w:r>
        <w:rPr>
          <w:rFonts w:hint="cs"/>
          <w:sz w:val="24"/>
          <w:szCs w:val="24"/>
          <w:rtl/>
        </w:rPr>
        <w:t xml:space="preserve"> </w:t>
      </w:r>
      <w:r w:rsidRPr="00F339EC">
        <w:rPr>
          <w:sz w:val="24"/>
          <w:szCs w:val="24"/>
          <w:rtl/>
        </w:rPr>
        <w:t>עבודתו פסולה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[זבחים יט:]</w:t>
      </w:r>
    </w:p>
    <w:p w:rsidR="00C26E1A" w:rsidRDefault="00C26E1A" w:rsidP="00C26E1A">
      <w:pPr>
        <w:spacing w:line="276" w:lineRule="auto"/>
        <w:rPr>
          <w:sz w:val="24"/>
          <w:szCs w:val="24"/>
          <w:rtl/>
        </w:rPr>
      </w:pPr>
      <w:r w:rsidRPr="00F339EC">
        <w:rPr>
          <w:rFonts w:hint="cs"/>
          <w:sz w:val="24"/>
          <w:szCs w:val="24"/>
          <w:rtl/>
        </w:rPr>
        <w:t xml:space="preserve"> </w:t>
      </w:r>
      <w:r>
        <w:rPr>
          <w:rFonts w:hint="cs"/>
          <w:sz w:val="24"/>
          <w:szCs w:val="24"/>
          <w:rtl/>
        </w:rPr>
        <w:t xml:space="preserve"> כהן שעבד ללא קידוש ידיים ורגליים עבודתו פסולה, ואילו כהן גדול שלא קידש ידיו ורגליו בשעת החלפת הבגדים עבודתו כשרה. על פי חילוקו של הגרי"ז, ההבדל בין הדינים נובע מההבדל העקרוני ביניהם: קידוש הבא לקדש את הכהן מעכב, אך קידוש הבא לכבוד הבגדים בלבד אינו מעכב</w:t>
      </w:r>
      <w:r>
        <w:rPr>
          <w:rStyle w:val="a7"/>
          <w:sz w:val="24"/>
          <w:szCs w:val="24"/>
          <w:rtl/>
        </w:rPr>
        <w:footnoteReference w:id="59"/>
      </w:r>
      <w:r>
        <w:rPr>
          <w:rFonts w:hint="cs"/>
          <w:sz w:val="24"/>
          <w:szCs w:val="24"/>
          <w:rtl/>
        </w:rPr>
        <w:t>. לעומת זאת, על פי דרכו של השפת אמת יש לבאר כי אמנם שני הקידושים באים כדי לקדש את הכהן, אך אף על פי כן קיים הבדל ביניהם: הקידושים שביום הכיפורים באים לאחר שהכהן כבר התקדש בקידוש הראשון, וכך הוא כבר ראוי לעבודה; לכן הקידושים הנוספים הם לתוספת מעלה בלבד אך אינם מעכבים</w:t>
      </w:r>
      <w:r>
        <w:rPr>
          <w:rStyle w:val="a7"/>
          <w:sz w:val="24"/>
          <w:szCs w:val="24"/>
          <w:rtl/>
        </w:rPr>
        <w:footnoteReference w:id="60"/>
      </w:r>
      <w:r>
        <w:rPr>
          <w:rFonts w:hint="cs"/>
          <w:sz w:val="24"/>
          <w:szCs w:val="24"/>
          <w:rtl/>
        </w:rPr>
        <w:t>.</w:t>
      </w:r>
    </w:p>
    <w:p w:rsidR="00C26E1A" w:rsidRDefault="00C26E1A" w:rsidP="00C26E1A">
      <w:pPr>
        <w:spacing w:line="276" w:lineRule="auto"/>
        <w:ind w:firstLine="266"/>
        <w:rPr>
          <w:sz w:val="24"/>
          <w:szCs w:val="24"/>
          <w:rtl/>
        </w:rPr>
      </w:pPr>
    </w:p>
    <w:p w:rsidR="00C26E1A" w:rsidRDefault="00C26E1A" w:rsidP="00C26E1A">
      <w:pPr>
        <w:spacing w:line="276" w:lineRule="auto"/>
        <w:ind w:firstLine="266"/>
        <w:rPr>
          <w:sz w:val="24"/>
          <w:szCs w:val="24"/>
          <w:rtl/>
        </w:rPr>
      </w:pPr>
      <w:r w:rsidRPr="006A11EA">
        <w:rPr>
          <w:noProof/>
          <w:highlight w:val="green"/>
          <w:rtl/>
        </w:rPr>
        <w:lastRenderedPageBreak/>
        <mc:AlternateContent>
          <mc:Choice Requires="wps">
            <w:drawing>
              <wp:anchor distT="0" distB="0" distL="114300" distR="114300" simplePos="0" relativeHeight="251682816" behindDoc="1" locked="0" layoutInCell="1" allowOverlap="1" wp14:anchorId="74622C31" wp14:editId="75465A12">
                <wp:simplePos x="0" y="0"/>
                <wp:positionH relativeFrom="margin">
                  <wp:posOffset>-259080</wp:posOffset>
                </wp:positionH>
                <wp:positionV relativeFrom="paragraph">
                  <wp:posOffset>-43479720</wp:posOffset>
                </wp:positionV>
                <wp:extent cx="5765800" cy="7780020"/>
                <wp:effectExtent l="0" t="0" r="25400" b="11430"/>
                <wp:wrapNone/>
                <wp:docPr id="16" name="מלבן 16"/>
                <wp:cNvGraphicFramePr/>
                <a:graphic xmlns:a="http://schemas.openxmlformats.org/drawingml/2006/main">
                  <a:graphicData uri="http://schemas.microsoft.com/office/word/2010/wordprocessingShape">
                    <wps:wsp>
                      <wps:cNvSpPr/>
                      <wps:spPr>
                        <a:xfrm>
                          <a:off x="0" y="0"/>
                          <a:ext cx="5765800" cy="778002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D46F4" id="מלבן 16" o:spid="_x0000_s1026" style="position:absolute;left:0;text-align:left;margin-left:-20.4pt;margin-top:-3423.6pt;width:454pt;height:612.6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bhwIAAAMFAAAOAAAAZHJzL2Uyb0RvYy54bWysVEtu2zAQ3RfoHQjuG9mGHSdC5MBw4KJA&#10;kARIiqxpirIE8FeStuzeovuiPZav00dKcT7NqqgX9AxnOJ83b3RxuVOSbIXzjdEFHZ4MKBGam7LR&#10;64J+fVh+OqPEB6ZLJo0WBd0LTy9nHz9ctDYXI1MbWQpHEET7vLUFrUOweZZ5XgvF/ImxQsNYGadY&#10;gOrWWelYi+hKZqPB4DRrjSutM1x4j9urzkhnKX5VCR5uq8qLQGRBUVtIp0vnKp7Z7ILla8ds3fC+&#10;DPYPVSjWaCQ9hrpigZGNa/4KpRrujDdVOOFGZaaqGi5SD+hmOHjTzX3NrEi9ABxvjzD5/xeW32zv&#10;HGlKzO6UEs0UZnT4dfh5+HH4TXAFfFrrc7jd2zvXax5ibHZXORX/0QbZJUz3R0zFLhCOy8n0dHI2&#10;APQctukU4iihnj0/t86Hz8IoEoWCOgwtYcm21z4gJVyfXGI2b2RTLhspk7L3C+nIlmG+oEVpWkok&#10;8wGXBV2mX+wBIV49k5q0aPl8MImVMRCvkixAVBZQeL2mhMk1GM2DS7W8eu3denXMOh5PR4vxe0li&#10;0VfM1111KUJ0Y7lqAkgvG1VQ4IFf/1rqaBWJtn3rEfwO7iitTLnHuJzpeOwtXzZIco2G75gDcdEN&#10;ljHc4qikQYumlyipjfv+3n30B59gpaTFIqD9bxvmBHD8osG08+F4HDcnKePJFOMj7qVl9dKiN2ph&#10;MIsh1t7yJEb/IJ9uK2fUI3Z2HrPCxDRH7g7oXlmEbkGx9VzM58kN22JZuNb3lsfgEacI78PukTnb&#10;EyeAczfmaWlY/oY/nW98qc18E0zVJHI94wqaRAWblgjTfxXiKr/Uk9fzt2v2BwAA//8DAFBLAwQU&#10;AAYACAAAACEAYHocqeIAAAAPAQAADwAAAGRycy9kb3ducmV2LnhtbEyPwU7DMBBE70j8g7VI3Fq7&#10;UTFRGqeiSAg4gGhBPbuxcSLidYjdJvw92xPcZndGs2/L9eQ7drJDbAMqWMwFMIt1MC06BR/vD7Mc&#10;WEwaje4CWgU/NsK6urwodWHCiFt72iXHqARjoRU0KfUF57FurNdxHnqL5H2GwetE4+C4GfRI5b7j&#10;mRCSe90iXWh0b+8bW3/tjl7B88Z975/cYit99zZu8FG8vgSh1PXVdLcCluyU/sJwxid0qIjpEI5o&#10;IusUzJaC0BMJmS9vM2CUyeVZHGh3I7NMAK9K/v+P6hcAAP//AwBQSwECLQAUAAYACAAAACEAtoM4&#10;kv4AAADhAQAAEwAAAAAAAAAAAAAAAAAAAAAAW0NvbnRlbnRfVHlwZXNdLnhtbFBLAQItABQABgAI&#10;AAAAIQA4/SH/1gAAAJQBAAALAAAAAAAAAAAAAAAAAC8BAABfcmVscy8ucmVsc1BLAQItABQABgAI&#10;AAAAIQB/ljnbhwIAAAMFAAAOAAAAAAAAAAAAAAAAAC4CAABkcnMvZTJvRG9jLnhtbFBLAQItABQA&#10;BgAIAAAAIQBgehyp4gAAAA8BAAAPAAAAAAAAAAAAAAAAAOEEAABkcnMvZG93bnJldi54bWxQSwUG&#10;AAAAAAQABADzAAAA8AUAAAAA&#10;" fillcolor="window" strokecolor="#4472c4" strokeweight="1.5pt">
                <w10:wrap anchorx="margin"/>
              </v:rect>
            </w:pict>
          </mc:Fallback>
        </mc:AlternateContent>
      </w:r>
      <w:r>
        <w:rPr>
          <w:rFonts w:hint="cs"/>
          <w:sz w:val="24"/>
          <w:szCs w:val="24"/>
          <w:rtl/>
        </w:rPr>
        <w:t xml:space="preserve">בשולי הדברים נעיר, כי אמנם קידוש ידיים ורגליים אינו מפורש בפרשיית סדר העבודה, אך נראה ששורשו נמצא בכתובים עצמם. בשיעור שעבר עמדנו על ההבדל הקיים לגבי הטבילות בין הנראה מפשטות הכתובים לבין ההלכה האמורה על ידי חז"ל. על פי פשטות הכתובים, הטבילות באות לכבוד בגדי הלבן, והן נעשות בשעת לבישתם ובשעת פשיטתם. לעומת זאת, על פי חז"ל, הטבילות אינן קשורות לבגדים, והן באות בכל 'שינוי מעבודה לעבודה'. נראה שהפער בין הפשט לדרש נובע מכך שאמנם על פי פשטות הכתובים הטבילות באות לשם </w:t>
      </w:r>
      <w:r>
        <w:rPr>
          <w:rFonts w:hint="cs"/>
          <w:b/>
          <w:bCs/>
          <w:sz w:val="24"/>
          <w:szCs w:val="24"/>
          <w:rtl/>
        </w:rPr>
        <w:t>תוספת קדושה</w:t>
      </w:r>
      <w:r>
        <w:rPr>
          <w:rFonts w:hint="cs"/>
          <w:sz w:val="24"/>
          <w:szCs w:val="24"/>
          <w:rtl/>
        </w:rPr>
        <w:t xml:space="preserve">, אך בשאר המקומות מצאנו טבילה הבאה לשם </w:t>
      </w:r>
      <w:r>
        <w:rPr>
          <w:rFonts w:hint="cs"/>
          <w:b/>
          <w:bCs/>
          <w:sz w:val="24"/>
          <w:szCs w:val="24"/>
          <w:rtl/>
        </w:rPr>
        <w:t xml:space="preserve">טהרה מטומאה </w:t>
      </w:r>
      <w:r>
        <w:rPr>
          <w:rFonts w:hint="cs"/>
          <w:sz w:val="24"/>
          <w:szCs w:val="24"/>
          <w:rtl/>
        </w:rPr>
        <w:t xml:space="preserve">או לשם </w:t>
      </w:r>
      <w:r>
        <w:rPr>
          <w:rFonts w:hint="cs"/>
          <w:b/>
          <w:bCs/>
          <w:sz w:val="24"/>
          <w:szCs w:val="24"/>
          <w:rtl/>
        </w:rPr>
        <w:t>שינוי מעמד הגברא</w:t>
      </w:r>
      <w:r>
        <w:rPr>
          <w:rFonts w:hint="cs"/>
          <w:sz w:val="24"/>
          <w:szCs w:val="24"/>
          <w:rtl/>
        </w:rPr>
        <w:t xml:space="preserve"> (כטבילת גר וכדו') בלבד, ואילו קידוש האדם נעשה על ידי מעשה אחר: רחיצת הידיים והרגליים</w:t>
      </w:r>
      <w:r>
        <w:rPr>
          <w:rStyle w:val="a7"/>
          <w:sz w:val="24"/>
          <w:szCs w:val="24"/>
          <w:rtl/>
        </w:rPr>
        <w:footnoteReference w:id="61"/>
      </w:r>
      <w:r>
        <w:rPr>
          <w:rFonts w:hint="cs"/>
          <w:sz w:val="24"/>
          <w:szCs w:val="24"/>
          <w:rtl/>
        </w:rPr>
        <w:t xml:space="preserve">. בשל כך, התורה שבעל פה מלמדת כי הטבילה וההתקדשות נעשים על ידי הכהן הגדול בשני מעשים שונים: בטבילת כל גופו </w:t>
      </w:r>
      <w:r>
        <w:rPr>
          <w:sz w:val="24"/>
          <w:szCs w:val="24"/>
          <w:rtl/>
        </w:rPr>
        <w:t>–</w:t>
      </w:r>
      <w:r>
        <w:rPr>
          <w:rFonts w:hint="cs"/>
          <w:sz w:val="24"/>
          <w:szCs w:val="24"/>
          <w:rtl/>
        </w:rPr>
        <w:t xml:space="preserve"> בכל שינוי מעבודה לעבודה, ובקידוש ידיו ורגליו </w:t>
      </w:r>
      <w:r>
        <w:rPr>
          <w:sz w:val="24"/>
          <w:szCs w:val="24"/>
          <w:rtl/>
        </w:rPr>
        <w:t>–</w:t>
      </w:r>
      <w:r>
        <w:rPr>
          <w:rFonts w:hint="cs"/>
          <w:sz w:val="24"/>
          <w:szCs w:val="24"/>
          <w:rtl/>
        </w:rPr>
        <w:t xml:space="preserve"> בשעת לבישת הבגדים ופשיטתם.</w:t>
      </w:r>
    </w:p>
    <w:p w:rsidR="00C26E1A" w:rsidRPr="006A11EA" w:rsidRDefault="00C26E1A" w:rsidP="00C26E1A">
      <w:pPr>
        <w:spacing w:line="276" w:lineRule="auto"/>
        <w:ind w:firstLine="266"/>
        <w:rPr>
          <w:sz w:val="24"/>
          <w:szCs w:val="24"/>
          <w:rtl/>
        </w:rPr>
      </w:pPr>
    </w:p>
    <w:p w:rsidR="00C26E1A" w:rsidRPr="006A11EA" w:rsidRDefault="00C26E1A" w:rsidP="00C26E1A">
      <w:pPr>
        <w:spacing w:before="60" w:after="60" w:line="276" w:lineRule="auto"/>
        <w:ind w:firstLine="266"/>
        <w:jc w:val="right"/>
        <w:rPr>
          <w:sz w:val="24"/>
          <w:szCs w:val="24"/>
        </w:rPr>
      </w:pPr>
      <w:r w:rsidRPr="006A11EA">
        <w:rPr>
          <w:rFonts w:hint="cs"/>
          <w:sz w:val="24"/>
          <w:szCs w:val="24"/>
          <w:u w:val="single"/>
          <w:rtl/>
        </w:rPr>
        <w:t>להערות ולתגובות</w:t>
      </w:r>
      <w:r w:rsidRPr="006A11EA">
        <w:rPr>
          <w:rFonts w:hint="cs"/>
          <w:sz w:val="24"/>
          <w:szCs w:val="24"/>
          <w:rtl/>
        </w:rPr>
        <w:t>: שלמה ליפשיץ</w:t>
      </w:r>
    </w:p>
    <w:p w:rsidR="00C26E1A" w:rsidRPr="006B07E9" w:rsidRDefault="00C26E1A" w:rsidP="00C26E1A">
      <w:pPr>
        <w:spacing w:before="60" w:after="60" w:line="276" w:lineRule="auto"/>
        <w:ind w:firstLine="227"/>
        <w:jc w:val="right"/>
        <w:rPr>
          <w:sz w:val="30"/>
          <w:szCs w:val="30"/>
        </w:rPr>
      </w:pPr>
      <w:hyperlink r:id="rId15" w:history="1">
        <w:r w:rsidRPr="006A11EA">
          <w:rPr>
            <w:rStyle w:val="Hyperlink"/>
            <w:sz w:val="24"/>
            <w:szCs w:val="24"/>
          </w:rPr>
          <w:t>lshlomo26@gmail.com</w:t>
        </w:r>
      </w:hyperlink>
    </w:p>
    <w:p w:rsidR="00C26E1A" w:rsidRDefault="00C26E1A" w:rsidP="00C26E1A">
      <w:pPr>
        <w:spacing w:line="276" w:lineRule="exact"/>
        <w:jc w:val="center"/>
        <w:rPr>
          <w:rFonts w:hint="cs"/>
          <w:color w:val="525252" w:themeColor="accent3" w:themeShade="80"/>
          <w:sz w:val="30"/>
          <w:szCs w:val="30"/>
          <w:rtl/>
        </w:rPr>
      </w:pPr>
    </w:p>
    <w:p w:rsidR="00C26E1A" w:rsidRDefault="00C26E1A">
      <w:pPr>
        <w:spacing w:after="0" w:line="240" w:lineRule="auto"/>
        <w:rPr>
          <w:color w:val="525252" w:themeColor="accent3" w:themeShade="80"/>
          <w:sz w:val="28"/>
          <w:szCs w:val="28"/>
          <w:rtl/>
        </w:rPr>
      </w:pPr>
      <w:r>
        <w:rPr>
          <w:color w:val="525252" w:themeColor="accent3" w:themeShade="80"/>
          <w:sz w:val="28"/>
          <w:szCs w:val="28"/>
          <w:rtl/>
        </w:rPr>
        <w:br w:type="page"/>
      </w:r>
    </w:p>
    <w:p w:rsidR="00C26E1A" w:rsidRPr="006D47EB" w:rsidRDefault="00C26E1A" w:rsidP="00C26E1A">
      <w:pPr>
        <w:keepNext/>
        <w:keepLines/>
        <w:spacing w:before="240" w:after="0" w:line="276" w:lineRule="exact"/>
        <w:jc w:val="center"/>
        <w:outlineLvl w:val="0"/>
        <w:rPr>
          <w:rFonts w:asciiTheme="majorHAnsi" w:eastAsiaTheme="majorEastAsia" w:hAnsiTheme="majorHAnsi"/>
          <w:bCs/>
          <w:sz w:val="36"/>
          <w:szCs w:val="36"/>
          <w:rtl/>
        </w:rPr>
      </w:pPr>
      <w:bookmarkStart w:id="57" w:name="_Toc76718414"/>
      <w:bookmarkStart w:id="58" w:name="_Toc76718819"/>
      <w:bookmarkStart w:id="59" w:name="_Toc76719159"/>
      <w:r w:rsidRPr="006D47EB">
        <w:rPr>
          <w:rFonts w:asciiTheme="majorHAnsi" w:eastAsiaTheme="majorEastAsia" w:hAnsiTheme="majorHAnsi" w:hint="cs"/>
          <w:bCs/>
          <w:sz w:val="40"/>
          <w:szCs w:val="40"/>
          <w:rtl/>
        </w:rPr>
        <w:lastRenderedPageBreak/>
        <w:t>יסודות יומא</w:t>
      </w:r>
      <w:bookmarkEnd w:id="57"/>
      <w:bookmarkEnd w:id="58"/>
      <w:bookmarkEnd w:id="59"/>
    </w:p>
    <w:p w:rsidR="00C26E1A" w:rsidRPr="006D47EB" w:rsidRDefault="00C26E1A" w:rsidP="00C26E1A">
      <w:pPr>
        <w:keepNext/>
        <w:keepLines/>
        <w:spacing w:before="240" w:after="0" w:line="276" w:lineRule="exact"/>
        <w:jc w:val="center"/>
        <w:outlineLvl w:val="0"/>
        <w:rPr>
          <w:rFonts w:asciiTheme="majorHAnsi" w:eastAsiaTheme="majorEastAsia" w:hAnsiTheme="majorHAnsi"/>
          <w:b/>
          <w:sz w:val="32"/>
          <w:szCs w:val="32"/>
          <w:rtl/>
        </w:rPr>
      </w:pPr>
      <w:bookmarkStart w:id="60" w:name="_Toc76719160"/>
      <w:r w:rsidRPr="006D47EB">
        <w:rPr>
          <w:rFonts w:asciiTheme="majorHAnsi" w:eastAsiaTheme="majorEastAsia" w:hAnsiTheme="majorHAnsi" w:hint="cs"/>
          <w:b/>
          <w:sz w:val="32"/>
          <w:szCs w:val="32"/>
          <w:rtl/>
        </w:rPr>
        <w:t>שיעור תשיעי</w:t>
      </w:r>
      <w:bookmarkEnd w:id="60"/>
    </w:p>
    <w:p w:rsidR="00C26E1A" w:rsidRPr="006D47EB" w:rsidRDefault="00C26E1A" w:rsidP="00C26E1A">
      <w:pPr>
        <w:keepNext/>
        <w:keepLines/>
        <w:spacing w:before="240" w:after="0" w:line="276" w:lineRule="exact"/>
        <w:jc w:val="center"/>
        <w:outlineLvl w:val="0"/>
        <w:rPr>
          <w:rFonts w:asciiTheme="majorHAnsi" w:eastAsiaTheme="majorEastAsia" w:hAnsiTheme="majorHAnsi"/>
          <w:bCs/>
          <w:sz w:val="32"/>
          <w:szCs w:val="32"/>
          <w:rtl/>
        </w:rPr>
      </w:pPr>
      <w:bookmarkStart w:id="61" w:name="_Toc76718416"/>
      <w:bookmarkStart w:id="62" w:name="_Toc76718821"/>
      <w:bookmarkStart w:id="63" w:name="_Toc76719161"/>
      <w:r w:rsidRPr="006D47EB">
        <w:rPr>
          <w:rFonts w:asciiTheme="majorHAnsi" w:eastAsiaTheme="majorEastAsia" w:hAnsiTheme="majorHAnsi" w:hint="cs"/>
          <w:bCs/>
          <w:sz w:val="36"/>
          <w:szCs w:val="36"/>
          <w:rtl/>
        </w:rPr>
        <w:t>פרו של כהן גדול</w:t>
      </w:r>
      <w:bookmarkEnd w:id="61"/>
      <w:bookmarkEnd w:id="62"/>
      <w:bookmarkEnd w:id="63"/>
    </w:p>
    <w:p w:rsidR="00C26E1A" w:rsidRPr="006D47EB" w:rsidRDefault="00C26E1A" w:rsidP="00C26E1A">
      <w:pPr>
        <w:spacing w:line="276" w:lineRule="exact"/>
        <w:rPr>
          <w:highlight w:val="green"/>
          <w:rtl/>
        </w:rPr>
      </w:pPr>
      <w:r w:rsidRPr="006D47EB">
        <w:rPr>
          <w:noProof/>
          <w:highlight w:val="green"/>
          <w:rtl/>
        </w:rPr>
        <mc:AlternateContent>
          <mc:Choice Requires="wps">
            <w:drawing>
              <wp:anchor distT="0" distB="0" distL="114300" distR="114300" simplePos="0" relativeHeight="251685888" behindDoc="1" locked="0" layoutInCell="1" allowOverlap="1" wp14:anchorId="26FA5190" wp14:editId="6C17BFE0">
                <wp:simplePos x="0" y="0"/>
                <wp:positionH relativeFrom="margin">
                  <wp:align>center</wp:align>
                </wp:positionH>
                <wp:positionV relativeFrom="paragraph">
                  <wp:posOffset>213360</wp:posOffset>
                </wp:positionV>
                <wp:extent cx="5765800" cy="5494020"/>
                <wp:effectExtent l="0" t="0" r="25400" b="11430"/>
                <wp:wrapNone/>
                <wp:docPr id="17" name="מלבן 17"/>
                <wp:cNvGraphicFramePr/>
                <a:graphic xmlns:a="http://schemas.openxmlformats.org/drawingml/2006/main">
                  <a:graphicData uri="http://schemas.microsoft.com/office/word/2010/wordprocessingShape">
                    <wps:wsp>
                      <wps:cNvSpPr/>
                      <wps:spPr>
                        <a:xfrm>
                          <a:off x="0" y="0"/>
                          <a:ext cx="5765800" cy="549402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ED3B7" id="מלבן 17" o:spid="_x0000_s1026" style="position:absolute;left:0;text-align:left;margin-left:0;margin-top:16.8pt;width:454pt;height:432.6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m1iAIAAAMFAAAOAAAAZHJzL2Uyb0RvYy54bWysVMtuGjEU3VfqP1jeNzOgISQoQ4SIqCpF&#10;SaSkytp4PMxIftU2DPQvuq/az+J3emwm5NGsqrIwvg/fx7nnzsXlVkmyEc63Rpd0cJJTIjQ3VatX&#10;Jf36sPh0RokPTFdMGi1KuhOeXk4/frjo7EQMTWNkJRxBEO0nnS1pE4KdZJnnjVDMnxgrNIy1cYoF&#10;iG6VVY51iK5kNszz06wzrrLOcOE9tFcHI52m+HUteLitay8CkSVFbSGdLp3LeGbTCzZZOWablvdl&#10;sH+oQrFWI+kx1BULjKxd+1co1XJnvKnDCTcqM3XdcpF6QDeD/E039w2zIvUCcLw9wuT/X1h+s7lz&#10;pK0wuzElminMaP9r/3P/Y/+bQAV8OusncLu3d66XPK6x2W3tVPxHG2SbMN0dMRXbQDiUo/Hp6CwH&#10;9By2UXFe5MOEevb83DofPgujSLyU1GFoCUu2ufYBKeH65BKzeSPbatFKmYSdn0tHNgzzBS0q01Ei&#10;mQ9QlnSRfrEHhHj1TGrSoeXzfBQrYyBeLVnAVVlA4fWKEiZXYDQPLtXy6rV3q+Uxa1GMh/PivSSx&#10;6Cvmm0N1KUJ0YxPVBpBetqqkgAa//rXU0SoSbfvWI/gHuONtaaodxuXMgcfe8kWLJNdo+I45EBfd&#10;YBnDLY5aGrRo+hsljXHf39NHf/AJVko6LALa/7ZmTgDHLxpMOx8URdycJBSjMcZH3EvL8qVFr9Xc&#10;YBYDrL3l6Rr9g3zS1s6oR+zsLGaFiWmO3Aege2EeDguKrediNktu2BbLwrW+tzwGjzhFeB+2j8zZ&#10;njgBnLsxT0vDJm/4c/CNL7WZrYOp20SuZ1xBkyhg0xJh+q9CXOWXcvJ6/nZN/wAAAP//AwBQSwME&#10;FAAGAAgAAAAhAN4Xbx3dAAAABwEAAA8AAABkcnMvZG93bnJldi54bWxMj8FOwzAQRO9I/IO1SNyo&#10;XSpFbhqnokgIOIDagji7setE2OsQu034e5YTHHdmNPO2Wk/Bs7MdUhdRwXwmgFlsounQKXh/e7iR&#10;wFLWaLSPaBV82wTr+vKi0qWJI+7seZ8doxJMpVbQ5tyXnKemtUGnWewtkneMQ9CZzsFxM+iRyoPn&#10;t0IUPOgOaaHVvb1vbfO5PwUFzxv39fHk5rsi+O24wUfx+hKFUtdX090KWLZT/gvDLz6hQ01Mh3hC&#10;k5hXQI9kBYtFAYzcpZAkHBTIpZTA64r/569/AAAA//8DAFBLAQItABQABgAIAAAAIQC2gziS/gAA&#10;AOEBAAATAAAAAAAAAAAAAAAAAAAAAABbQ29udGVudF9UeXBlc10ueG1sUEsBAi0AFAAGAAgAAAAh&#10;ADj9If/WAAAAlAEAAAsAAAAAAAAAAAAAAAAALwEAAF9yZWxzLy5yZWxzUEsBAi0AFAAGAAgAAAAh&#10;AGOZSbWIAgAAAwUAAA4AAAAAAAAAAAAAAAAALgIAAGRycy9lMm9Eb2MueG1sUEsBAi0AFAAGAAgA&#10;AAAhAN4Xbx3dAAAABwEAAA8AAAAAAAAAAAAAAAAA4gQAAGRycy9kb3ducmV2LnhtbFBLBQYAAAAA&#10;BAAEAPMAAADsBQAAAAA=&#10;" fillcolor="window" strokecolor="#4472c4" strokeweight="1.5pt">
                <w10:wrap anchorx="margin"/>
              </v:rect>
            </w:pict>
          </mc:Fallback>
        </mc:AlternateContent>
      </w:r>
    </w:p>
    <w:p w:rsidR="00C26E1A" w:rsidRPr="000F5840" w:rsidRDefault="00C26E1A" w:rsidP="00C26E1A">
      <w:pPr>
        <w:spacing w:line="276" w:lineRule="exact"/>
        <w:jc w:val="center"/>
        <w:rPr>
          <w:b/>
          <w:bCs/>
          <w:sz w:val="24"/>
          <w:szCs w:val="24"/>
          <w:rtl/>
        </w:rPr>
      </w:pPr>
      <w:r w:rsidRPr="000F5840">
        <w:rPr>
          <w:rFonts w:hint="cs"/>
          <w:b/>
          <w:bCs/>
          <w:sz w:val="24"/>
          <w:szCs w:val="24"/>
          <w:rtl/>
        </w:rPr>
        <w:t>מקורות</w:t>
      </w:r>
    </w:p>
    <w:p w:rsidR="00C26E1A" w:rsidRDefault="00C26E1A" w:rsidP="00C26E1A">
      <w:pPr>
        <w:spacing w:line="276" w:lineRule="exact"/>
        <w:rPr>
          <w:sz w:val="24"/>
          <w:szCs w:val="24"/>
          <w:rtl/>
        </w:rPr>
      </w:pPr>
      <w:r w:rsidRPr="000F5840">
        <w:rPr>
          <w:rFonts w:hint="cs"/>
          <w:sz w:val="24"/>
          <w:szCs w:val="24"/>
          <w:rtl/>
        </w:rPr>
        <w:t>א. ויקרא פרק טז</w:t>
      </w:r>
      <w:r>
        <w:rPr>
          <w:rFonts w:hint="cs"/>
          <w:sz w:val="24"/>
          <w:szCs w:val="24"/>
          <w:rtl/>
        </w:rPr>
        <w:t>; [ספורנו שם, פס' ג]</w:t>
      </w:r>
    </w:p>
    <w:p w:rsidR="00C26E1A" w:rsidRDefault="00C26E1A" w:rsidP="00C26E1A">
      <w:pPr>
        <w:spacing w:line="276" w:lineRule="exact"/>
        <w:rPr>
          <w:sz w:val="24"/>
          <w:szCs w:val="24"/>
          <w:rtl/>
        </w:rPr>
      </w:pPr>
      <w:r>
        <w:rPr>
          <w:rFonts w:hint="cs"/>
          <w:sz w:val="24"/>
          <w:szCs w:val="24"/>
          <w:rtl/>
        </w:rPr>
        <w:t>ב. גמ' יומא מט:-נא: "איבעיא להו שחט ומת... אחיו הכהנים"</w:t>
      </w:r>
    </w:p>
    <w:p w:rsidR="00C26E1A" w:rsidRDefault="00C26E1A" w:rsidP="00C26E1A">
      <w:pPr>
        <w:spacing w:line="276" w:lineRule="exact"/>
        <w:rPr>
          <w:sz w:val="24"/>
          <w:szCs w:val="24"/>
          <w:rtl/>
        </w:rPr>
      </w:pPr>
      <w:r>
        <w:rPr>
          <w:rFonts w:hint="cs"/>
          <w:sz w:val="24"/>
          <w:szCs w:val="24"/>
          <w:rtl/>
        </w:rPr>
        <w:t>ג. תוס' ישנים יב: ד"ה שני; תוס' ישנים מט: ד"ה שחט</w:t>
      </w:r>
    </w:p>
    <w:p w:rsidR="00C26E1A" w:rsidRPr="006D47EB" w:rsidRDefault="00C26E1A" w:rsidP="00C26E1A">
      <w:pPr>
        <w:spacing w:line="276" w:lineRule="exact"/>
        <w:rPr>
          <w:sz w:val="24"/>
          <w:szCs w:val="24"/>
        </w:rPr>
      </w:pPr>
      <w:r>
        <w:rPr>
          <w:rFonts w:hint="cs"/>
          <w:sz w:val="24"/>
          <w:szCs w:val="24"/>
          <w:rtl/>
        </w:rPr>
        <w:t>ד. שיעורי הגרי"ד עמ' כט</w:t>
      </w:r>
    </w:p>
    <w:p w:rsidR="00C26E1A" w:rsidRPr="0040473F" w:rsidRDefault="00C26E1A" w:rsidP="00C26E1A">
      <w:pPr>
        <w:spacing w:line="276" w:lineRule="exact"/>
        <w:rPr>
          <w:sz w:val="24"/>
          <w:szCs w:val="24"/>
          <w:rtl/>
        </w:rPr>
      </w:pPr>
    </w:p>
    <w:p w:rsidR="00C26E1A" w:rsidRPr="0040473F" w:rsidRDefault="00C26E1A" w:rsidP="00C26E1A">
      <w:pPr>
        <w:spacing w:line="276" w:lineRule="exact"/>
        <w:rPr>
          <w:rFonts w:ascii="FrankRuehl" w:hAnsi="FrankRuehl" w:cs="FrankRuehl"/>
          <w:b/>
          <w:bCs/>
          <w:sz w:val="24"/>
          <w:szCs w:val="24"/>
          <w:rtl/>
        </w:rPr>
      </w:pPr>
      <w:r w:rsidRPr="0040473F">
        <w:rPr>
          <w:rFonts w:ascii="FrankRuehl" w:hAnsi="FrankRuehl" w:cs="FrankRuehl" w:hint="cs"/>
          <w:b/>
          <w:bCs/>
          <w:sz w:val="24"/>
          <w:szCs w:val="24"/>
          <w:rtl/>
        </w:rPr>
        <w:t>ספורנו ויקרא טז, ג</w:t>
      </w:r>
    </w:p>
    <w:p w:rsidR="00C26E1A" w:rsidRDefault="00C26E1A" w:rsidP="00C26E1A">
      <w:pPr>
        <w:spacing w:line="276" w:lineRule="exact"/>
        <w:rPr>
          <w:rFonts w:ascii="FrankRuehl" w:hAnsi="FrankRuehl" w:cs="FrankRuehl"/>
          <w:sz w:val="24"/>
          <w:szCs w:val="24"/>
          <w:rtl/>
        </w:rPr>
      </w:pPr>
      <w:r>
        <w:rPr>
          <w:rFonts w:ascii="FrankRuehl" w:hAnsi="FrankRuehl" w:cs="FrankRuehl"/>
          <w:sz w:val="24"/>
          <w:szCs w:val="24"/>
          <w:rtl/>
        </w:rPr>
        <w:t>בזאת יבא בפר בן בקר</w:t>
      </w:r>
      <w:r>
        <w:rPr>
          <w:rFonts w:ascii="FrankRuehl" w:hAnsi="FrankRuehl" w:cs="FrankRuehl" w:hint="cs"/>
          <w:sz w:val="24"/>
          <w:szCs w:val="24"/>
          <w:rtl/>
        </w:rPr>
        <w:t xml:space="preserve"> - </w:t>
      </w:r>
      <w:r w:rsidRPr="0040473F">
        <w:rPr>
          <w:rFonts w:ascii="FrankRuehl" w:hAnsi="FrankRuehl" w:cs="FrankRuehl"/>
          <w:sz w:val="24"/>
          <w:szCs w:val="24"/>
          <w:rtl/>
        </w:rPr>
        <w:t>בהקדשת פר לחטאת ואיל לעולה ולבישת הבדים שאין בהם צבע ולא ציור מלאכותיי</w:t>
      </w:r>
      <w:r>
        <w:rPr>
          <w:rFonts w:ascii="FrankRuehl" w:hAnsi="FrankRuehl" w:cs="FrankRuehl" w:hint="cs"/>
          <w:sz w:val="24"/>
          <w:szCs w:val="24"/>
          <w:rtl/>
        </w:rPr>
        <w:t>,</w:t>
      </w:r>
      <w:r w:rsidRPr="0040473F">
        <w:rPr>
          <w:rFonts w:ascii="FrankRuehl" w:hAnsi="FrankRuehl" w:cs="FrankRuehl"/>
          <w:sz w:val="24"/>
          <w:szCs w:val="24"/>
          <w:rtl/>
        </w:rPr>
        <w:t xml:space="preserve"> כי אמנם לא יאחר כהן גדול להכנס לפנים עד אחר הקרבת העולה</w:t>
      </w:r>
      <w:r>
        <w:rPr>
          <w:rFonts w:ascii="FrankRuehl" w:hAnsi="FrankRuehl" w:cs="FrankRuehl" w:hint="cs"/>
          <w:sz w:val="24"/>
          <w:szCs w:val="24"/>
          <w:rtl/>
        </w:rPr>
        <w:t>,</w:t>
      </w:r>
      <w:r w:rsidRPr="0040473F">
        <w:rPr>
          <w:rFonts w:ascii="FrankRuehl" w:hAnsi="FrankRuehl" w:cs="FrankRuehl"/>
          <w:sz w:val="24"/>
          <w:szCs w:val="24"/>
          <w:rtl/>
        </w:rPr>
        <w:t xml:space="preserve"> אבל יכנס להקטיר הקטרת תכף אחר שחיטת החטאת</w:t>
      </w:r>
      <w:r>
        <w:rPr>
          <w:rFonts w:ascii="FrankRuehl" w:hAnsi="FrankRuehl" w:cs="FrankRuehl" w:hint="cs"/>
          <w:sz w:val="24"/>
          <w:szCs w:val="24"/>
          <w:rtl/>
        </w:rPr>
        <w:t>.</w:t>
      </w:r>
    </w:p>
    <w:p w:rsidR="00C26E1A" w:rsidRDefault="00C26E1A" w:rsidP="00C26E1A">
      <w:pPr>
        <w:spacing w:line="276" w:lineRule="exact"/>
        <w:rPr>
          <w:rFonts w:ascii="FrankRuehl" w:hAnsi="FrankRuehl" w:cs="FrankRuehl"/>
          <w:sz w:val="24"/>
          <w:szCs w:val="24"/>
          <w:rtl/>
        </w:rPr>
      </w:pPr>
    </w:p>
    <w:p w:rsidR="00C26E1A"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שיעורי הגרי"ד עבודת יום הכיפורים עמ' כט</w:t>
      </w:r>
    </w:p>
    <w:p w:rsidR="00C26E1A" w:rsidRPr="0040473F" w:rsidRDefault="00C26E1A" w:rsidP="00C26E1A">
      <w:pPr>
        <w:spacing w:line="276" w:lineRule="exact"/>
        <w:rPr>
          <w:rFonts w:ascii="FrankRuehl" w:hAnsi="FrankRuehl" w:cs="FrankRuehl"/>
          <w:sz w:val="24"/>
          <w:szCs w:val="24"/>
          <w:rtl/>
        </w:rPr>
      </w:pPr>
      <w:r>
        <w:rPr>
          <w:rFonts w:ascii="FrankRuehl" w:hAnsi="FrankRuehl" w:cs="FrankRuehl" w:hint="cs"/>
          <w:sz w:val="24"/>
          <w:szCs w:val="24"/>
          <w:rtl/>
        </w:rPr>
        <w:t xml:space="preserve">כדי לעמוד על יסוד הדברים, יש לעיין בסוגיה לקמן: "בפר ולא בדמו של פר... והכי קא מיבעיא להו אחיו הכהנים בקביעותא מתכפרי או דילמא בקופיא מתכפרי..." (מט, א- נא, ב). היומא מן הסוגיה שם הוא, שהפר צריך להיות משל כהן גדול, אך גם מן ההכרח שאף אחיו הכהנים מתכפרים בו. אלא שעלה בה ספק האם שאר הכהנים מתכפרים מקופיא או מקיבעא. ובהסבר חילוק זה והספק כרוך בו, נראה דישנה כפרה מקיבעא כשקרבן בא מעיקרו וביסודו לשם פלוני ומתייחס אליו כמכפרו. ואילו כפרה מקופיא קיימת כשהקרבן קרב ביסודו ובעיקרו למטרה אחרת </w:t>
      </w:r>
      <w:r>
        <w:rPr>
          <w:rFonts w:ascii="FrankRuehl" w:hAnsi="FrankRuehl" w:cs="FrankRuehl"/>
          <w:sz w:val="24"/>
          <w:szCs w:val="24"/>
          <w:rtl/>
        </w:rPr>
        <w:t>–</w:t>
      </w:r>
      <w:r>
        <w:rPr>
          <w:rFonts w:ascii="FrankRuehl" w:hAnsi="FrankRuehl" w:cs="FrankRuehl" w:hint="cs"/>
          <w:sz w:val="24"/>
          <w:szCs w:val="24"/>
          <w:rtl/>
        </w:rPr>
        <w:t xml:space="preserve"> לכפרת אדם אחר כגון בסוגייתנו, או שלא לשם כפרה אלא לדורון כגון בעולה (זבחים ו, א) </w:t>
      </w:r>
      <w:r>
        <w:rPr>
          <w:rFonts w:ascii="FrankRuehl" w:hAnsi="FrankRuehl" w:cs="FrankRuehl"/>
          <w:sz w:val="24"/>
          <w:szCs w:val="24"/>
          <w:rtl/>
        </w:rPr>
        <w:t>–</w:t>
      </w:r>
      <w:r>
        <w:rPr>
          <w:rFonts w:ascii="FrankRuehl" w:hAnsi="FrankRuehl" w:cs="FrankRuehl" w:hint="cs"/>
          <w:sz w:val="24"/>
          <w:szCs w:val="24"/>
          <w:rtl/>
        </w:rPr>
        <w:t xml:space="preserve"> אלא שמתוך השגת המטרה האחרת, ממילא חלה כפרה למתכפר מקופיא. אך ביחס לקביעת אופי פרו של כהן גדול לאור חילוק זה, נראה שהפר באמת איננו רק קרבן אחד ולא שנים, שהרי מתוודים עליו פעמיים, והוא קרב הן כקרבן פרטי לו ולביתו והן כקרבן עבור אחיו הכהנים. ובכן שאלת הגמרא היתה, כיצד לכלכל שני צדדים אלה בפר אחד; ועל זה באה התשובה דלענין ההשתתפות הממונית, הקרבן אכן שייך באופן בלעדי לאהרן הכהן; ואשר לאופי הכפרה יש לדון האם להגדירה ככפרה מקיבעא או מקופיא.</w:t>
      </w:r>
    </w:p>
    <w:p w:rsidR="00C26E1A" w:rsidRPr="006D47EB" w:rsidRDefault="00C26E1A" w:rsidP="00C26E1A">
      <w:pPr>
        <w:spacing w:line="276" w:lineRule="exact"/>
        <w:rPr>
          <w:rFonts w:ascii="FrankRuehl" w:hAnsi="FrankRuehl" w:cs="FrankRuehl"/>
          <w:sz w:val="24"/>
          <w:szCs w:val="24"/>
          <w:highlight w:val="green"/>
          <w:rtl/>
        </w:rPr>
      </w:pPr>
      <w:r w:rsidRPr="006D47EB">
        <w:rPr>
          <w:rFonts w:ascii="FrankRuehl" w:hAnsi="FrankRuehl" w:cs="FrankRuehl" w:hint="cs"/>
          <w:sz w:val="24"/>
          <w:szCs w:val="24"/>
          <w:highlight w:val="green"/>
          <w:rtl/>
        </w:rPr>
        <w:t xml:space="preserve"> </w:t>
      </w:r>
    </w:p>
    <w:p w:rsidR="00C26E1A" w:rsidRPr="006D47EB" w:rsidRDefault="00C26E1A" w:rsidP="00C26E1A">
      <w:pPr>
        <w:spacing w:line="276" w:lineRule="exact"/>
        <w:rPr>
          <w:rFonts w:ascii="FrankRuehl" w:hAnsi="FrankRuehl" w:cs="FrankRuehl"/>
          <w:sz w:val="24"/>
          <w:szCs w:val="24"/>
          <w:highlight w:val="green"/>
        </w:rPr>
      </w:pPr>
    </w:p>
    <w:p w:rsidR="00C26E1A" w:rsidRDefault="00C26E1A" w:rsidP="00C26E1A">
      <w:pPr>
        <w:spacing w:before="200" w:line="276" w:lineRule="exact"/>
        <w:ind w:firstLine="227"/>
        <w:rPr>
          <w:sz w:val="24"/>
          <w:szCs w:val="24"/>
          <w:rtl/>
        </w:rPr>
      </w:pPr>
      <w:r>
        <w:rPr>
          <w:rFonts w:hint="cs"/>
          <w:sz w:val="24"/>
          <w:szCs w:val="24"/>
          <w:rtl/>
        </w:rPr>
        <w:t>בתחילת פרשת אחרי מות כותבת התורה:</w:t>
      </w:r>
    </w:p>
    <w:p w:rsidR="00C26E1A" w:rsidRDefault="00C26E1A" w:rsidP="00C26E1A">
      <w:pPr>
        <w:spacing w:before="200" w:line="276" w:lineRule="exact"/>
        <w:ind w:left="720"/>
        <w:rPr>
          <w:sz w:val="24"/>
          <w:szCs w:val="24"/>
          <w:rtl/>
        </w:rPr>
      </w:pPr>
      <w:r w:rsidRPr="006D47EB">
        <w:rPr>
          <w:sz w:val="24"/>
          <w:szCs w:val="24"/>
          <w:rtl/>
        </w:rPr>
        <w:t>וידבר ה' אל משה אחרי מות שני בני אהרן</w:t>
      </w:r>
      <w:r>
        <w:rPr>
          <w:rFonts w:hint="cs"/>
          <w:sz w:val="24"/>
          <w:szCs w:val="24"/>
          <w:rtl/>
        </w:rPr>
        <w:t>,</w:t>
      </w:r>
      <w:r w:rsidRPr="006D47EB">
        <w:rPr>
          <w:sz w:val="24"/>
          <w:szCs w:val="24"/>
          <w:rtl/>
        </w:rPr>
        <w:t xml:space="preserve"> בקרבתם לפני ה' וימתו</w:t>
      </w:r>
      <w:r>
        <w:rPr>
          <w:rFonts w:hint="cs"/>
          <w:sz w:val="24"/>
          <w:szCs w:val="24"/>
          <w:rtl/>
        </w:rPr>
        <w:t xml:space="preserve">. </w:t>
      </w:r>
      <w:r w:rsidRPr="006D47EB">
        <w:rPr>
          <w:sz w:val="24"/>
          <w:szCs w:val="24"/>
          <w:rtl/>
        </w:rPr>
        <w:t>ויאמר ה' אל משה דבר אל אהרן אחיך ואל יבא בכל עת אל הקדש מבית לפרכת</w:t>
      </w:r>
      <w:r>
        <w:rPr>
          <w:rFonts w:hint="cs"/>
          <w:sz w:val="24"/>
          <w:szCs w:val="24"/>
          <w:rtl/>
        </w:rPr>
        <w:t>,</w:t>
      </w:r>
      <w:r>
        <w:rPr>
          <w:sz w:val="24"/>
          <w:szCs w:val="24"/>
          <w:rtl/>
        </w:rPr>
        <w:t xml:space="preserve"> אל </w:t>
      </w:r>
      <w:r w:rsidRPr="006D47EB">
        <w:rPr>
          <w:sz w:val="24"/>
          <w:szCs w:val="24"/>
          <w:rtl/>
        </w:rPr>
        <w:t xml:space="preserve">פני הכפרת אשר על הארן </w:t>
      </w:r>
      <w:r>
        <w:rPr>
          <w:sz w:val="24"/>
          <w:szCs w:val="24"/>
          <w:rtl/>
        </w:rPr>
        <w:t>ולא ימות כי בענן אראה על הכפרת</w:t>
      </w:r>
      <w:r>
        <w:rPr>
          <w:rFonts w:hint="cs"/>
          <w:sz w:val="24"/>
          <w:szCs w:val="24"/>
          <w:rtl/>
        </w:rPr>
        <w:t>.</w:t>
      </w:r>
      <w:r w:rsidRPr="006D47EB">
        <w:rPr>
          <w:sz w:val="24"/>
          <w:szCs w:val="24"/>
          <w:rtl/>
        </w:rPr>
        <w:t xml:space="preserve"> </w:t>
      </w:r>
      <w:r w:rsidRPr="00E052A2">
        <w:rPr>
          <w:b/>
          <w:bCs/>
          <w:sz w:val="24"/>
          <w:szCs w:val="24"/>
          <w:rtl/>
        </w:rPr>
        <w:t>בזאת יבא אהרן אל הקדש</w:t>
      </w:r>
      <w:r w:rsidRPr="00E052A2">
        <w:rPr>
          <w:rFonts w:hint="cs"/>
          <w:b/>
          <w:bCs/>
          <w:sz w:val="24"/>
          <w:szCs w:val="24"/>
          <w:rtl/>
        </w:rPr>
        <w:t>,</w:t>
      </w:r>
      <w:r w:rsidRPr="00E052A2">
        <w:rPr>
          <w:b/>
          <w:bCs/>
          <w:sz w:val="24"/>
          <w:szCs w:val="24"/>
          <w:rtl/>
        </w:rPr>
        <w:t xml:space="preserve"> בפר בן בקר לחטאת ואיל לעלה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[ויקרא טז, א-ג]</w:t>
      </w:r>
    </w:p>
    <w:p w:rsidR="00C26E1A" w:rsidRDefault="00C26E1A" w:rsidP="00C26E1A">
      <w:pPr>
        <w:spacing w:before="200" w:line="276" w:lineRule="exact"/>
        <w:ind w:firstLine="227"/>
        <w:rPr>
          <w:sz w:val="24"/>
          <w:szCs w:val="24"/>
          <w:rtl/>
        </w:rPr>
      </w:pPr>
      <w:r>
        <w:rPr>
          <w:rFonts w:hint="cs"/>
          <w:sz w:val="24"/>
          <w:szCs w:val="24"/>
          <w:rtl/>
        </w:rPr>
        <w:lastRenderedPageBreak/>
        <w:t>בכתובים אלו התורה קובעת כי אין לבוא אל הקודש "בכל עת", והיא מפרטת את ההליך המאפשר לבוא את הקודש, שראשיתו בהבאת פר לחטאת ואיל לעולה על ידי אהרן הכהן. נראה מכך כי הפר הוא כעין 'מתיר' לכניסה אל הקודש</w:t>
      </w:r>
      <w:r>
        <w:rPr>
          <w:rStyle w:val="a7"/>
          <w:sz w:val="24"/>
          <w:szCs w:val="24"/>
          <w:rtl/>
        </w:rPr>
        <w:footnoteReference w:id="62"/>
      </w:r>
      <w:r>
        <w:rPr>
          <w:rFonts w:hint="cs"/>
          <w:sz w:val="24"/>
          <w:szCs w:val="24"/>
          <w:rtl/>
        </w:rPr>
        <w:t>.</w:t>
      </w:r>
    </w:p>
    <w:p w:rsidR="00C26E1A" w:rsidRDefault="00C26E1A" w:rsidP="00C26E1A">
      <w:pPr>
        <w:spacing w:before="200" w:line="276" w:lineRule="exact"/>
        <w:ind w:firstLine="227"/>
        <w:rPr>
          <w:sz w:val="24"/>
          <w:szCs w:val="24"/>
          <w:rtl/>
        </w:rPr>
      </w:pPr>
      <w:r>
        <w:rPr>
          <w:rFonts w:hint="cs"/>
          <w:sz w:val="24"/>
          <w:szCs w:val="24"/>
          <w:rtl/>
        </w:rPr>
        <w:t>אמנם, מהמשך הפרשייה עולה רושם שונה. התורה ממשיכה ומתארת את כניסת אהרן הכהן לקודש הקדשים, ולאחר מכן היא מפרטת בהרחבה את עבודות הכפרה השונות הנעשות עם דם הפר ועם דם השעיר:</w:t>
      </w:r>
    </w:p>
    <w:p w:rsidR="00C26E1A" w:rsidRDefault="00C26E1A" w:rsidP="00C26E1A">
      <w:pPr>
        <w:spacing w:before="200" w:line="276" w:lineRule="exact"/>
        <w:ind w:left="720"/>
        <w:rPr>
          <w:sz w:val="24"/>
          <w:szCs w:val="24"/>
          <w:rtl/>
        </w:rPr>
      </w:pPr>
      <w:r w:rsidRPr="00242BEA">
        <w:rPr>
          <w:sz w:val="24"/>
          <w:szCs w:val="24"/>
          <w:rtl/>
        </w:rPr>
        <w:t>ולקח מדם הפר והזה באצבעו על פני הכפרת קדמה</w:t>
      </w:r>
      <w:r>
        <w:rPr>
          <w:rFonts w:hint="cs"/>
          <w:sz w:val="24"/>
          <w:szCs w:val="24"/>
          <w:rtl/>
        </w:rPr>
        <w:t>,</w:t>
      </w:r>
      <w:r w:rsidRPr="00242BEA">
        <w:rPr>
          <w:sz w:val="24"/>
          <w:szCs w:val="24"/>
          <w:rtl/>
        </w:rPr>
        <w:t xml:space="preserve"> ולפני הכ</w:t>
      </w:r>
      <w:r>
        <w:rPr>
          <w:sz w:val="24"/>
          <w:szCs w:val="24"/>
          <w:rtl/>
        </w:rPr>
        <w:t>פרת יזה שבע פעמים מן הדם באצבעו</w:t>
      </w:r>
      <w:r>
        <w:rPr>
          <w:rFonts w:hint="cs"/>
          <w:sz w:val="24"/>
          <w:szCs w:val="24"/>
          <w:rtl/>
        </w:rPr>
        <w:t>.</w:t>
      </w:r>
      <w:r w:rsidRPr="00242BEA">
        <w:rPr>
          <w:sz w:val="24"/>
          <w:szCs w:val="24"/>
          <w:rtl/>
        </w:rPr>
        <w:t xml:space="preserve"> ושחט את שעיר החטאת אשר לעם והביא את דמו אל מבית לפרכת</w:t>
      </w:r>
      <w:r>
        <w:rPr>
          <w:rFonts w:hint="cs"/>
          <w:sz w:val="24"/>
          <w:szCs w:val="24"/>
          <w:rtl/>
        </w:rPr>
        <w:t>,</w:t>
      </w:r>
      <w:r w:rsidRPr="00242BEA">
        <w:rPr>
          <w:sz w:val="24"/>
          <w:szCs w:val="24"/>
          <w:rtl/>
        </w:rPr>
        <w:t xml:space="preserve"> ועשה את דמו כאשר עשה לדם הפר</w:t>
      </w:r>
      <w:r>
        <w:rPr>
          <w:sz w:val="24"/>
          <w:szCs w:val="24"/>
          <w:rtl/>
        </w:rPr>
        <w:t xml:space="preserve"> והזה אתו על הכפרת ולפני הכפרת</w:t>
      </w:r>
      <w:r>
        <w:rPr>
          <w:rFonts w:hint="cs"/>
          <w:sz w:val="24"/>
          <w:szCs w:val="24"/>
          <w:rtl/>
        </w:rPr>
        <w:t>.</w:t>
      </w:r>
      <w:r w:rsidRPr="00242BEA">
        <w:rPr>
          <w:sz w:val="24"/>
          <w:szCs w:val="24"/>
          <w:rtl/>
        </w:rPr>
        <w:t xml:space="preserve"> וכפר על הקדש מטמאת בני ישראל ומפשעיהם לכל חטאתם</w:t>
      </w:r>
      <w:r>
        <w:rPr>
          <w:rFonts w:hint="cs"/>
          <w:sz w:val="24"/>
          <w:szCs w:val="24"/>
          <w:rtl/>
        </w:rPr>
        <w:t>,</w:t>
      </w:r>
      <w:r w:rsidRPr="00242BEA">
        <w:rPr>
          <w:sz w:val="24"/>
          <w:szCs w:val="24"/>
          <w:rtl/>
        </w:rPr>
        <w:t xml:space="preserve"> וכן יעשה לאהל מועד השכן אתם ב</w:t>
      </w:r>
      <w:r>
        <w:rPr>
          <w:sz w:val="24"/>
          <w:szCs w:val="24"/>
          <w:rtl/>
        </w:rPr>
        <w:t>תוך טמאתם</w:t>
      </w:r>
      <w:r>
        <w:rPr>
          <w:rFonts w:hint="cs"/>
          <w:sz w:val="24"/>
          <w:szCs w:val="24"/>
          <w:rtl/>
        </w:rPr>
        <w:t>.</w:t>
      </w:r>
      <w:r w:rsidRPr="00242BEA">
        <w:rPr>
          <w:sz w:val="24"/>
          <w:szCs w:val="24"/>
          <w:rtl/>
        </w:rPr>
        <w:t xml:space="preserve"> וכל אדם לא יהיה באהל מועד בבאו לכפר בקדש עד צאתו</w:t>
      </w:r>
      <w:r>
        <w:rPr>
          <w:rFonts w:hint="cs"/>
          <w:sz w:val="24"/>
          <w:szCs w:val="24"/>
          <w:rtl/>
        </w:rPr>
        <w:t>,</w:t>
      </w:r>
      <w:r w:rsidRPr="00242BEA">
        <w:rPr>
          <w:sz w:val="24"/>
          <w:szCs w:val="24"/>
          <w:rtl/>
        </w:rPr>
        <w:t xml:space="preserve"> וכפר בע</w:t>
      </w:r>
      <w:r>
        <w:rPr>
          <w:sz w:val="24"/>
          <w:szCs w:val="24"/>
          <w:rtl/>
        </w:rPr>
        <w:t>דו ובעד ביתו ובעד כל קהל ישראל</w:t>
      </w:r>
      <w:r>
        <w:rPr>
          <w:rFonts w:hint="cs"/>
          <w:sz w:val="24"/>
          <w:szCs w:val="24"/>
          <w:rtl/>
        </w:rPr>
        <w:t>.</w:t>
      </w:r>
      <w:r w:rsidRPr="00242BEA">
        <w:rPr>
          <w:sz w:val="24"/>
          <w:szCs w:val="24"/>
          <w:rtl/>
        </w:rPr>
        <w:t xml:space="preserve"> ויצא אל המזבח אשר לפני ה' וכפר עליו</w:t>
      </w:r>
      <w:r>
        <w:rPr>
          <w:rFonts w:hint="cs"/>
          <w:sz w:val="24"/>
          <w:szCs w:val="24"/>
          <w:rtl/>
        </w:rPr>
        <w:t>,</w:t>
      </w:r>
      <w:r w:rsidRPr="00242BEA">
        <w:rPr>
          <w:sz w:val="24"/>
          <w:szCs w:val="24"/>
          <w:rtl/>
        </w:rPr>
        <w:t xml:space="preserve"> ולקח מדם הפר ומדם </w:t>
      </w:r>
      <w:r>
        <w:rPr>
          <w:sz w:val="24"/>
          <w:szCs w:val="24"/>
          <w:rtl/>
        </w:rPr>
        <w:t>השעיר ונתן על  קרנות המזבח סביב</w:t>
      </w:r>
      <w:r>
        <w:rPr>
          <w:rFonts w:hint="cs"/>
          <w:sz w:val="24"/>
          <w:szCs w:val="24"/>
          <w:rtl/>
        </w:rPr>
        <w:t>.</w:t>
      </w:r>
      <w:r w:rsidRPr="00242BEA">
        <w:rPr>
          <w:sz w:val="24"/>
          <w:szCs w:val="24"/>
          <w:rtl/>
        </w:rPr>
        <w:t xml:space="preserve"> והזה עליו מן הדם באצבעו שבע פעמים</w:t>
      </w:r>
      <w:r>
        <w:rPr>
          <w:rFonts w:hint="cs"/>
          <w:sz w:val="24"/>
          <w:szCs w:val="24"/>
          <w:rtl/>
        </w:rPr>
        <w:t>,</w:t>
      </w:r>
      <w:r w:rsidRPr="00242BEA">
        <w:rPr>
          <w:sz w:val="24"/>
          <w:szCs w:val="24"/>
          <w:rtl/>
        </w:rPr>
        <w:t xml:space="preserve"> וטהרו וקדשו מטמאת בני ישראל</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[שם, יד-יט]</w:t>
      </w:r>
    </w:p>
    <w:p w:rsidR="00C26E1A" w:rsidRDefault="00C26E1A" w:rsidP="00C26E1A">
      <w:pPr>
        <w:spacing w:before="200" w:line="276" w:lineRule="exact"/>
        <w:ind w:firstLine="227"/>
        <w:rPr>
          <w:sz w:val="24"/>
          <w:szCs w:val="24"/>
          <w:rtl/>
        </w:rPr>
      </w:pPr>
      <w:r>
        <w:rPr>
          <w:rFonts w:hint="cs"/>
          <w:sz w:val="24"/>
          <w:szCs w:val="24"/>
          <w:rtl/>
        </w:rPr>
        <w:t>מפסוקים אלו עולה כי הפר והשעיר באים לשם כפרת המקדש, הכהנים וישראל</w:t>
      </w:r>
      <w:r>
        <w:rPr>
          <w:rStyle w:val="a7"/>
          <w:sz w:val="24"/>
          <w:szCs w:val="24"/>
          <w:rtl/>
        </w:rPr>
        <w:footnoteReference w:id="63"/>
      </w:r>
      <w:r>
        <w:rPr>
          <w:rFonts w:hint="cs"/>
          <w:sz w:val="24"/>
          <w:szCs w:val="24"/>
          <w:rtl/>
        </w:rPr>
        <w:t>. מכך עולה כי קרבנות אלו אינם באים כדי לאפשר את הכניסה לקודש הקדשים, אלא להיפך: מטרת הקרבנות היא כפרת הקודש, והכניסה לקודש הקדשים היא חלק מהליך כפרת הקודש.</w:t>
      </w:r>
    </w:p>
    <w:p w:rsidR="00C26E1A" w:rsidRDefault="00C26E1A" w:rsidP="00C26E1A">
      <w:pPr>
        <w:spacing w:before="200" w:line="276" w:lineRule="exact"/>
        <w:ind w:firstLine="227"/>
        <w:rPr>
          <w:sz w:val="24"/>
          <w:szCs w:val="24"/>
          <w:rtl/>
        </w:rPr>
      </w:pPr>
      <w:r>
        <w:rPr>
          <w:rFonts w:hint="cs"/>
          <w:sz w:val="24"/>
          <w:szCs w:val="24"/>
          <w:rtl/>
        </w:rPr>
        <w:t>על פי הרשמים השונים העולים מן הכתובים יש לשאול מה טיבו של פרו של כהן גדול</w:t>
      </w:r>
      <w:r>
        <w:rPr>
          <w:rStyle w:val="a7"/>
          <w:sz w:val="24"/>
          <w:szCs w:val="24"/>
          <w:rtl/>
        </w:rPr>
        <w:footnoteReference w:id="64"/>
      </w:r>
      <w:r>
        <w:rPr>
          <w:rFonts w:hint="cs"/>
          <w:sz w:val="24"/>
          <w:szCs w:val="24"/>
          <w:rtl/>
        </w:rPr>
        <w:t xml:space="preserve"> </w:t>
      </w:r>
      <w:r>
        <w:rPr>
          <w:sz w:val="24"/>
          <w:szCs w:val="24"/>
          <w:rtl/>
        </w:rPr>
        <w:t>–</w:t>
      </w:r>
      <w:r>
        <w:rPr>
          <w:rFonts w:hint="cs"/>
          <w:sz w:val="24"/>
          <w:szCs w:val="24"/>
          <w:rtl/>
        </w:rPr>
        <w:t xml:space="preserve"> מתיר את הכניסה לקודש הקדשים או מהווה חלק מכפרת הקודש?</w:t>
      </w:r>
    </w:p>
    <w:p w:rsidR="00C26E1A" w:rsidRDefault="00C26E1A" w:rsidP="00C26E1A">
      <w:pPr>
        <w:spacing w:before="200" w:line="276" w:lineRule="exact"/>
        <w:ind w:firstLine="227"/>
        <w:rPr>
          <w:sz w:val="24"/>
          <w:szCs w:val="24"/>
          <w:rtl/>
        </w:rPr>
      </w:pPr>
    </w:p>
    <w:p w:rsidR="00C26E1A" w:rsidRDefault="00C26E1A" w:rsidP="00C26E1A">
      <w:pPr>
        <w:spacing w:before="200" w:line="276" w:lineRule="exact"/>
        <w:ind w:firstLine="227"/>
        <w:rPr>
          <w:sz w:val="24"/>
          <w:szCs w:val="24"/>
          <w:rtl/>
        </w:rPr>
      </w:pPr>
      <w:r>
        <w:rPr>
          <w:rFonts w:hint="cs"/>
          <w:sz w:val="24"/>
          <w:szCs w:val="24"/>
          <w:rtl/>
        </w:rPr>
        <w:t>פתרון אפשרי לתמיהה זו נמצא בטענת הגרי"ד סולוביצ'יק כי לפרו של כהן גדול יש זהות כפולה:</w:t>
      </w:r>
    </w:p>
    <w:p w:rsidR="00C26E1A" w:rsidRPr="007E5A72" w:rsidRDefault="00C26E1A" w:rsidP="00C26E1A">
      <w:pPr>
        <w:spacing w:before="200" w:line="276" w:lineRule="exact"/>
        <w:ind w:left="720"/>
        <w:rPr>
          <w:sz w:val="20"/>
          <w:szCs w:val="20"/>
          <w:rtl/>
        </w:rPr>
      </w:pPr>
      <w:r>
        <w:rPr>
          <w:rFonts w:hint="cs"/>
          <w:sz w:val="24"/>
          <w:szCs w:val="24"/>
          <w:rtl/>
        </w:rPr>
        <w:t>נראה שהפר באמת איננו רק קרבן אחד אלא שנים... והוא קרב הן כקרבן פרטי לו ולביתו והן כקרבן עבור אחיו הכהנים.</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[שיעורי הגרי"ד עמ' כט]</w:t>
      </w:r>
    </w:p>
    <w:p w:rsidR="00C26E1A" w:rsidRDefault="00C26E1A" w:rsidP="00C26E1A">
      <w:pPr>
        <w:spacing w:before="200" w:line="276" w:lineRule="exact"/>
        <w:ind w:firstLine="227"/>
        <w:rPr>
          <w:sz w:val="24"/>
          <w:szCs w:val="24"/>
          <w:rtl/>
        </w:rPr>
      </w:pPr>
      <w:r>
        <w:rPr>
          <w:rFonts w:hint="cs"/>
          <w:sz w:val="24"/>
          <w:szCs w:val="24"/>
          <w:rtl/>
        </w:rPr>
        <w:t>לדברי הגרי"ד, הפר מהווה, בעת ובעונה אחת, גם קרבן פרטי של הכהן הגדול וגם קרבן המכפר על כל הכהנים</w:t>
      </w:r>
      <w:r>
        <w:rPr>
          <w:rStyle w:val="a7"/>
          <w:sz w:val="24"/>
          <w:szCs w:val="24"/>
          <w:rtl/>
        </w:rPr>
        <w:footnoteReference w:id="65"/>
      </w:r>
      <w:r>
        <w:rPr>
          <w:rFonts w:hint="cs"/>
          <w:sz w:val="24"/>
          <w:szCs w:val="24"/>
          <w:rtl/>
        </w:rPr>
        <w:t>. כך, שתי המגמות דלעיל אינן סותרות אלא קיימות זו לצד זו: הפר כקרבן פרטי של הכהן הגדול בא כדי להתיר את הכניסה לקודש הקדשים, ואילו הפר כקרבן של כל הכהנים בא לשם כפרת הקודש (ובכלל זה הכהנים המהווים בלתי נפרד מהקודש והמקדש)</w:t>
      </w:r>
      <w:r>
        <w:rPr>
          <w:rStyle w:val="a7"/>
          <w:sz w:val="24"/>
          <w:szCs w:val="24"/>
          <w:rtl/>
        </w:rPr>
        <w:footnoteReference w:id="66"/>
      </w:r>
      <w:r>
        <w:rPr>
          <w:rFonts w:hint="cs"/>
          <w:sz w:val="24"/>
          <w:szCs w:val="24"/>
          <w:rtl/>
        </w:rPr>
        <w:t>.</w:t>
      </w:r>
    </w:p>
    <w:p w:rsidR="00C26E1A" w:rsidRDefault="00C26E1A" w:rsidP="00C26E1A">
      <w:pPr>
        <w:spacing w:before="200" w:line="276" w:lineRule="exact"/>
        <w:ind w:firstLine="227"/>
        <w:rPr>
          <w:sz w:val="24"/>
          <w:szCs w:val="24"/>
          <w:rtl/>
        </w:rPr>
      </w:pPr>
      <w:r>
        <w:rPr>
          <w:rFonts w:hint="cs"/>
          <w:sz w:val="24"/>
          <w:szCs w:val="24"/>
          <w:rtl/>
        </w:rPr>
        <w:t>ההגדרה כי הפר הוא קרבנו של הכהן הגדול הבא כדי להתיר את כניסתו לקודש הקדשים עולה מהדין הייחודי שהפר צריך לבוא מממונו של הכהן הגדול:</w:t>
      </w:r>
    </w:p>
    <w:p w:rsidR="00C26E1A" w:rsidRPr="000F5840" w:rsidRDefault="00C26E1A" w:rsidP="00C26E1A">
      <w:pPr>
        <w:spacing w:before="200" w:line="276" w:lineRule="exact"/>
        <w:ind w:left="720"/>
        <w:rPr>
          <w:sz w:val="20"/>
          <w:szCs w:val="20"/>
          <w:rtl/>
        </w:rPr>
      </w:pPr>
      <w:r>
        <w:rPr>
          <w:rFonts w:hint="cs"/>
          <w:sz w:val="24"/>
          <w:szCs w:val="24"/>
          <w:rtl/>
        </w:rPr>
        <w:lastRenderedPageBreak/>
        <w:t>'</w:t>
      </w:r>
      <w:r>
        <w:rPr>
          <w:sz w:val="24"/>
          <w:szCs w:val="24"/>
          <w:rtl/>
        </w:rPr>
        <w:t>אשר לו</w:t>
      </w:r>
      <w:r>
        <w:rPr>
          <w:rFonts w:hint="cs"/>
          <w:sz w:val="24"/>
          <w:szCs w:val="24"/>
          <w:rtl/>
        </w:rPr>
        <w:t xml:space="preserve">' </w:t>
      </w:r>
      <w:r>
        <w:rPr>
          <w:sz w:val="24"/>
          <w:szCs w:val="24"/>
          <w:rtl/>
        </w:rPr>
        <w:t>–</w:t>
      </w:r>
      <w:r>
        <w:rPr>
          <w:rFonts w:hint="cs"/>
          <w:sz w:val="24"/>
          <w:szCs w:val="24"/>
          <w:rtl/>
        </w:rPr>
        <w:t xml:space="preserve"> </w:t>
      </w:r>
      <w:r w:rsidRPr="00A76872">
        <w:rPr>
          <w:sz w:val="24"/>
          <w:szCs w:val="24"/>
          <w:rtl/>
        </w:rPr>
        <w:t>משלו הוא מביא ולא משל ציבור</w:t>
      </w:r>
      <w:r>
        <w:rPr>
          <w:rFonts w:hint="cs"/>
          <w:sz w:val="24"/>
          <w:szCs w:val="24"/>
          <w:rtl/>
        </w:rPr>
        <w:t>.</w:t>
      </w:r>
      <w:r w:rsidRPr="00A76872">
        <w:rPr>
          <w:sz w:val="24"/>
          <w:szCs w:val="24"/>
          <w:rtl/>
        </w:rPr>
        <w:t xml:space="preserve"> יכול לא יביא משל ציבור</w:t>
      </w:r>
      <w:r>
        <w:rPr>
          <w:rFonts w:hint="cs"/>
          <w:sz w:val="24"/>
          <w:szCs w:val="24"/>
          <w:rtl/>
        </w:rPr>
        <w:t>,</w:t>
      </w:r>
      <w:r w:rsidRPr="00A76872">
        <w:rPr>
          <w:sz w:val="24"/>
          <w:szCs w:val="24"/>
          <w:rtl/>
        </w:rPr>
        <w:t xml:space="preserve"> שאין הציבור מתכפרין בו</w:t>
      </w:r>
      <w:r>
        <w:rPr>
          <w:rFonts w:hint="cs"/>
          <w:sz w:val="24"/>
          <w:szCs w:val="24"/>
          <w:rtl/>
        </w:rPr>
        <w:t>,</w:t>
      </w:r>
      <w:r w:rsidRPr="00A76872">
        <w:rPr>
          <w:sz w:val="24"/>
          <w:szCs w:val="24"/>
          <w:rtl/>
        </w:rPr>
        <w:t xml:space="preserve"> אבל יביא משל אחיו הכהנים</w:t>
      </w:r>
      <w:r>
        <w:rPr>
          <w:rFonts w:hint="cs"/>
          <w:sz w:val="24"/>
          <w:szCs w:val="24"/>
          <w:rtl/>
        </w:rPr>
        <w:t>,</w:t>
      </w:r>
      <w:r w:rsidRPr="00A76872">
        <w:rPr>
          <w:sz w:val="24"/>
          <w:szCs w:val="24"/>
          <w:rtl/>
        </w:rPr>
        <w:t xml:space="preserve"> שהרי אחיו הכהנים מתכפרים בו</w:t>
      </w:r>
      <w:r>
        <w:rPr>
          <w:rFonts w:hint="cs"/>
          <w:sz w:val="24"/>
          <w:szCs w:val="24"/>
          <w:rtl/>
        </w:rPr>
        <w:t>?</w:t>
      </w:r>
      <w:r w:rsidRPr="00A76872">
        <w:rPr>
          <w:sz w:val="24"/>
          <w:szCs w:val="24"/>
          <w:rtl/>
        </w:rPr>
        <w:t xml:space="preserve"> תלמוד לומר </w:t>
      </w:r>
      <w:r>
        <w:rPr>
          <w:rFonts w:hint="cs"/>
          <w:sz w:val="24"/>
          <w:szCs w:val="24"/>
          <w:rtl/>
        </w:rPr>
        <w:t>'</w:t>
      </w:r>
      <w:r w:rsidRPr="00A76872">
        <w:rPr>
          <w:sz w:val="24"/>
          <w:szCs w:val="24"/>
          <w:rtl/>
        </w:rPr>
        <w:t>אשר לו</w:t>
      </w:r>
      <w:r>
        <w:rPr>
          <w:rFonts w:hint="cs"/>
          <w:sz w:val="24"/>
          <w:szCs w:val="24"/>
          <w:rtl/>
        </w:rPr>
        <w:t>'.</w:t>
      </w:r>
      <w:r>
        <w:rPr>
          <w:sz w:val="24"/>
          <w:szCs w:val="24"/>
          <w:rtl/>
        </w:rPr>
        <w:t xml:space="preserve"> יכול לא יביא</w:t>
      </w:r>
      <w:r>
        <w:rPr>
          <w:rFonts w:hint="cs"/>
          <w:sz w:val="24"/>
          <w:szCs w:val="24"/>
          <w:rtl/>
        </w:rPr>
        <w:t xml:space="preserve"> </w:t>
      </w:r>
      <w:r w:rsidRPr="00A76872">
        <w:rPr>
          <w:sz w:val="24"/>
          <w:szCs w:val="24"/>
          <w:rtl/>
        </w:rPr>
        <w:t>ואם הביא כשר</w:t>
      </w:r>
      <w:r>
        <w:rPr>
          <w:rFonts w:hint="cs"/>
          <w:sz w:val="24"/>
          <w:szCs w:val="24"/>
          <w:rtl/>
        </w:rPr>
        <w:t>?</w:t>
      </w:r>
      <w:r w:rsidRPr="00A76872">
        <w:rPr>
          <w:sz w:val="24"/>
          <w:szCs w:val="24"/>
          <w:rtl/>
        </w:rPr>
        <w:t xml:space="preserve"> תלמוד לומר שוב </w:t>
      </w:r>
      <w:r>
        <w:rPr>
          <w:rFonts w:hint="cs"/>
          <w:sz w:val="24"/>
          <w:szCs w:val="24"/>
          <w:rtl/>
        </w:rPr>
        <w:t>'</w:t>
      </w:r>
      <w:r w:rsidRPr="00A76872">
        <w:rPr>
          <w:sz w:val="24"/>
          <w:szCs w:val="24"/>
          <w:rtl/>
        </w:rPr>
        <w:t>אשר לו</w:t>
      </w:r>
      <w:r>
        <w:rPr>
          <w:rFonts w:hint="cs"/>
          <w:sz w:val="24"/>
          <w:szCs w:val="24"/>
          <w:rtl/>
        </w:rPr>
        <w:t>',</w:t>
      </w:r>
      <w:r w:rsidRPr="00A76872">
        <w:rPr>
          <w:sz w:val="24"/>
          <w:szCs w:val="24"/>
          <w:rtl/>
        </w:rPr>
        <w:t xml:space="preserve"> שנה הכתוב עליו לעכב</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sidRPr="000F5840">
        <w:rPr>
          <w:rFonts w:hint="cs"/>
          <w:sz w:val="20"/>
          <w:szCs w:val="20"/>
          <w:rtl/>
        </w:rPr>
        <w:t>[יומא נא:]</w:t>
      </w:r>
    </w:p>
    <w:p w:rsidR="00C26E1A" w:rsidRDefault="00C26E1A" w:rsidP="00C26E1A">
      <w:pPr>
        <w:spacing w:before="200" w:line="276" w:lineRule="exact"/>
        <w:ind w:firstLine="227"/>
        <w:rPr>
          <w:sz w:val="24"/>
          <w:szCs w:val="24"/>
          <w:rtl/>
        </w:rPr>
      </w:pPr>
      <w:r w:rsidRPr="000F5840">
        <w:rPr>
          <w:rFonts w:hint="cs"/>
          <w:sz w:val="24"/>
          <w:szCs w:val="24"/>
          <w:rtl/>
        </w:rPr>
        <w:t xml:space="preserve">עם זאת, </w:t>
      </w:r>
      <w:r>
        <w:rPr>
          <w:rFonts w:hint="cs"/>
          <w:sz w:val="24"/>
          <w:szCs w:val="24"/>
          <w:rtl/>
        </w:rPr>
        <w:t xml:space="preserve">כפי שנאמר לעיל, </w:t>
      </w:r>
      <w:r w:rsidRPr="000F5840">
        <w:rPr>
          <w:rFonts w:hint="cs"/>
          <w:sz w:val="24"/>
          <w:szCs w:val="24"/>
          <w:rtl/>
        </w:rPr>
        <w:t>הפר מכפר לא עבור הכהן הגדול בלבד, אלא עבור כל אחיו הכהנים. הגרי"ד מבאר על פי דרכו את ספק הגמרא ל</w:t>
      </w:r>
      <w:r>
        <w:rPr>
          <w:rFonts w:hint="cs"/>
          <w:sz w:val="24"/>
          <w:szCs w:val="24"/>
          <w:rtl/>
        </w:rPr>
        <w:t>גבי אופן כפרת הכהנים בפרו של הכהן הגדול:</w:t>
      </w:r>
    </w:p>
    <w:p w:rsidR="00C26E1A" w:rsidRPr="009B3BFF" w:rsidRDefault="00C26E1A" w:rsidP="00C26E1A">
      <w:pPr>
        <w:spacing w:before="200" w:line="276" w:lineRule="exact"/>
        <w:ind w:left="720"/>
        <w:rPr>
          <w:sz w:val="24"/>
          <w:szCs w:val="24"/>
          <w:rtl/>
        </w:rPr>
      </w:pPr>
      <w:r>
        <w:rPr>
          <w:rFonts w:hint="cs"/>
          <w:sz w:val="24"/>
          <w:szCs w:val="24"/>
          <w:rtl/>
        </w:rPr>
        <w:t>בעי רבי אלעזר: לדברי האומר פר יום הכיפורים קרבן יחיד, עושה תמורה או אינו עושה תמורה... אחיו הכהנים בקביעותא מתכפרי או דילמא בקופיא מתכפרי.</w:t>
      </w:r>
      <w:r>
        <w:rPr>
          <w:sz w:val="24"/>
          <w:szCs w:val="24"/>
          <w:rtl/>
        </w:rPr>
        <w:tab/>
      </w:r>
      <w:r>
        <w:rPr>
          <w:rFonts w:hint="cs"/>
          <w:sz w:val="24"/>
          <w:szCs w:val="24"/>
          <w:rtl/>
        </w:rPr>
        <w:t xml:space="preserve">       </w:t>
      </w:r>
      <w:r>
        <w:rPr>
          <w:rFonts w:hint="cs"/>
          <w:sz w:val="20"/>
          <w:szCs w:val="20"/>
          <w:rtl/>
        </w:rPr>
        <w:t>[יומא נ:]</w:t>
      </w:r>
      <w:r>
        <w:rPr>
          <w:rFonts w:hint="cs"/>
          <w:sz w:val="24"/>
          <w:szCs w:val="24"/>
          <w:rtl/>
        </w:rPr>
        <w:t xml:space="preserve"> </w:t>
      </w:r>
    </w:p>
    <w:p w:rsidR="00C26E1A" w:rsidRDefault="00C26E1A" w:rsidP="00C26E1A">
      <w:pPr>
        <w:spacing w:before="200" w:line="276" w:lineRule="exact"/>
        <w:ind w:firstLine="227"/>
        <w:rPr>
          <w:sz w:val="24"/>
          <w:szCs w:val="24"/>
          <w:rtl/>
        </w:rPr>
      </w:pPr>
      <w:r>
        <w:rPr>
          <w:rFonts w:hint="cs"/>
          <w:sz w:val="24"/>
          <w:szCs w:val="24"/>
          <w:rtl/>
        </w:rPr>
        <w:t xml:space="preserve">הגמ' מסתפקת האם הכהנים מתכפרים בפר זה כפרה קבועה כשאר המתכפרים בקרבנותיהם, או "בקופיא מתכפרי" </w:t>
      </w:r>
      <w:r>
        <w:rPr>
          <w:sz w:val="24"/>
          <w:szCs w:val="24"/>
          <w:rtl/>
        </w:rPr>
        <w:t>–</w:t>
      </w:r>
      <w:r>
        <w:rPr>
          <w:rFonts w:hint="cs"/>
          <w:sz w:val="24"/>
          <w:szCs w:val="24"/>
          <w:rtl/>
        </w:rPr>
        <w:t xml:space="preserve"> "כלומר, אין כפרתן קבועה, אלא צפה על גב כפרת כהן גדול כדבר הצף על פני המים ואין הקרבן נקרא על שמם וקרבן יחיד הוא"</w:t>
      </w:r>
      <w:r>
        <w:rPr>
          <w:rStyle w:val="a7"/>
          <w:sz w:val="24"/>
          <w:szCs w:val="24"/>
          <w:rtl/>
        </w:rPr>
        <w:footnoteReference w:id="67"/>
      </w:r>
      <w:r>
        <w:rPr>
          <w:rFonts w:hint="cs"/>
          <w:sz w:val="24"/>
          <w:szCs w:val="24"/>
          <w:rtl/>
        </w:rPr>
        <w:t>.</w:t>
      </w:r>
    </w:p>
    <w:p w:rsidR="00C26E1A" w:rsidRDefault="00C26E1A" w:rsidP="00C26E1A">
      <w:pPr>
        <w:spacing w:before="200" w:line="276" w:lineRule="exact"/>
        <w:ind w:firstLine="227"/>
        <w:rPr>
          <w:sz w:val="24"/>
          <w:szCs w:val="24"/>
          <w:rtl/>
        </w:rPr>
      </w:pPr>
      <w:r>
        <w:rPr>
          <w:rFonts w:hint="cs"/>
          <w:sz w:val="24"/>
          <w:szCs w:val="24"/>
          <w:rtl/>
        </w:rPr>
        <w:t>הגרי"ד טוען כי הספק נובע מזהותו המורכבת של הפר:</w:t>
      </w:r>
    </w:p>
    <w:p w:rsidR="00C26E1A" w:rsidRPr="00F170A6" w:rsidRDefault="00C26E1A" w:rsidP="00C26E1A">
      <w:pPr>
        <w:spacing w:before="200" w:line="276" w:lineRule="exact"/>
        <w:ind w:left="720"/>
        <w:rPr>
          <w:sz w:val="20"/>
          <w:szCs w:val="20"/>
          <w:rtl/>
        </w:rPr>
      </w:pPr>
      <w:r>
        <w:rPr>
          <w:rFonts w:hint="cs"/>
          <w:sz w:val="24"/>
          <w:szCs w:val="24"/>
          <w:rtl/>
        </w:rPr>
        <w:t>ובכן שאלת הגמרא היתה, כיצד לכלכל שני צדדים אלה בפר אחד; ועל זה באה התשובה דלענין ההשתתפות הממונית, הקרבן אכן שייך באופן בלעדי לאהרן הכהן; ואשר לאופי הכפרה יש לדון האם להגדירה ככפרה מקיבעא או מקופיא.</w:t>
      </w:r>
      <w:r>
        <w:rPr>
          <w:sz w:val="20"/>
          <w:szCs w:val="20"/>
          <w:rtl/>
        </w:rPr>
        <w:tab/>
      </w:r>
      <w:r>
        <w:rPr>
          <w:sz w:val="20"/>
          <w:szCs w:val="20"/>
          <w:rtl/>
        </w:rPr>
        <w:tab/>
      </w:r>
      <w:r>
        <w:rPr>
          <w:rFonts w:hint="cs"/>
          <w:sz w:val="20"/>
          <w:szCs w:val="20"/>
          <w:rtl/>
        </w:rPr>
        <w:t xml:space="preserve">       [שיעורי הגרי"ד, שם]</w:t>
      </w:r>
    </w:p>
    <w:p w:rsidR="00C26E1A" w:rsidRDefault="00C26E1A" w:rsidP="00C26E1A">
      <w:pPr>
        <w:spacing w:before="200" w:line="276" w:lineRule="exact"/>
        <w:ind w:firstLine="227"/>
        <w:rPr>
          <w:sz w:val="24"/>
          <w:szCs w:val="24"/>
          <w:rtl/>
        </w:rPr>
      </w:pPr>
      <w:r>
        <w:rPr>
          <w:rFonts w:hint="cs"/>
          <w:sz w:val="24"/>
          <w:szCs w:val="24"/>
          <w:rtl/>
        </w:rPr>
        <w:t>לפי דבריו, הואיל והפר הוא גם פרו של הכהן הגדול וגם פר המשמש לכפרת הכהנים, מסתפקת הגמרא כיצד להבין את כפרת הכהנים בפר זה: האם הפר הוא קרבנו של הכהן הגדול בלבד והכהנים מתכפרים בו 'מקופיא' (=באופן אגבי) בלבד, או שביחס לכפרה הפר נחשב כקרבנם של כל הכהנים.</w:t>
      </w:r>
    </w:p>
    <w:p w:rsidR="00C26E1A" w:rsidRDefault="00C26E1A" w:rsidP="00C26E1A">
      <w:pPr>
        <w:spacing w:before="200" w:line="276" w:lineRule="exact"/>
        <w:ind w:firstLine="227"/>
        <w:rPr>
          <w:color w:val="FF0000"/>
          <w:sz w:val="24"/>
          <w:szCs w:val="24"/>
          <w:rtl/>
        </w:rPr>
      </w:pPr>
    </w:p>
    <w:p w:rsidR="00C26E1A" w:rsidRDefault="00C26E1A" w:rsidP="00C26E1A">
      <w:pPr>
        <w:spacing w:before="200" w:line="276" w:lineRule="exact"/>
        <w:ind w:firstLine="227"/>
        <w:rPr>
          <w:sz w:val="24"/>
          <w:szCs w:val="24"/>
          <w:rtl/>
        </w:rPr>
      </w:pPr>
      <w:r>
        <w:rPr>
          <w:rFonts w:hint="cs"/>
          <w:sz w:val="24"/>
          <w:szCs w:val="24"/>
          <w:rtl/>
        </w:rPr>
        <w:t>ראיה ברורה לכך שפרו של אהרן אינו בא לשם כפרת הכהנים בלבד אלא גם כדי להתיר את הכניסה לקודש הקדשים, מדיון הגמרא לגבי כהן גדול שמת לאחר שחיטת פרו:</w:t>
      </w:r>
    </w:p>
    <w:p w:rsidR="00C26E1A" w:rsidRDefault="00C26E1A" w:rsidP="00C26E1A">
      <w:pPr>
        <w:spacing w:before="200" w:line="276" w:lineRule="exact"/>
        <w:ind w:left="720"/>
        <w:rPr>
          <w:sz w:val="24"/>
          <w:szCs w:val="24"/>
          <w:rtl/>
        </w:rPr>
      </w:pPr>
      <w:r w:rsidRPr="009D63F9">
        <w:rPr>
          <w:sz w:val="24"/>
          <w:szCs w:val="24"/>
          <w:rtl/>
        </w:rPr>
        <w:t>איבעיא להו</w:t>
      </w:r>
      <w:r>
        <w:rPr>
          <w:rFonts w:hint="cs"/>
          <w:sz w:val="24"/>
          <w:szCs w:val="24"/>
          <w:rtl/>
        </w:rPr>
        <w:t>,</w:t>
      </w:r>
      <w:r w:rsidRPr="009D63F9">
        <w:rPr>
          <w:sz w:val="24"/>
          <w:szCs w:val="24"/>
          <w:rtl/>
        </w:rPr>
        <w:t xml:space="preserve"> שחט ומת מה הוא שיכנס אחר בדמו</w:t>
      </w:r>
      <w:r>
        <w:rPr>
          <w:rFonts w:hint="cs"/>
          <w:sz w:val="24"/>
          <w:szCs w:val="24"/>
          <w:rtl/>
        </w:rPr>
        <w:t>?</w:t>
      </w:r>
      <w:r w:rsidRPr="009D63F9">
        <w:rPr>
          <w:sz w:val="24"/>
          <w:szCs w:val="24"/>
          <w:rtl/>
        </w:rPr>
        <w:t xml:space="preserve"> מי אמרינן </w:t>
      </w:r>
      <w:r>
        <w:rPr>
          <w:rFonts w:hint="cs"/>
          <w:sz w:val="24"/>
          <w:szCs w:val="24"/>
          <w:rtl/>
        </w:rPr>
        <w:t>'</w:t>
      </w:r>
      <w:r w:rsidRPr="009D63F9">
        <w:rPr>
          <w:sz w:val="24"/>
          <w:szCs w:val="24"/>
          <w:rtl/>
        </w:rPr>
        <w:t>בפר</w:t>
      </w:r>
      <w:r>
        <w:rPr>
          <w:rFonts w:hint="cs"/>
          <w:sz w:val="24"/>
          <w:szCs w:val="24"/>
          <w:rtl/>
        </w:rPr>
        <w:t>'</w:t>
      </w:r>
      <w:r w:rsidRPr="009D63F9">
        <w:rPr>
          <w:sz w:val="24"/>
          <w:szCs w:val="24"/>
          <w:rtl/>
        </w:rPr>
        <w:t xml:space="preserve"> ואפילו בדמו של פר</w:t>
      </w:r>
      <w:r>
        <w:rPr>
          <w:rFonts w:hint="cs"/>
          <w:sz w:val="24"/>
          <w:szCs w:val="24"/>
          <w:rtl/>
        </w:rPr>
        <w:t>,</w:t>
      </w:r>
      <w:r w:rsidRPr="009D63F9">
        <w:rPr>
          <w:sz w:val="24"/>
          <w:szCs w:val="24"/>
          <w:rtl/>
        </w:rPr>
        <w:t xml:space="preserve"> או דילמא </w:t>
      </w:r>
      <w:r>
        <w:rPr>
          <w:rFonts w:hint="cs"/>
          <w:sz w:val="24"/>
          <w:szCs w:val="24"/>
          <w:rtl/>
        </w:rPr>
        <w:t>'</w:t>
      </w:r>
      <w:r w:rsidRPr="009D63F9">
        <w:rPr>
          <w:sz w:val="24"/>
          <w:szCs w:val="24"/>
          <w:rtl/>
        </w:rPr>
        <w:t>בפר</w:t>
      </w:r>
      <w:r>
        <w:rPr>
          <w:rFonts w:hint="cs"/>
          <w:sz w:val="24"/>
          <w:szCs w:val="24"/>
          <w:rtl/>
        </w:rPr>
        <w:t>'</w:t>
      </w:r>
      <w:r w:rsidRPr="009D63F9">
        <w:rPr>
          <w:sz w:val="24"/>
          <w:szCs w:val="24"/>
          <w:rtl/>
        </w:rPr>
        <w:t xml:space="preserve"> ולא בדמו של פר</w:t>
      </w:r>
      <w:r>
        <w:rPr>
          <w:rFonts w:hint="cs"/>
          <w:sz w:val="24"/>
          <w:szCs w:val="24"/>
          <w:rtl/>
        </w:rPr>
        <w:t>?</w:t>
      </w:r>
      <w:r w:rsidRPr="009D63F9">
        <w:rPr>
          <w:sz w:val="24"/>
          <w:szCs w:val="24"/>
          <w:rtl/>
        </w:rPr>
        <w:t xml:space="preserve"> רבי חנינא אומר</w:t>
      </w:r>
      <w:r>
        <w:rPr>
          <w:rFonts w:hint="cs"/>
          <w:sz w:val="24"/>
          <w:szCs w:val="24"/>
          <w:rtl/>
        </w:rPr>
        <w:t>:</w:t>
      </w:r>
      <w:r w:rsidRPr="009D63F9">
        <w:rPr>
          <w:sz w:val="24"/>
          <w:szCs w:val="24"/>
          <w:rtl/>
        </w:rPr>
        <w:t xml:space="preserve"> </w:t>
      </w:r>
      <w:r>
        <w:rPr>
          <w:rFonts w:hint="cs"/>
          <w:sz w:val="24"/>
          <w:szCs w:val="24"/>
          <w:rtl/>
        </w:rPr>
        <w:t>'</w:t>
      </w:r>
      <w:r w:rsidRPr="009D63F9">
        <w:rPr>
          <w:sz w:val="24"/>
          <w:szCs w:val="24"/>
          <w:rtl/>
        </w:rPr>
        <w:t>בפר</w:t>
      </w:r>
      <w:r>
        <w:rPr>
          <w:rFonts w:hint="cs"/>
          <w:sz w:val="24"/>
          <w:szCs w:val="24"/>
          <w:rtl/>
        </w:rPr>
        <w:t>'</w:t>
      </w:r>
      <w:r w:rsidRPr="009D63F9">
        <w:rPr>
          <w:sz w:val="24"/>
          <w:szCs w:val="24"/>
          <w:rtl/>
        </w:rPr>
        <w:t xml:space="preserve"> ולא בדמו של פר</w:t>
      </w:r>
      <w:r>
        <w:rPr>
          <w:rFonts w:hint="cs"/>
          <w:sz w:val="24"/>
          <w:szCs w:val="24"/>
          <w:rtl/>
        </w:rPr>
        <w:t>,</w:t>
      </w:r>
      <w:r w:rsidRPr="009D63F9">
        <w:rPr>
          <w:sz w:val="24"/>
          <w:szCs w:val="24"/>
          <w:rtl/>
        </w:rPr>
        <w:t xml:space="preserve"> וריש לקיש אמר</w:t>
      </w:r>
      <w:r>
        <w:rPr>
          <w:rFonts w:hint="cs"/>
          <w:sz w:val="24"/>
          <w:szCs w:val="24"/>
          <w:rtl/>
        </w:rPr>
        <w:t>:</w:t>
      </w:r>
      <w:r w:rsidRPr="009D63F9">
        <w:rPr>
          <w:sz w:val="24"/>
          <w:szCs w:val="24"/>
          <w:rtl/>
        </w:rPr>
        <w:t xml:space="preserve"> </w:t>
      </w:r>
      <w:r>
        <w:rPr>
          <w:rFonts w:hint="cs"/>
          <w:sz w:val="24"/>
          <w:szCs w:val="24"/>
          <w:rtl/>
        </w:rPr>
        <w:t>'</w:t>
      </w:r>
      <w:r w:rsidRPr="009D63F9">
        <w:rPr>
          <w:sz w:val="24"/>
          <w:szCs w:val="24"/>
          <w:rtl/>
        </w:rPr>
        <w:t>בפר</w:t>
      </w:r>
      <w:r>
        <w:rPr>
          <w:rFonts w:hint="cs"/>
          <w:sz w:val="24"/>
          <w:szCs w:val="24"/>
          <w:rtl/>
        </w:rPr>
        <w:t>'</w:t>
      </w:r>
      <w:r w:rsidRPr="009D63F9">
        <w:rPr>
          <w:sz w:val="24"/>
          <w:szCs w:val="24"/>
          <w:rtl/>
        </w:rPr>
        <w:t xml:space="preserve"> ואפילו בדמו של פר</w:t>
      </w:r>
      <w:r>
        <w:rPr>
          <w:rFonts w:hint="cs"/>
          <w:sz w:val="24"/>
          <w:szCs w:val="24"/>
          <w:rtl/>
        </w:rPr>
        <w:t>.</w:t>
      </w:r>
      <w:r w:rsidRPr="009D63F9">
        <w:rPr>
          <w:sz w:val="24"/>
          <w:szCs w:val="24"/>
          <w:rtl/>
        </w:rPr>
        <w:t xml:space="preserve"> רבי אמי אמר</w:t>
      </w:r>
      <w:r>
        <w:rPr>
          <w:rFonts w:hint="cs"/>
          <w:sz w:val="24"/>
          <w:szCs w:val="24"/>
          <w:rtl/>
        </w:rPr>
        <w:t>:</w:t>
      </w:r>
      <w:r w:rsidRPr="009D63F9">
        <w:rPr>
          <w:sz w:val="24"/>
          <w:szCs w:val="24"/>
          <w:rtl/>
        </w:rPr>
        <w:t xml:space="preserve"> </w:t>
      </w:r>
      <w:r>
        <w:rPr>
          <w:rFonts w:hint="cs"/>
          <w:sz w:val="24"/>
          <w:szCs w:val="24"/>
          <w:rtl/>
        </w:rPr>
        <w:t>'</w:t>
      </w:r>
      <w:r w:rsidRPr="009D63F9">
        <w:rPr>
          <w:sz w:val="24"/>
          <w:szCs w:val="24"/>
          <w:rtl/>
        </w:rPr>
        <w:t>בפר</w:t>
      </w:r>
      <w:r>
        <w:rPr>
          <w:rFonts w:hint="cs"/>
          <w:sz w:val="24"/>
          <w:szCs w:val="24"/>
          <w:rtl/>
        </w:rPr>
        <w:t>'</w:t>
      </w:r>
      <w:r w:rsidRPr="009D63F9">
        <w:rPr>
          <w:sz w:val="24"/>
          <w:szCs w:val="24"/>
          <w:rtl/>
        </w:rPr>
        <w:t xml:space="preserve"> ולא בדמו של פר</w:t>
      </w:r>
      <w:r>
        <w:rPr>
          <w:rFonts w:hint="cs"/>
          <w:sz w:val="24"/>
          <w:szCs w:val="24"/>
          <w:rtl/>
        </w:rPr>
        <w:t>,</w:t>
      </w:r>
      <w:r w:rsidRPr="009D63F9">
        <w:rPr>
          <w:sz w:val="24"/>
          <w:szCs w:val="24"/>
          <w:rtl/>
        </w:rPr>
        <w:t xml:space="preserve"> רבי יצחק אמר</w:t>
      </w:r>
      <w:r>
        <w:rPr>
          <w:rFonts w:hint="cs"/>
          <w:sz w:val="24"/>
          <w:szCs w:val="24"/>
          <w:rtl/>
        </w:rPr>
        <w:t>:</w:t>
      </w:r>
      <w:r w:rsidRPr="009D63F9">
        <w:rPr>
          <w:sz w:val="24"/>
          <w:szCs w:val="24"/>
          <w:rtl/>
        </w:rPr>
        <w:t xml:space="preserve"> </w:t>
      </w:r>
      <w:r>
        <w:rPr>
          <w:rFonts w:hint="cs"/>
          <w:sz w:val="24"/>
          <w:szCs w:val="24"/>
          <w:rtl/>
        </w:rPr>
        <w:t>'</w:t>
      </w:r>
      <w:r w:rsidRPr="009D63F9">
        <w:rPr>
          <w:sz w:val="24"/>
          <w:szCs w:val="24"/>
          <w:rtl/>
        </w:rPr>
        <w:t>בפר</w:t>
      </w:r>
      <w:r>
        <w:rPr>
          <w:rFonts w:hint="cs"/>
          <w:sz w:val="24"/>
          <w:szCs w:val="24"/>
          <w:rtl/>
        </w:rPr>
        <w:t>'</w:t>
      </w:r>
      <w:r w:rsidRPr="009D63F9">
        <w:rPr>
          <w:sz w:val="24"/>
          <w:szCs w:val="24"/>
          <w:rtl/>
        </w:rPr>
        <w:t xml:space="preserve"> ואפילו בדמו של פר</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מט:]</w:t>
      </w:r>
    </w:p>
    <w:p w:rsidR="00C26E1A" w:rsidRDefault="00C26E1A" w:rsidP="00C26E1A">
      <w:pPr>
        <w:spacing w:before="200" w:line="276" w:lineRule="exact"/>
        <w:ind w:firstLine="227"/>
        <w:rPr>
          <w:sz w:val="24"/>
          <w:szCs w:val="24"/>
          <w:rtl/>
        </w:rPr>
      </w:pPr>
      <w:r>
        <w:rPr>
          <w:rFonts w:hint="cs"/>
          <w:sz w:val="24"/>
          <w:szCs w:val="24"/>
          <w:rtl/>
        </w:rPr>
        <w:t xml:space="preserve">הגמרא דנה בדין כהן גדול שמת לאחר שחיטת פרו ונכנס כהן גדול תחתיו, האם די בכניסתו לקודש הקדשים עם דם הפר או שחובה עליו להביא פר לה' כדי להתיר את הכניסה לקודש הקדשים. מבואר מכך, כי לא די שיהיה פר שבו ייעשו מעשי הכפרה, אלא קיימת חובה שכניסת הכהן הגדול לקודש הקדשים תהיה מלווה בהבאת פר לחטאת. </w:t>
      </w:r>
    </w:p>
    <w:p w:rsidR="00C26E1A" w:rsidRDefault="00C26E1A" w:rsidP="00C26E1A">
      <w:pPr>
        <w:spacing w:before="200" w:line="276" w:lineRule="exact"/>
        <w:ind w:firstLine="227"/>
        <w:rPr>
          <w:sz w:val="24"/>
          <w:szCs w:val="24"/>
          <w:rtl/>
        </w:rPr>
      </w:pPr>
      <w:r>
        <w:rPr>
          <w:rFonts w:hint="cs"/>
          <w:sz w:val="24"/>
          <w:szCs w:val="24"/>
          <w:rtl/>
        </w:rPr>
        <w:t>הגמרא מוסיפה לדון בעניין זה:</w:t>
      </w:r>
    </w:p>
    <w:p w:rsidR="00C26E1A" w:rsidRPr="00F35E18" w:rsidRDefault="00C26E1A" w:rsidP="00C26E1A">
      <w:pPr>
        <w:spacing w:before="200" w:line="276" w:lineRule="exact"/>
        <w:ind w:left="720"/>
        <w:rPr>
          <w:sz w:val="20"/>
          <w:szCs w:val="20"/>
          <w:rtl/>
        </w:rPr>
      </w:pPr>
      <w:r w:rsidRPr="00F35E18">
        <w:rPr>
          <w:sz w:val="24"/>
          <w:szCs w:val="24"/>
          <w:rtl/>
        </w:rPr>
        <w:t>אמר רב אשי: מסתברא כמאן דאמר דם איקרי פר, דכתיב 'בזאת יבא אהרן אל הקדש בפר</w:t>
      </w:r>
      <w:r>
        <w:rPr>
          <w:sz w:val="24"/>
          <w:szCs w:val="24"/>
          <w:rtl/>
        </w:rPr>
        <w:t xml:space="preserve"> בן בקר' – אטו בקרניה מעייל ליה</w:t>
      </w:r>
      <w:r>
        <w:rPr>
          <w:rFonts w:hint="cs"/>
          <w:sz w:val="24"/>
          <w:szCs w:val="24"/>
          <w:rtl/>
        </w:rPr>
        <w:t>?!</w:t>
      </w:r>
      <w:r w:rsidRPr="00F35E18">
        <w:rPr>
          <w:sz w:val="24"/>
          <w:szCs w:val="24"/>
          <w:rtl/>
        </w:rPr>
        <w:t xml:space="preserve"> אלא בדמו וקרי ליה פר. ואידך, במה הוכשר אהרן לבא אל הקדש? בפר בן בקר לחטאת</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נ.]</w:t>
      </w:r>
    </w:p>
    <w:p w:rsidR="00C26E1A" w:rsidRDefault="00C26E1A" w:rsidP="00C26E1A">
      <w:pPr>
        <w:spacing w:before="200" w:line="276" w:lineRule="exact"/>
        <w:ind w:firstLine="227"/>
        <w:rPr>
          <w:sz w:val="24"/>
          <w:szCs w:val="24"/>
          <w:rtl/>
        </w:rPr>
      </w:pPr>
      <w:r>
        <w:rPr>
          <w:rFonts w:hint="cs"/>
          <w:sz w:val="24"/>
          <w:szCs w:val="24"/>
          <w:rtl/>
        </w:rPr>
        <w:t>רב אשי טוען כי בהכרח "דם איקרי פר", שהרי הכהן הגדול נכנס לקודש הקדשים רק עם דם הפר, ואף על פי כן אומרת התורה כי הכהן הגדול בא אל הקודש "בפר בן בקר". הגמרא מבארת כי השיטה החולקת סבורה שכוונת התורה אינה שיש להכניס את הפר לקודש הקדשים, אלא שיש להביא פר לעזרה ולעשות את עבודתו וכך הכהן מוכשר להיכנס לקודש הקדשים.</w:t>
      </w:r>
    </w:p>
    <w:p w:rsidR="00C26E1A" w:rsidRDefault="00C26E1A" w:rsidP="00C26E1A">
      <w:pPr>
        <w:spacing w:before="200" w:line="276" w:lineRule="exact"/>
        <w:ind w:firstLine="227"/>
        <w:rPr>
          <w:sz w:val="24"/>
          <w:szCs w:val="24"/>
          <w:rtl/>
        </w:rPr>
      </w:pPr>
      <w:r>
        <w:rPr>
          <w:rFonts w:hint="cs"/>
          <w:sz w:val="24"/>
          <w:szCs w:val="24"/>
          <w:rtl/>
        </w:rPr>
        <w:lastRenderedPageBreak/>
        <w:t>מדברי הגמרא עולות שתי דרכים בביאור הכתוב "בזאת יבא אהרן אל הקדש בפר בן בקר". לפי רב אשי, כוונת התורה שאהרן צריך להיכנס לקודש הקדשים עם דמו של הפר. לעומת זאת, לפי הדעה החולקת, כוונת התורה שהבאת הפר לעזרה היא המתירה לכהן את הכניסה לקודש הקדשים</w:t>
      </w:r>
      <w:r>
        <w:rPr>
          <w:rStyle w:val="a7"/>
          <w:sz w:val="24"/>
          <w:szCs w:val="24"/>
          <w:rtl/>
        </w:rPr>
        <w:footnoteReference w:id="68"/>
      </w:r>
      <w:r>
        <w:rPr>
          <w:rFonts w:hint="cs"/>
          <w:sz w:val="24"/>
          <w:szCs w:val="24"/>
          <w:rtl/>
        </w:rPr>
        <w:t xml:space="preserve">. </w:t>
      </w:r>
    </w:p>
    <w:p w:rsidR="00C26E1A" w:rsidRDefault="00C26E1A" w:rsidP="00C26E1A">
      <w:pPr>
        <w:spacing w:before="200" w:line="276" w:lineRule="exact"/>
        <w:ind w:firstLine="227"/>
        <w:rPr>
          <w:sz w:val="24"/>
          <w:szCs w:val="24"/>
          <w:rtl/>
        </w:rPr>
      </w:pPr>
    </w:p>
    <w:p w:rsidR="00C26E1A" w:rsidRDefault="00C26E1A" w:rsidP="00C26E1A">
      <w:pPr>
        <w:spacing w:before="200" w:line="276" w:lineRule="exact"/>
        <w:ind w:firstLine="227"/>
        <w:rPr>
          <w:sz w:val="24"/>
          <w:szCs w:val="24"/>
          <w:rtl/>
        </w:rPr>
      </w:pPr>
      <w:r>
        <w:rPr>
          <w:rFonts w:hint="cs"/>
          <w:sz w:val="24"/>
          <w:szCs w:val="24"/>
          <w:rtl/>
        </w:rPr>
        <w:t>תוספות ישנים דנים מדוע הגמרא דנה בדין כהן גדול ששחט את פרו ומת ולא בדין כהן גדול ששחט את פרו ונטמא:</w:t>
      </w:r>
    </w:p>
    <w:p w:rsidR="00C26E1A" w:rsidRDefault="00C26E1A" w:rsidP="00C26E1A">
      <w:pPr>
        <w:spacing w:before="200" w:line="276" w:lineRule="exact"/>
        <w:ind w:left="720"/>
        <w:rPr>
          <w:sz w:val="24"/>
          <w:szCs w:val="24"/>
          <w:rtl/>
        </w:rPr>
      </w:pPr>
      <w:r>
        <w:rPr>
          <w:sz w:val="24"/>
          <w:szCs w:val="24"/>
          <w:rtl/>
        </w:rPr>
        <w:t>וה</w:t>
      </w:r>
      <w:r>
        <w:rPr>
          <w:rFonts w:hint="cs"/>
          <w:sz w:val="24"/>
          <w:szCs w:val="24"/>
          <w:rtl/>
        </w:rPr>
        <w:t>וא הדין</w:t>
      </w:r>
      <w:r w:rsidRPr="00973720">
        <w:rPr>
          <w:sz w:val="24"/>
          <w:szCs w:val="24"/>
          <w:rtl/>
        </w:rPr>
        <w:t xml:space="preserve"> נמי שחט ונטמא</w:t>
      </w:r>
      <w:r>
        <w:rPr>
          <w:rFonts w:hint="cs"/>
          <w:sz w:val="24"/>
          <w:szCs w:val="24"/>
          <w:rtl/>
        </w:rPr>
        <w:t>,</w:t>
      </w:r>
      <w:r>
        <w:rPr>
          <w:sz w:val="24"/>
          <w:szCs w:val="24"/>
          <w:rtl/>
        </w:rPr>
        <w:t xml:space="preserve"> אלא מילתא אגב אורחיה ק</w:t>
      </w:r>
      <w:r>
        <w:rPr>
          <w:rFonts w:hint="cs"/>
          <w:sz w:val="24"/>
          <w:szCs w:val="24"/>
          <w:rtl/>
        </w:rPr>
        <w:t xml:space="preserve">א משמע לן </w:t>
      </w:r>
      <w:r w:rsidRPr="00973720">
        <w:rPr>
          <w:sz w:val="24"/>
          <w:szCs w:val="24"/>
          <w:rtl/>
        </w:rPr>
        <w:t>דחטאת שמתו בעליה דציבור היא ולא למיתה אזלא כדלקמן</w:t>
      </w:r>
      <w:r>
        <w:rPr>
          <w:rFonts w:hint="cs"/>
          <w:sz w:val="24"/>
          <w:szCs w:val="24"/>
          <w:rtl/>
        </w:rPr>
        <w:t>.</w:t>
      </w:r>
      <w:r w:rsidRPr="00973720">
        <w:rPr>
          <w:sz w:val="24"/>
          <w:szCs w:val="24"/>
          <w:rtl/>
        </w:rPr>
        <w:t xml:space="preserve"> ועוד</w:t>
      </w:r>
      <w:r>
        <w:rPr>
          <w:rFonts w:hint="cs"/>
          <w:sz w:val="24"/>
          <w:szCs w:val="24"/>
          <w:rtl/>
        </w:rPr>
        <w:t>,</w:t>
      </w:r>
      <w:r w:rsidRPr="00973720">
        <w:rPr>
          <w:sz w:val="24"/>
          <w:szCs w:val="24"/>
          <w:rtl/>
        </w:rPr>
        <w:t xml:space="preserve"> כי</w:t>
      </w:r>
      <w:r>
        <w:rPr>
          <w:sz w:val="24"/>
          <w:szCs w:val="24"/>
          <w:rtl/>
        </w:rPr>
        <w:t>ון שהראשון חי והקרבן שלו כדפר</w:t>
      </w:r>
      <w:r>
        <w:rPr>
          <w:rFonts w:hint="cs"/>
          <w:sz w:val="24"/>
          <w:szCs w:val="24"/>
          <w:rtl/>
        </w:rPr>
        <w:t>ישית</w:t>
      </w:r>
      <w:r w:rsidRPr="00973720">
        <w:rPr>
          <w:sz w:val="24"/>
          <w:szCs w:val="24"/>
          <w:rtl/>
        </w:rPr>
        <w:t xml:space="preserve"> לעיל</w:t>
      </w:r>
      <w:r>
        <w:rPr>
          <w:rFonts w:hint="cs"/>
          <w:sz w:val="24"/>
          <w:szCs w:val="24"/>
          <w:rtl/>
        </w:rPr>
        <w:t>,</w:t>
      </w:r>
      <w:r w:rsidRPr="00973720">
        <w:rPr>
          <w:sz w:val="24"/>
          <w:szCs w:val="24"/>
          <w:rtl/>
        </w:rPr>
        <w:t xml:space="preserve"> היינו כשלו</w:t>
      </w:r>
      <w:r>
        <w:rPr>
          <w:rFonts w:hint="cs"/>
          <w:sz w:val="24"/>
          <w:szCs w:val="24"/>
          <w:rtl/>
        </w:rPr>
        <w:t>,</w:t>
      </w:r>
      <w:r w:rsidRPr="00973720">
        <w:rPr>
          <w:sz w:val="24"/>
          <w:szCs w:val="24"/>
          <w:rtl/>
        </w:rPr>
        <w:t xml:space="preserve"> שאינו אלא שלוחו של ראשון</w:t>
      </w:r>
      <w:r>
        <w:rPr>
          <w:rFonts w:hint="cs"/>
          <w:sz w:val="24"/>
          <w:szCs w:val="24"/>
          <w:rtl/>
        </w:rPr>
        <w:t>,</w:t>
      </w:r>
      <w:r>
        <w:rPr>
          <w:sz w:val="24"/>
          <w:szCs w:val="24"/>
          <w:rtl/>
        </w:rPr>
        <w:t xml:space="preserve"> ופר עצמו קרינא ביה</w:t>
      </w:r>
      <w:r>
        <w:rPr>
          <w:rFonts w:hint="cs"/>
          <w:sz w:val="24"/>
          <w:szCs w:val="24"/>
          <w:rtl/>
        </w:rPr>
        <w:t xml:space="preserve">. </w:t>
      </w:r>
    </w:p>
    <w:p w:rsidR="00C26E1A" w:rsidRDefault="00C26E1A" w:rsidP="00C26E1A">
      <w:pPr>
        <w:spacing w:before="200" w:line="276" w:lineRule="exact"/>
        <w:ind w:left="720"/>
        <w:jc w:val="right"/>
        <w:rPr>
          <w:sz w:val="24"/>
          <w:szCs w:val="24"/>
          <w:rtl/>
        </w:rPr>
      </w:pPr>
      <w:r>
        <w:rPr>
          <w:rFonts w:hint="cs"/>
          <w:sz w:val="20"/>
          <w:szCs w:val="20"/>
          <w:rtl/>
        </w:rPr>
        <w:t>[תוספות ישנים מט: ד"ה שחט ומת]</w:t>
      </w:r>
    </w:p>
    <w:p w:rsidR="00C26E1A" w:rsidRDefault="00C26E1A" w:rsidP="00C26E1A">
      <w:pPr>
        <w:spacing w:before="200" w:line="276" w:lineRule="exact"/>
        <w:ind w:firstLine="227"/>
        <w:rPr>
          <w:sz w:val="24"/>
          <w:szCs w:val="24"/>
          <w:rtl/>
        </w:rPr>
      </w:pPr>
      <w:r>
        <w:rPr>
          <w:rFonts w:hint="cs"/>
          <w:sz w:val="24"/>
          <w:szCs w:val="24"/>
          <w:rtl/>
        </w:rPr>
        <w:t>מדבריהם עולה ספק האם דין 'שחט ונטמא' כדין 'שחט ומת', או שיש חילוק ביניהם: דווקא ב'שחט ומת' הפר צריך להיות של הכהן המחליף, אך ב'שחט ונטמא' הפר צריך להיות של הכהן הקבוע. ביסוד הספק עומדת שאלה עקרונית: כאשר כהן גדול נטמא ואת עבודות יום הכיפורים עושה כהן אחר, מי מביניהם מביא את הפר?</w:t>
      </w:r>
    </w:p>
    <w:p w:rsidR="00C26E1A" w:rsidRDefault="00C26E1A" w:rsidP="00C26E1A">
      <w:pPr>
        <w:spacing w:before="200" w:line="276" w:lineRule="exact"/>
        <w:ind w:firstLine="227"/>
        <w:rPr>
          <w:sz w:val="24"/>
          <w:szCs w:val="24"/>
          <w:rtl/>
        </w:rPr>
      </w:pPr>
      <w:r>
        <w:rPr>
          <w:rFonts w:hint="cs"/>
          <w:sz w:val="24"/>
          <w:szCs w:val="24"/>
          <w:rtl/>
        </w:rPr>
        <w:t>תוספות ישנים מביאים בעניין זה שתי שיטות:</w:t>
      </w:r>
    </w:p>
    <w:p w:rsidR="00C26E1A" w:rsidRPr="00306957" w:rsidRDefault="00C26E1A" w:rsidP="00C26E1A">
      <w:pPr>
        <w:spacing w:before="200" w:line="276" w:lineRule="exact"/>
        <w:ind w:left="720"/>
        <w:rPr>
          <w:sz w:val="20"/>
          <w:szCs w:val="20"/>
          <w:rtl/>
        </w:rPr>
      </w:pPr>
      <w:r w:rsidRPr="00545652">
        <w:rPr>
          <w:sz w:val="24"/>
          <w:szCs w:val="24"/>
          <w:rtl/>
        </w:rPr>
        <w:t>ואומר ריב"א</w:t>
      </w:r>
      <w:r>
        <w:rPr>
          <w:rFonts w:hint="cs"/>
          <w:sz w:val="24"/>
          <w:szCs w:val="24"/>
          <w:rtl/>
        </w:rPr>
        <w:t>,</w:t>
      </w:r>
      <w:r>
        <w:rPr>
          <w:sz w:val="24"/>
          <w:szCs w:val="24"/>
          <w:rtl/>
        </w:rPr>
        <w:t xml:space="preserve"> דמ</w:t>
      </w:r>
      <w:r>
        <w:rPr>
          <w:rFonts w:hint="cs"/>
          <w:sz w:val="24"/>
          <w:szCs w:val="24"/>
          <w:rtl/>
        </w:rPr>
        <w:t>כל מקום</w:t>
      </w:r>
      <w:r w:rsidRPr="00545652">
        <w:rPr>
          <w:sz w:val="24"/>
          <w:szCs w:val="24"/>
          <w:rtl/>
        </w:rPr>
        <w:t xml:space="preserve"> הוי הפר משל כהן שעבר שהיה קבוע בכל יום</w:t>
      </w:r>
      <w:r>
        <w:rPr>
          <w:rFonts w:hint="cs"/>
          <w:sz w:val="24"/>
          <w:szCs w:val="24"/>
          <w:rtl/>
        </w:rPr>
        <w:t>.</w:t>
      </w:r>
      <w:r w:rsidRPr="00545652">
        <w:rPr>
          <w:sz w:val="24"/>
          <w:szCs w:val="24"/>
          <w:rtl/>
        </w:rPr>
        <w:t xml:space="preserve"> ומביא ראיה מן הירושלמי</w:t>
      </w:r>
      <w:r>
        <w:rPr>
          <w:rFonts w:hint="cs"/>
          <w:sz w:val="24"/>
          <w:szCs w:val="24"/>
          <w:rtl/>
        </w:rPr>
        <w:t>,</w:t>
      </w:r>
      <w:r w:rsidRPr="00545652">
        <w:rPr>
          <w:sz w:val="24"/>
          <w:szCs w:val="24"/>
          <w:rtl/>
        </w:rPr>
        <w:t xml:space="preserve"> דבעי התם גבי כהן המתמנה תחת אותו שאירע בו פסול</w:t>
      </w:r>
      <w:r>
        <w:rPr>
          <w:rFonts w:hint="cs"/>
          <w:sz w:val="24"/>
          <w:szCs w:val="24"/>
          <w:rtl/>
        </w:rPr>
        <w:t>:</w:t>
      </w:r>
      <w:r w:rsidRPr="00545652">
        <w:rPr>
          <w:sz w:val="24"/>
          <w:szCs w:val="24"/>
          <w:rtl/>
        </w:rPr>
        <w:t xml:space="preserve"> </w:t>
      </w:r>
      <w:r>
        <w:rPr>
          <w:rFonts w:hint="cs"/>
          <w:sz w:val="24"/>
          <w:szCs w:val="24"/>
          <w:rtl/>
        </w:rPr>
        <w:t>'</w:t>
      </w:r>
      <w:r w:rsidRPr="00545652">
        <w:rPr>
          <w:sz w:val="24"/>
          <w:szCs w:val="24"/>
          <w:rtl/>
        </w:rPr>
        <w:t>עבודתו משל מי</w:t>
      </w:r>
      <w:r>
        <w:rPr>
          <w:rFonts w:hint="cs"/>
          <w:sz w:val="24"/>
          <w:szCs w:val="24"/>
          <w:rtl/>
        </w:rPr>
        <w:t>?</w:t>
      </w:r>
      <w:r w:rsidRPr="00545652">
        <w:rPr>
          <w:sz w:val="24"/>
          <w:szCs w:val="24"/>
          <w:rtl/>
        </w:rPr>
        <w:t xml:space="preserve"> נשמעינה </w:t>
      </w:r>
      <w:r>
        <w:rPr>
          <w:sz w:val="24"/>
          <w:szCs w:val="24"/>
          <w:rtl/>
        </w:rPr>
        <w:t xml:space="preserve">מן הדא מעשה בבן אולם שאירע </w:t>
      </w:r>
      <w:r w:rsidRPr="00545652">
        <w:rPr>
          <w:sz w:val="24"/>
          <w:szCs w:val="24"/>
          <w:rtl/>
        </w:rPr>
        <w:t>פסול בכהן גדול ונתמנה תחתיו ושימש בו ביום בכהונה גדולה</w:t>
      </w:r>
      <w:r>
        <w:rPr>
          <w:rFonts w:hint="cs"/>
          <w:sz w:val="24"/>
          <w:szCs w:val="24"/>
          <w:rtl/>
        </w:rPr>
        <w:t>,</w:t>
      </w:r>
      <w:r w:rsidRPr="00545652">
        <w:rPr>
          <w:sz w:val="24"/>
          <w:szCs w:val="24"/>
          <w:rtl/>
        </w:rPr>
        <w:t xml:space="preserve"> אמר לו</w:t>
      </w:r>
      <w:r>
        <w:rPr>
          <w:rFonts w:hint="cs"/>
          <w:sz w:val="24"/>
          <w:szCs w:val="24"/>
          <w:rtl/>
        </w:rPr>
        <w:t>:</w:t>
      </w:r>
      <w:r w:rsidRPr="00545652">
        <w:rPr>
          <w:sz w:val="24"/>
          <w:szCs w:val="24"/>
          <w:rtl/>
        </w:rPr>
        <w:t xml:space="preserve"> אדני המלך</w:t>
      </w:r>
      <w:r>
        <w:rPr>
          <w:rFonts w:hint="cs"/>
          <w:sz w:val="24"/>
          <w:szCs w:val="24"/>
          <w:rtl/>
        </w:rPr>
        <w:t>,</w:t>
      </w:r>
      <w:r w:rsidRPr="00545652">
        <w:rPr>
          <w:sz w:val="24"/>
          <w:szCs w:val="24"/>
          <w:rtl/>
        </w:rPr>
        <w:t xml:space="preserve"> פר ושעיר</w:t>
      </w:r>
      <w:r>
        <w:rPr>
          <w:sz w:val="24"/>
          <w:szCs w:val="24"/>
          <w:rtl/>
        </w:rPr>
        <w:t xml:space="preserve"> של יו</w:t>
      </w:r>
      <w:r>
        <w:rPr>
          <w:rFonts w:hint="cs"/>
          <w:sz w:val="24"/>
          <w:szCs w:val="24"/>
          <w:rtl/>
        </w:rPr>
        <w:t>ם הכיפורים</w:t>
      </w:r>
      <w:r w:rsidRPr="00545652">
        <w:rPr>
          <w:sz w:val="24"/>
          <w:szCs w:val="24"/>
          <w:rtl/>
        </w:rPr>
        <w:t xml:space="preserve"> משל מי</w:t>
      </w:r>
      <w:r>
        <w:rPr>
          <w:rFonts w:hint="cs"/>
          <w:sz w:val="24"/>
          <w:szCs w:val="24"/>
          <w:rtl/>
        </w:rPr>
        <w:t xml:space="preserve">, </w:t>
      </w:r>
      <w:r>
        <w:rPr>
          <w:sz w:val="24"/>
          <w:szCs w:val="24"/>
          <w:rtl/>
        </w:rPr>
        <w:t>משלי או משל כ</w:t>
      </w:r>
      <w:r>
        <w:rPr>
          <w:rFonts w:hint="cs"/>
          <w:sz w:val="24"/>
          <w:szCs w:val="24"/>
          <w:rtl/>
        </w:rPr>
        <w:t>הן גדול?</w:t>
      </w:r>
      <w:r>
        <w:rPr>
          <w:sz w:val="24"/>
          <w:szCs w:val="24"/>
          <w:rtl/>
        </w:rPr>
        <w:t xml:space="preserve"> משלי יהו קריבין</w:t>
      </w:r>
      <w:r>
        <w:rPr>
          <w:rFonts w:hint="cs"/>
          <w:sz w:val="24"/>
          <w:szCs w:val="24"/>
          <w:rtl/>
        </w:rPr>
        <w:t xml:space="preserve">, </w:t>
      </w:r>
      <w:r w:rsidRPr="00545652">
        <w:rPr>
          <w:sz w:val="24"/>
          <w:szCs w:val="24"/>
          <w:rtl/>
        </w:rPr>
        <w:t>שאם יהו משלי אהא כהן גדול</w:t>
      </w:r>
      <w:r>
        <w:rPr>
          <w:rFonts w:hint="cs"/>
          <w:sz w:val="24"/>
          <w:szCs w:val="24"/>
          <w:rtl/>
        </w:rPr>
        <w:t>,</w:t>
      </w:r>
      <w:r w:rsidRPr="00545652">
        <w:rPr>
          <w:sz w:val="24"/>
          <w:szCs w:val="24"/>
          <w:rtl/>
        </w:rPr>
        <w:t xml:space="preserve"> ואם משל כהן שעבר לא אהא כהן גדול</w:t>
      </w:r>
      <w:r>
        <w:rPr>
          <w:rFonts w:hint="cs"/>
          <w:sz w:val="24"/>
          <w:szCs w:val="24"/>
          <w:rtl/>
        </w:rPr>
        <w:t>.</w:t>
      </w:r>
      <w:r w:rsidRPr="00545652">
        <w:rPr>
          <w:sz w:val="24"/>
          <w:szCs w:val="24"/>
          <w:rtl/>
        </w:rPr>
        <w:t xml:space="preserve"> ידע המלך מה אמר לו</w:t>
      </w:r>
      <w:r>
        <w:rPr>
          <w:rFonts w:hint="cs"/>
          <w:sz w:val="24"/>
          <w:szCs w:val="24"/>
          <w:rtl/>
        </w:rPr>
        <w:t>'.</w:t>
      </w:r>
      <w:r w:rsidRPr="00545652">
        <w:rPr>
          <w:sz w:val="24"/>
          <w:szCs w:val="24"/>
          <w:rtl/>
        </w:rPr>
        <w:t xml:space="preserve"> משמע שיש לו לפר ושעיר להיות קריבין משל כהן שעבר</w:t>
      </w:r>
      <w:r>
        <w:rPr>
          <w:rFonts w:hint="cs"/>
          <w:sz w:val="24"/>
          <w:szCs w:val="24"/>
          <w:rtl/>
        </w:rPr>
        <w:t>.</w:t>
      </w:r>
      <w:r w:rsidRPr="00545652">
        <w:rPr>
          <w:sz w:val="24"/>
          <w:szCs w:val="24"/>
          <w:rtl/>
        </w:rPr>
        <w:t xml:space="preserve"> מיהו אומר רבינו שהירושלמי יש לפרש כן</w:t>
      </w:r>
      <w:r>
        <w:rPr>
          <w:rFonts w:hint="cs"/>
          <w:sz w:val="24"/>
          <w:szCs w:val="24"/>
          <w:rtl/>
        </w:rPr>
        <w:t>:</w:t>
      </w:r>
      <w:r w:rsidRPr="00545652">
        <w:rPr>
          <w:sz w:val="24"/>
          <w:szCs w:val="24"/>
          <w:rtl/>
        </w:rPr>
        <w:t xml:space="preserve"> </w:t>
      </w:r>
      <w:r>
        <w:rPr>
          <w:rFonts w:hint="cs"/>
          <w:sz w:val="24"/>
          <w:szCs w:val="24"/>
          <w:rtl/>
        </w:rPr>
        <w:t>'</w:t>
      </w:r>
      <w:r w:rsidRPr="00545652">
        <w:rPr>
          <w:sz w:val="24"/>
          <w:szCs w:val="24"/>
          <w:rtl/>
        </w:rPr>
        <w:t>משלי או משל כהן גדול</w:t>
      </w:r>
      <w:r>
        <w:rPr>
          <w:rFonts w:hint="cs"/>
          <w:sz w:val="24"/>
          <w:szCs w:val="24"/>
          <w:rtl/>
        </w:rPr>
        <w:t>',</w:t>
      </w:r>
      <w:r>
        <w:rPr>
          <w:sz w:val="24"/>
          <w:szCs w:val="24"/>
          <w:rtl/>
        </w:rPr>
        <w:t xml:space="preserve"> כלומר קריבין משלי וא</w:t>
      </w:r>
      <w:r>
        <w:rPr>
          <w:rFonts w:hint="cs"/>
          <w:sz w:val="24"/>
          <w:szCs w:val="24"/>
          <w:rtl/>
        </w:rPr>
        <w:t>ם כן</w:t>
      </w:r>
      <w:r w:rsidRPr="00545652">
        <w:rPr>
          <w:sz w:val="24"/>
          <w:szCs w:val="24"/>
          <w:rtl/>
        </w:rPr>
        <w:t xml:space="preserve"> דין הוא שאהא כהן גדול קבוע</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[תוס' ישנים יב: ד"ה שני]</w:t>
      </w:r>
    </w:p>
    <w:p w:rsidR="00C26E1A" w:rsidRDefault="00C26E1A" w:rsidP="00C26E1A">
      <w:pPr>
        <w:spacing w:before="200" w:line="276" w:lineRule="exact"/>
        <w:ind w:firstLine="227"/>
        <w:rPr>
          <w:sz w:val="24"/>
          <w:szCs w:val="24"/>
          <w:rtl/>
        </w:rPr>
      </w:pPr>
      <w:r>
        <w:rPr>
          <w:rFonts w:hint="cs"/>
          <w:sz w:val="24"/>
          <w:szCs w:val="24"/>
          <w:rtl/>
        </w:rPr>
        <w:t xml:space="preserve"> לפי ריב"א, את הפר מביא הכהן הקבוע. לעומת זאת, לפי "רבינו", את הפר מביא הכהן המחליף העושה את עבודות יום הכיפורים.</w:t>
      </w:r>
    </w:p>
    <w:p w:rsidR="00C26E1A" w:rsidRDefault="00C26E1A" w:rsidP="00C26E1A">
      <w:pPr>
        <w:spacing w:before="200" w:line="276" w:lineRule="exact"/>
        <w:ind w:firstLine="227"/>
        <w:rPr>
          <w:sz w:val="24"/>
          <w:szCs w:val="24"/>
          <w:rtl/>
        </w:rPr>
      </w:pPr>
      <w:r>
        <w:rPr>
          <w:rFonts w:hint="cs"/>
          <w:sz w:val="24"/>
          <w:szCs w:val="24"/>
          <w:rtl/>
        </w:rPr>
        <w:t>לכאורה היה ניתן להבחין בעניין זה בין שני ייעודיו של הפר דלעיל. לגבי ייעודו של הפר להתיר את הכניסה לקודש הקדשים, מסתבר והוא צריך לבוא על ידי הכהן המחליף הנכנס לקודש הקדשים. לעומת זאת, לגבי ייעודו של הפר לכפרת הכהנים, ייתכן והוא צריך לבוא על ידי הכהן הגדול הקבוע; שכן קרבנם של הכהנים צריך לבוא על ידי 'ראש הכהנים'</w:t>
      </w:r>
      <w:r>
        <w:rPr>
          <w:rStyle w:val="a7"/>
          <w:sz w:val="24"/>
          <w:szCs w:val="24"/>
          <w:rtl/>
        </w:rPr>
        <w:footnoteReference w:id="69"/>
      </w:r>
      <w:r>
        <w:rPr>
          <w:rFonts w:hint="cs"/>
          <w:sz w:val="24"/>
          <w:szCs w:val="24"/>
          <w:rtl/>
        </w:rPr>
        <w:t>, והכהן המחליף אינו מתמנה להיות "ראש לכל הכהנים"</w:t>
      </w:r>
      <w:r>
        <w:rPr>
          <w:rStyle w:val="a7"/>
          <w:sz w:val="24"/>
          <w:szCs w:val="24"/>
          <w:rtl/>
        </w:rPr>
        <w:footnoteReference w:id="70"/>
      </w:r>
      <w:r>
        <w:rPr>
          <w:rFonts w:hint="cs"/>
          <w:sz w:val="24"/>
          <w:szCs w:val="24"/>
          <w:rtl/>
        </w:rPr>
        <w:t>, אלא הוא מהווה 'ממלא מקום' בלבד</w:t>
      </w:r>
      <w:r>
        <w:rPr>
          <w:rStyle w:val="a7"/>
          <w:sz w:val="24"/>
          <w:szCs w:val="24"/>
          <w:rtl/>
        </w:rPr>
        <w:footnoteReference w:id="71"/>
      </w:r>
      <w:r>
        <w:rPr>
          <w:rFonts w:hint="cs"/>
          <w:sz w:val="24"/>
          <w:szCs w:val="24"/>
          <w:rtl/>
        </w:rPr>
        <w:t xml:space="preserve">. </w:t>
      </w:r>
    </w:p>
    <w:p w:rsidR="00C26E1A" w:rsidRDefault="00C26E1A" w:rsidP="00C26E1A">
      <w:pPr>
        <w:spacing w:before="200" w:line="276" w:lineRule="exact"/>
        <w:ind w:firstLine="227"/>
        <w:rPr>
          <w:sz w:val="24"/>
          <w:szCs w:val="24"/>
          <w:rtl/>
        </w:rPr>
      </w:pPr>
      <w:r>
        <w:rPr>
          <w:rFonts w:hint="cs"/>
          <w:sz w:val="24"/>
          <w:szCs w:val="24"/>
          <w:rtl/>
        </w:rPr>
        <w:t xml:space="preserve">דברים אלו ניתנים להיאמר מסברה, אך מבחינה מעשית הפר צריך לבוא על ידי כהן אחד בלבד, ואם כן בהכרח שני תפקידיו של הפר מתקיימים לפי כל אחת מהשיטות דלעיל. לשיטת ריב"א יש לבאר כיצד היתר הכניסה לקודש הקדשים יכול להיעשות על ידי הכהן הקבוע, על אף שהוא אינו הכהן הנכנס לקודש הקדשים. ביאור לכך </w:t>
      </w:r>
      <w:r w:rsidRPr="00990EF8">
        <w:rPr>
          <w:rFonts w:hint="cs"/>
          <w:sz w:val="24"/>
          <w:szCs w:val="24"/>
          <w:rtl/>
        </w:rPr>
        <w:t xml:space="preserve">עולה מדברי התוספות ישנים </w:t>
      </w:r>
      <w:r w:rsidRPr="00990EF8">
        <w:rPr>
          <w:rFonts w:hint="cs"/>
          <w:sz w:val="20"/>
          <w:szCs w:val="20"/>
          <w:rtl/>
        </w:rPr>
        <w:t>[מט: ד"ה שחט]</w:t>
      </w:r>
      <w:r w:rsidRPr="00990EF8">
        <w:rPr>
          <w:rFonts w:hint="cs"/>
          <w:sz w:val="24"/>
          <w:szCs w:val="24"/>
          <w:rtl/>
        </w:rPr>
        <w:t xml:space="preserve"> שהובאו לעיל: "כיון שראשון חי והקרבן שלו... הינו כשלו, </w:t>
      </w:r>
      <w:r w:rsidRPr="00990EF8">
        <w:rPr>
          <w:rFonts w:hint="cs"/>
          <w:b/>
          <w:bCs/>
          <w:sz w:val="24"/>
          <w:szCs w:val="24"/>
          <w:rtl/>
        </w:rPr>
        <w:t>שאינו אלא שלוחו של ראשון</w:t>
      </w:r>
      <w:r w:rsidRPr="00990EF8">
        <w:rPr>
          <w:rFonts w:hint="cs"/>
          <w:sz w:val="24"/>
          <w:szCs w:val="24"/>
          <w:rtl/>
        </w:rPr>
        <w:t xml:space="preserve"> ופר עצמו קרינא ביה". מדבריו עולה כי </w:t>
      </w:r>
      <w:r>
        <w:rPr>
          <w:rFonts w:hint="cs"/>
          <w:sz w:val="24"/>
          <w:szCs w:val="24"/>
          <w:rtl/>
        </w:rPr>
        <w:t xml:space="preserve">הואיל והכהן הנכנס הוא שלוחו של הכהן הקבוע, והוא נכנס כ'ממלא מקומו', את </w:t>
      </w:r>
      <w:r>
        <w:rPr>
          <w:rFonts w:hint="cs"/>
          <w:sz w:val="24"/>
          <w:szCs w:val="24"/>
          <w:rtl/>
        </w:rPr>
        <w:lastRenderedPageBreak/>
        <w:t>הקרבן המתיר את הכניסה מביא הכהן הקבוע. לשיטת "רבינו", שהכהן המחליף מביא את הפר, יש לבאר כיצד כפרת הכהנים נעשית על ידו. ניתן להציע לכך שני ביאורים:</w:t>
      </w:r>
      <w:r w:rsidRPr="005E1FCD">
        <w:rPr>
          <w:rFonts w:hint="cs"/>
          <w:sz w:val="24"/>
          <w:szCs w:val="24"/>
          <w:rtl/>
        </w:rPr>
        <w:t xml:space="preserve"> או משום שלשיטתו ה</w:t>
      </w:r>
      <w:r>
        <w:rPr>
          <w:rFonts w:hint="cs"/>
          <w:sz w:val="24"/>
          <w:szCs w:val="24"/>
          <w:rtl/>
        </w:rPr>
        <w:t>כהן המחליף</w:t>
      </w:r>
      <w:r w:rsidRPr="005E1FCD">
        <w:rPr>
          <w:rFonts w:hint="cs"/>
          <w:sz w:val="24"/>
          <w:szCs w:val="24"/>
          <w:rtl/>
        </w:rPr>
        <w:t xml:space="preserve"> נחשב ביום זה כ'ראש הכהנים'</w:t>
      </w:r>
      <w:r>
        <w:rPr>
          <w:rFonts w:hint="cs"/>
          <w:sz w:val="24"/>
          <w:szCs w:val="24"/>
          <w:rtl/>
        </w:rPr>
        <w:t xml:space="preserve"> ולכן בכוחו לכפר על כל שבט הכהנים, </w:t>
      </w:r>
      <w:r w:rsidRPr="005E1FCD">
        <w:rPr>
          <w:rFonts w:hint="cs"/>
          <w:sz w:val="24"/>
          <w:szCs w:val="24"/>
          <w:rtl/>
        </w:rPr>
        <w:t xml:space="preserve">או שלשיטתו כפרת הכהנים יכולה להיעשות על ידי כל כהן גדול ולאו דווקא על ידי 'ראש הכהנים'. </w:t>
      </w:r>
    </w:p>
    <w:p w:rsidR="00C26E1A" w:rsidRPr="00F65B76" w:rsidRDefault="00C26E1A" w:rsidP="00C26E1A">
      <w:pPr>
        <w:spacing w:line="276" w:lineRule="auto"/>
        <w:ind w:firstLine="266"/>
        <w:rPr>
          <w:sz w:val="24"/>
          <w:szCs w:val="24"/>
          <w:rtl/>
        </w:rPr>
      </w:pPr>
    </w:p>
    <w:p w:rsidR="00C26E1A" w:rsidRPr="00F65B76" w:rsidRDefault="00C26E1A" w:rsidP="00C26E1A">
      <w:pPr>
        <w:spacing w:before="60" w:after="60" w:line="276" w:lineRule="auto"/>
        <w:ind w:firstLine="266"/>
        <w:jc w:val="right"/>
        <w:rPr>
          <w:sz w:val="24"/>
          <w:szCs w:val="24"/>
        </w:rPr>
      </w:pPr>
      <w:r w:rsidRPr="00F65B76">
        <w:rPr>
          <w:rFonts w:hint="cs"/>
          <w:sz w:val="24"/>
          <w:szCs w:val="24"/>
          <w:u w:val="single"/>
          <w:rtl/>
        </w:rPr>
        <w:t>להערות ולתגובות</w:t>
      </w:r>
      <w:r w:rsidRPr="00F65B76">
        <w:rPr>
          <w:rFonts w:hint="cs"/>
          <w:sz w:val="24"/>
          <w:szCs w:val="24"/>
          <w:rtl/>
        </w:rPr>
        <w:t>: שלמה ליפשיץ</w:t>
      </w:r>
    </w:p>
    <w:p w:rsidR="00A527D5" w:rsidRDefault="00C26E1A" w:rsidP="00C26E1A">
      <w:pPr>
        <w:spacing w:before="60" w:after="60" w:line="276" w:lineRule="auto"/>
        <w:ind w:firstLine="227"/>
        <w:jc w:val="right"/>
        <w:rPr>
          <w:sz w:val="30"/>
          <w:szCs w:val="30"/>
        </w:rPr>
      </w:pPr>
      <w:hyperlink r:id="rId16" w:history="1">
        <w:r w:rsidRPr="00F65B76">
          <w:rPr>
            <w:rStyle w:val="Hyperlink"/>
            <w:sz w:val="24"/>
            <w:szCs w:val="24"/>
          </w:rPr>
          <w:t>lshlomo26@gmail.com</w:t>
        </w:r>
      </w:hyperlink>
    </w:p>
    <w:p w:rsidR="00A527D5" w:rsidRPr="0096770B" w:rsidRDefault="00A527D5" w:rsidP="0096770B">
      <w:pPr>
        <w:spacing w:after="0" w:line="240" w:lineRule="auto"/>
        <w:rPr>
          <w:sz w:val="30"/>
          <w:szCs w:val="30"/>
          <w:rtl/>
        </w:rPr>
      </w:pPr>
      <w:r>
        <w:rPr>
          <w:sz w:val="30"/>
          <w:szCs w:val="30"/>
        </w:rPr>
        <w:br w:type="page"/>
      </w:r>
    </w:p>
    <w:p w:rsidR="00A527D5" w:rsidRPr="00005D2E" w:rsidRDefault="00A527D5" w:rsidP="00A527D5">
      <w:pPr>
        <w:keepNext/>
        <w:keepLines/>
        <w:spacing w:before="240" w:after="0"/>
        <w:jc w:val="center"/>
        <w:outlineLvl w:val="0"/>
        <w:rPr>
          <w:rFonts w:asciiTheme="majorHAnsi" w:eastAsiaTheme="majorEastAsia" w:hAnsiTheme="majorHAnsi"/>
          <w:bCs/>
          <w:sz w:val="36"/>
          <w:szCs w:val="36"/>
          <w:rtl/>
        </w:rPr>
      </w:pPr>
      <w:bookmarkStart w:id="64" w:name="_Toc76718823"/>
      <w:bookmarkStart w:id="65" w:name="_Toc76719163"/>
      <w:r w:rsidRPr="00005D2E">
        <w:rPr>
          <w:rFonts w:asciiTheme="majorHAnsi" w:eastAsiaTheme="majorEastAsia" w:hAnsiTheme="majorHAnsi" w:hint="cs"/>
          <w:bCs/>
          <w:sz w:val="40"/>
          <w:szCs w:val="40"/>
          <w:rtl/>
        </w:rPr>
        <w:lastRenderedPageBreak/>
        <w:t>יסודות יומא</w:t>
      </w:r>
      <w:bookmarkEnd w:id="64"/>
      <w:bookmarkEnd w:id="65"/>
    </w:p>
    <w:p w:rsidR="00A527D5" w:rsidRPr="00005D2E" w:rsidRDefault="00A527D5" w:rsidP="00A527D5">
      <w:pPr>
        <w:keepNext/>
        <w:keepLines/>
        <w:spacing w:before="240" w:after="0"/>
        <w:jc w:val="center"/>
        <w:outlineLvl w:val="0"/>
        <w:rPr>
          <w:rFonts w:asciiTheme="majorHAnsi" w:eastAsiaTheme="majorEastAsia" w:hAnsiTheme="majorHAnsi"/>
          <w:b/>
          <w:sz w:val="32"/>
          <w:szCs w:val="32"/>
          <w:rtl/>
        </w:rPr>
      </w:pPr>
      <w:bookmarkStart w:id="66" w:name="_Toc76719164"/>
      <w:r w:rsidRPr="00005D2E">
        <w:rPr>
          <w:rFonts w:asciiTheme="majorHAnsi" w:eastAsiaTheme="majorEastAsia" w:hAnsiTheme="majorHAnsi" w:hint="cs"/>
          <w:b/>
          <w:sz w:val="32"/>
          <w:szCs w:val="32"/>
          <w:rtl/>
        </w:rPr>
        <w:t xml:space="preserve">שיעור </w:t>
      </w:r>
      <w:r>
        <w:rPr>
          <w:rFonts w:asciiTheme="majorHAnsi" w:eastAsiaTheme="majorEastAsia" w:hAnsiTheme="majorHAnsi" w:hint="cs"/>
          <w:b/>
          <w:sz w:val="32"/>
          <w:szCs w:val="32"/>
          <w:rtl/>
        </w:rPr>
        <w:t>עשירי</w:t>
      </w:r>
      <w:bookmarkEnd w:id="66"/>
    </w:p>
    <w:p w:rsidR="00A527D5" w:rsidRPr="00005D2E" w:rsidRDefault="00A527D5" w:rsidP="00A527D5">
      <w:pPr>
        <w:keepNext/>
        <w:keepLines/>
        <w:spacing w:before="240" w:after="0"/>
        <w:jc w:val="center"/>
        <w:outlineLvl w:val="0"/>
        <w:rPr>
          <w:rFonts w:asciiTheme="majorHAnsi" w:eastAsiaTheme="majorEastAsia" w:hAnsiTheme="majorHAnsi"/>
          <w:bCs/>
          <w:sz w:val="32"/>
          <w:szCs w:val="32"/>
          <w:rtl/>
        </w:rPr>
      </w:pPr>
      <w:bookmarkStart w:id="67" w:name="_Toc76718825"/>
      <w:bookmarkStart w:id="68" w:name="_Toc76719165"/>
      <w:r>
        <w:rPr>
          <w:rFonts w:asciiTheme="majorHAnsi" w:eastAsiaTheme="majorEastAsia" w:hAnsiTheme="majorHAnsi" w:hint="cs"/>
          <w:bCs/>
          <w:sz w:val="36"/>
          <w:szCs w:val="36"/>
          <w:rtl/>
        </w:rPr>
        <w:t>גורל השעירים</w:t>
      </w:r>
      <w:bookmarkEnd w:id="67"/>
      <w:bookmarkEnd w:id="68"/>
    </w:p>
    <w:p w:rsidR="00A527D5" w:rsidRPr="00005D2E" w:rsidRDefault="00A527D5" w:rsidP="00A527D5">
      <w:pPr>
        <w:rPr>
          <w:highlight w:val="green"/>
          <w:rtl/>
        </w:rPr>
      </w:pPr>
      <w:r w:rsidRPr="00005D2E">
        <w:rPr>
          <w:noProof/>
          <w:highlight w:val="green"/>
          <w:rtl/>
        </w:rPr>
        <mc:AlternateContent>
          <mc:Choice Requires="wps">
            <w:drawing>
              <wp:anchor distT="0" distB="0" distL="114300" distR="114300" simplePos="0" relativeHeight="251730944" behindDoc="1" locked="0" layoutInCell="1" allowOverlap="1" wp14:anchorId="6628E7EA" wp14:editId="4A55D971">
                <wp:simplePos x="0" y="0"/>
                <wp:positionH relativeFrom="margin">
                  <wp:align>center</wp:align>
                </wp:positionH>
                <wp:positionV relativeFrom="paragraph">
                  <wp:posOffset>212725</wp:posOffset>
                </wp:positionV>
                <wp:extent cx="5765800" cy="7581900"/>
                <wp:effectExtent l="0" t="0" r="25400" b="19050"/>
                <wp:wrapNone/>
                <wp:docPr id="46" name="מלבן 46"/>
                <wp:cNvGraphicFramePr/>
                <a:graphic xmlns:a="http://schemas.openxmlformats.org/drawingml/2006/main">
                  <a:graphicData uri="http://schemas.microsoft.com/office/word/2010/wordprocessingShape">
                    <wps:wsp>
                      <wps:cNvSpPr/>
                      <wps:spPr>
                        <a:xfrm>
                          <a:off x="0" y="0"/>
                          <a:ext cx="5765800" cy="758190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87764" id="מלבן 46" o:spid="_x0000_s1026" style="position:absolute;left:0;text-align:left;margin-left:0;margin-top:16.75pt;width:454pt;height:597pt;z-index:-251585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ShQIAAAMFAAAOAAAAZHJzL2Uyb0RvYy54bWysVMtuGjEU3VfqP1jeNwMIQjLKECEiqkpR&#10;EimpsjYeDzOSX7UNA/2L7qv2s/idHnsm5NGsqrIw9+X7OD53Li53SpKtcL4xuqDDkwElQnNTNnpd&#10;0K8Py09nlPjAdMmk0aKge+Hp5ezjh4vW5mJkaiNL4QiSaJ+3tqB1CDbPMs9roZg/MVZoOCvjFAtQ&#10;3TorHWuRXclsNBicZq1xpXWGC+9hveqcdJbyV5Xg4baqvAhEFhS9hXS6dK7imc0uWL52zNYN79tg&#10;/9CFYo1G0WOqKxYY2bjmr1Sq4c54U4UTblRmqqrhIs2AaYaDN9Pc18yKNAvA8fYIk/9/afnN9s6R&#10;pizo+JQSzRTe6PDr8PPw4/CbwAR8WutzhN3bO9drHmIcdlc5Ff8xBtklTPdHTMUuEA7jZHo6ORsA&#10;eg7fdHI2PIeCPNnzdet8+CyMIlEoqMOjJSzZ9tqHLvQpJFbzRjblspEyKXu/kI5sGd4XtChNS4lk&#10;PsBY0GX69dVeXZOatKDr+WASO2MgXiVZgKgsoPB6TQmTazCaB5d6eXXbu/XqWHU8no4W4/eKxKav&#10;mK+77lKGGMZy1QSQXjaqoIAGv/621NErEm370SP4HdxRWplyj+dypuOxt3zZoMg1Br5jDsTFNFjG&#10;cIujkgYjml6ipDbu+3v2GA8+wUtJi0XA+N82zAng+EWDaefD8ThuTlLGk+kIinvpWb306I1aGLzF&#10;EGtveRJjfJBP1soZ9YidnceqcDHNUbsDulcWoVtQbD0X83kKw7ZYFq71veUxecQpwvuwe2TO9sQJ&#10;4NyNeVoalr/hTxcbb2oz3wRTNYlcz7iClFHBpiV69l+FuMov9RT1/O2a/QEAAP//AwBQSwMEFAAG&#10;AAgAAAAhAAO1E6zeAAAACAEAAA8AAABkcnMvZG93bnJldi54bWxMj8FOwzAQRO9I/IO1SNyo3VQt&#10;bYhTUSQEHEC0VJzdeEki7HWI3Sb8PcsJjjszmn1TrEfvxAn72AbSMJ0oEEhVsC3VGvZv91dLEDEZ&#10;ssYFQg3fGGFdnp8VJrdhoC2edqkWXEIxNxqalLpcylg16E2chA6JvY/Qe5P47GtpezNwuXcyU2oh&#10;vWmJPzSmw7sGq8/d0Wt42tRf74/1dLvw7nXY0IN6eQ5K68uL8fYGRMIx/YXhF5/RoWSmQziSjcJp&#10;4CFJw2w2B8HuSi1ZOHAsy67nIMtC/h9Q/gAAAP//AwBQSwECLQAUAAYACAAAACEAtoM4kv4AAADh&#10;AQAAEwAAAAAAAAAAAAAAAAAAAAAAW0NvbnRlbnRfVHlwZXNdLnhtbFBLAQItABQABgAIAAAAIQA4&#10;/SH/1gAAAJQBAAALAAAAAAAAAAAAAAAAAC8BAABfcmVscy8ucmVsc1BLAQItABQABgAIAAAAIQBW&#10;+xfShQIAAAMFAAAOAAAAAAAAAAAAAAAAAC4CAABkcnMvZTJvRG9jLnhtbFBLAQItABQABgAIAAAA&#10;IQADtROs3gAAAAgBAAAPAAAAAAAAAAAAAAAAAN8EAABkcnMvZG93bnJldi54bWxQSwUGAAAAAAQA&#10;BADzAAAA6gUAAAAA&#10;" fillcolor="window" strokecolor="#4472c4" strokeweight="1.5pt">
                <w10:wrap anchorx="margin"/>
              </v:rect>
            </w:pict>
          </mc:Fallback>
        </mc:AlternateContent>
      </w:r>
    </w:p>
    <w:p w:rsidR="00A527D5" w:rsidRPr="00005D2E" w:rsidRDefault="00A527D5" w:rsidP="00A527D5">
      <w:pPr>
        <w:jc w:val="center"/>
        <w:rPr>
          <w:b/>
          <w:bCs/>
          <w:sz w:val="24"/>
          <w:szCs w:val="24"/>
          <w:rtl/>
        </w:rPr>
      </w:pPr>
      <w:r w:rsidRPr="00005D2E">
        <w:rPr>
          <w:rFonts w:hint="cs"/>
          <w:b/>
          <w:bCs/>
          <w:sz w:val="24"/>
          <w:szCs w:val="24"/>
          <w:rtl/>
        </w:rPr>
        <w:t>מקורות</w:t>
      </w:r>
    </w:p>
    <w:p w:rsidR="00A527D5" w:rsidRDefault="00A527D5" w:rsidP="00A527D5">
      <w:pPr>
        <w:rPr>
          <w:sz w:val="24"/>
          <w:szCs w:val="24"/>
          <w:rtl/>
        </w:rPr>
      </w:pPr>
      <w:r w:rsidRPr="006B07E9">
        <w:rPr>
          <w:rFonts w:hint="cs"/>
          <w:sz w:val="24"/>
          <w:szCs w:val="24"/>
          <w:rtl/>
        </w:rPr>
        <w:t xml:space="preserve">א. </w:t>
      </w:r>
      <w:r>
        <w:rPr>
          <w:rFonts w:hint="cs"/>
          <w:sz w:val="24"/>
          <w:szCs w:val="24"/>
          <w:rtl/>
        </w:rPr>
        <w:t>ויקרא פרק טז פס' ג-י</w:t>
      </w:r>
    </w:p>
    <w:p w:rsidR="00A527D5" w:rsidRPr="006B07E9" w:rsidRDefault="00A527D5" w:rsidP="00A527D5">
      <w:pPr>
        <w:rPr>
          <w:rFonts w:ascii="Narkisim" w:hAnsi="Narkisim"/>
          <w:sz w:val="24"/>
          <w:szCs w:val="24"/>
          <w:rtl/>
        </w:rPr>
      </w:pPr>
      <w:r>
        <w:rPr>
          <w:rFonts w:hint="cs"/>
          <w:sz w:val="24"/>
          <w:szCs w:val="24"/>
          <w:rtl/>
        </w:rPr>
        <w:t xml:space="preserve">ב. גמ' לט. </w:t>
      </w:r>
      <w:r w:rsidRPr="006B07E9">
        <w:rPr>
          <w:rFonts w:ascii="Narkisim" w:hAnsi="Narkisim"/>
          <w:sz w:val="24"/>
          <w:szCs w:val="24"/>
          <w:rtl/>
        </w:rPr>
        <w:t xml:space="preserve">"מתני'... </w:t>
      </w:r>
      <w:r>
        <w:rPr>
          <w:rFonts w:ascii="Narkisim" w:hAnsi="Narkisim" w:hint="cs"/>
          <w:sz w:val="24"/>
          <w:szCs w:val="24"/>
          <w:rtl/>
        </w:rPr>
        <w:t>ומשמש תחתיו</w:t>
      </w:r>
      <w:r w:rsidRPr="006B07E9">
        <w:rPr>
          <w:rFonts w:ascii="Narkisim" w:hAnsi="Narkisim"/>
          <w:sz w:val="24"/>
          <w:szCs w:val="24"/>
          <w:rtl/>
        </w:rPr>
        <w:t xml:space="preserve">"; </w:t>
      </w:r>
      <w:r>
        <w:rPr>
          <w:rFonts w:ascii="Narkisim" w:hAnsi="Narkisim" w:hint="cs"/>
          <w:sz w:val="24"/>
          <w:szCs w:val="24"/>
          <w:rtl/>
        </w:rPr>
        <w:t>רש"י לט: ד"ה הני, גבורת ארי לט. ד"ה הסגן</w:t>
      </w:r>
    </w:p>
    <w:p w:rsidR="00A527D5" w:rsidRDefault="00A527D5" w:rsidP="00A527D5">
      <w:pPr>
        <w:rPr>
          <w:rFonts w:ascii="Narkisim" w:hAnsi="Narkisim"/>
          <w:sz w:val="24"/>
          <w:szCs w:val="24"/>
          <w:rtl/>
        </w:rPr>
      </w:pPr>
      <w:r w:rsidRPr="006B07E9">
        <w:rPr>
          <w:rFonts w:ascii="Narkisim" w:hAnsi="Narkisim"/>
          <w:sz w:val="24"/>
          <w:szCs w:val="24"/>
          <w:rtl/>
        </w:rPr>
        <w:t xml:space="preserve">ג. </w:t>
      </w:r>
      <w:r>
        <w:rPr>
          <w:rFonts w:ascii="Narkisim" w:hAnsi="Narkisim" w:hint="cs"/>
          <w:sz w:val="24"/>
          <w:szCs w:val="24"/>
          <w:rtl/>
        </w:rPr>
        <w:t>מאירי לט: ד"ה הגרלה זו</w:t>
      </w:r>
      <w:r>
        <w:rPr>
          <w:rFonts w:ascii="Narkisim" w:hAnsi="Narkisim"/>
          <w:sz w:val="24"/>
          <w:szCs w:val="24"/>
        </w:rPr>
        <w:t>;</w:t>
      </w:r>
      <w:r>
        <w:rPr>
          <w:rFonts w:ascii="Narkisim" w:hAnsi="Narkisim" w:hint="cs"/>
          <w:sz w:val="24"/>
          <w:szCs w:val="24"/>
          <w:rtl/>
        </w:rPr>
        <w:t xml:space="preserve"> גמ' סב: "תנו רבנן... הנעשה בחוץ"</w:t>
      </w:r>
    </w:p>
    <w:p w:rsidR="00A527D5" w:rsidRDefault="00A527D5" w:rsidP="00A527D5">
      <w:pPr>
        <w:rPr>
          <w:rFonts w:ascii="Narkisim" w:hAnsi="Narkisim"/>
          <w:sz w:val="24"/>
          <w:szCs w:val="24"/>
          <w:rtl/>
        </w:rPr>
      </w:pPr>
      <w:r>
        <w:rPr>
          <w:rFonts w:ascii="Narkisim" w:hAnsi="Narkisim" w:hint="cs"/>
          <w:sz w:val="24"/>
          <w:szCs w:val="24"/>
          <w:rtl/>
        </w:rPr>
        <w:t>ד. גמ' סה: "אלא אמר ר' זירא... משנה לחברתה"</w:t>
      </w:r>
      <w:r>
        <w:rPr>
          <w:rFonts w:ascii="Narkisim" w:hAnsi="Narkisim"/>
          <w:sz w:val="24"/>
          <w:szCs w:val="24"/>
        </w:rPr>
        <w:t>;</w:t>
      </w:r>
      <w:r>
        <w:rPr>
          <w:rFonts w:ascii="Narkisim" w:hAnsi="Narkisim" w:hint="cs"/>
          <w:sz w:val="24"/>
          <w:szCs w:val="24"/>
          <w:rtl/>
        </w:rPr>
        <w:t xml:space="preserve"> תוספות ישנים סז. ד"ה ונייתי</w:t>
      </w:r>
    </w:p>
    <w:p w:rsidR="00A527D5" w:rsidRPr="006B07E9" w:rsidRDefault="00A527D5" w:rsidP="00A527D5">
      <w:pPr>
        <w:rPr>
          <w:rFonts w:ascii="Narkisim" w:hAnsi="Narkisim"/>
          <w:sz w:val="24"/>
          <w:szCs w:val="24"/>
          <w:rtl/>
        </w:rPr>
      </w:pPr>
      <w:r>
        <w:rPr>
          <w:rFonts w:ascii="Narkisim" w:hAnsi="Narkisim" w:hint="cs"/>
          <w:sz w:val="24"/>
          <w:szCs w:val="24"/>
          <w:rtl/>
        </w:rPr>
        <w:t>ה. תוספות רא"ש לט. ד"ה הסגן</w:t>
      </w:r>
    </w:p>
    <w:p w:rsidR="00A527D5" w:rsidRPr="003A45E2" w:rsidRDefault="00A527D5" w:rsidP="00A527D5">
      <w:pPr>
        <w:rPr>
          <w:rFonts w:ascii="FrankRuehl" w:hAnsi="FrankRuehl" w:cs="FrankRuehl"/>
          <w:sz w:val="24"/>
          <w:szCs w:val="24"/>
          <w:rtl/>
        </w:rPr>
      </w:pPr>
    </w:p>
    <w:p w:rsidR="00A527D5" w:rsidRPr="002F4D5B" w:rsidRDefault="00A527D5" w:rsidP="00A527D5">
      <w:pPr>
        <w:rPr>
          <w:rFonts w:ascii="FrankRuehl" w:hAnsi="FrankRuehl" w:cs="FrankRuehl"/>
          <w:b/>
          <w:bCs/>
          <w:sz w:val="24"/>
          <w:szCs w:val="24"/>
          <w:rtl/>
        </w:rPr>
      </w:pPr>
      <w:r w:rsidRPr="002F4D5B">
        <w:rPr>
          <w:rFonts w:ascii="FrankRuehl" w:hAnsi="FrankRuehl" w:cs="FrankRuehl"/>
          <w:b/>
          <w:bCs/>
          <w:sz w:val="24"/>
          <w:szCs w:val="24"/>
          <w:rtl/>
        </w:rPr>
        <w:t>גבורת ארי לט</w:t>
      </w:r>
      <w:r>
        <w:rPr>
          <w:rFonts w:ascii="FrankRuehl" w:hAnsi="FrankRuehl" w:cs="FrankRuehl" w:hint="cs"/>
          <w:b/>
          <w:bCs/>
          <w:sz w:val="24"/>
          <w:szCs w:val="24"/>
          <w:rtl/>
        </w:rPr>
        <w:t>. ד"ה הסגן</w:t>
      </w:r>
    </w:p>
    <w:p w:rsidR="00A527D5" w:rsidRDefault="00A527D5" w:rsidP="00A527D5">
      <w:pPr>
        <w:rPr>
          <w:rFonts w:ascii="FrankRuehl" w:hAnsi="FrankRuehl" w:cs="FrankRuehl"/>
          <w:sz w:val="24"/>
          <w:szCs w:val="24"/>
          <w:highlight w:val="green"/>
          <w:rtl/>
        </w:rPr>
      </w:pPr>
      <w:r w:rsidRPr="002F4D5B">
        <w:rPr>
          <w:rFonts w:ascii="FrankRuehl" w:hAnsi="FrankRuehl" w:cs="FrankRuehl"/>
          <w:sz w:val="24"/>
          <w:szCs w:val="24"/>
          <w:rtl/>
        </w:rPr>
        <w:t>לפיכך נראה לי על דרך שפירשנו לקמן דודאי עיקר מצות הגרלה אינו אלא לברר איזה מן השעירים לשם ואיזה מהם לעזאזל ולפיכך בעלית גורל אחד סגי לברר כגון דאם עלה לו בימין גורל לה' שעיר של ימין הוברר לה' וממילא מבורר השעיר השני לעזאזל ואף על פי שלא עלה גורלו מן הקלפי אפילו הכי מבורר ועומד הוא מאיליו מדחבירו לה' הוא עומד לעזאזל וכן להיפך בעלית גורל לעזאזל מבורר חבירו לה' מאיליו בין שעלה ראשון בימין בין שעלה בשמאל חבירו של ימין מבורר מאיליו שעלה לגורל שכנגדו נמצא שניהם מבוררים ומתפרשים על ידי גורל בעלית גורל של אחד מהם דהא גורל זה הוי גורל לעצמו ולחבירו ממילא ולקמן יתבאר זה באורך בסיעתא דשמיא. והשתא אתי שפיר הא דשמעתין דסגן וכהן גדול מכניסין לידן לקלפי כיון דכהן גדול מעלה הגורל א' מתוך הקלפי נעשה עיקר מצות הגרלה על ידי כהן גדול המלובש בבגדי לבן לחוד דעל ידי הגרלת שעיר יחידי שמעלה הוא הוי נמי ממילא הגרלה לחבירו שמעלה הסגן. ובהכי ניחא נמי הא דכהן גדול לתנא דידן מכניס ב' ידיו כא' ונוטל גורל א' בימינו ואחד בשמאלו בבת אחת ביחד כדאמר רבא ואינה מחזקת אלא ב' ידים והא אין עבודה כשירה בשמאל אלא ודאי כדפרישית דבעלית גורל אחד הוי עיקר הגרלה לב' שעירים וכיון שמעלה גורל אחד בימינו סגי בהכי.</w:t>
      </w:r>
    </w:p>
    <w:p w:rsidR="0096770B" w:rsidRDefault="0096770B" w:rsidP="00A527D5">
      <w:pPr>
        <w:rPr>
          <w:rFonts w:ascii="FrankRuehl" w:hAnsi="FrankRuehl" w:cs="FrankRuehl"/>
          <w:sz w:val="24"/>
          <w:szCs w:val="24"/>
          <w:highlight w:val="green"/>
          <w:rtl/>
        </w:rPr>
      </w:pPr>
    </w:p>
    <w:p w:rsidR="00A527D5" w:rsidRPr="002F4D5B" w:rsidRDefault="00A527D5" w:rsidP="00A527D5">
      <w:pPr>
        <w:rPr>
          <w:rFonts w:ascii="FrankRuehl" w:hAnsi="FrankRuehl" w:cs="FrankRuehl"/>
          <w:b/>
          <w:bCs/>
          <w:sz w:val="24"/>
          <w:szCs w:val="24"/>
          <w:rtl/>
        </w:rPr>
      </w:pPr>
      <w:r w:rsidRPr="002F4D5B">
        <w:rPr>
          <w:rFonts w:ascii="FrankRuehl" w:hAnsi="FrankRuehl" w:cs="FrankRuehl" w:hint="cs"/>
          <w:b/>
          <w:bCs/>
          <w:sz w:val="24"/>
          <w:szCs w:val="24"/>
          <w:rtl/>
        </w:rPr>
        <w:t>מאירי לט: ד"ה הגרלה זו</w:t>
      </w:r>
    </w:p>
    <w:p w:rsidR="00A527D5" w:rsidRDefault="00A527D5" w:rsidP="00A527D5">
      <w:pPr>
        <w:rPr>
          <w:rFonts w:ascii="FrankRuehl" w:hAnsi="FrankRuehl" w:cs="FrankRuehl"/>
          <w:sz w:val="24"/>
          <w:szCs w:val="24"/>
          <w:highlight w:val="green"/>
          <w:rtl/>
        </w:rPr>
      </w:pPr>
      <w:r w:rsidRPr="002F4D5B">
        <w:rPr>
          <w:rFonts w:ascii="FrankRuehl" w:hAnsi="FrankRuehl" w:cs="FrankRuehl"/>
          <w:sz w:val="24"/>
          <w:szCs w:val="24"/>
          <w:rtl/>
        </w:rPr>
        <w:t>הגרלה זו שתי מצות יש בה אחת העלאת הגורלות מתוך הקלפי אחד ביד ימין ואחד ביד שמאל והשנית נתינת הגורלות על השעירים הראשונה מעכבת ר"ל ההעלאה מן הקלפי שאותו הגורל עושהו חטאת ולא קריאת השם ר"ל שאם יאמר הוא בלא הגרלה זה לד' חטאת וזה לעזאזל לא אמר כלום אבל הנחת הגורלות על השעירים אף על פי שהיא מצוה אינה מעכבת אלא כיון שעלה גורל של שם בידו נעשה חטאת שעיר שכנגד אותה היד ומתוך כך ההגרלה ר"ל העלאת הגורלות מתוך הקלפי פסולה בכל אדם אף על פי שאינה עבודה גמורה שהרי אינה אלא כעין הקדש ועד שהוקדש אין שם עבודה עליו ואעפ"כ הואיל ומעכבת פסולה בזר אבל ההנחה הואיל ואינה מעכבת כשרה בזר</w:t>
      </w:r>
      <w:r>
        <w:rPr>
          <w:rFonts w:ascii="FrankRuehl" w:hAnsi="FrankRuehl" w:cs="FrankRuehl" w:hint="cs"/>
          <w:sz w:val="24"/>
          <w:szCs w:val="24"/>
          <w:rtl/>
        </w:rPr>
        <w:t>.</w:t>
      </w:r>
    </w:p>
    <w:p w:rsidR="0096770B" w:rsidRDefault="0096770B" w:rsidP="00A527D5">
      <w:pPr>
        <w:rPr>
          <w:rFonts w:ascii="FrankRuehl" w:hAnsi="FrankRuehl" w:cs="FrankRuehl"/>
          <w:b/>
          <w:bCs/>
          <w:sz w:val="24"/>
          <w:szCs w:val="24"/>
          <w:rtl/>
        </w:rPr>
      </w:pPr>
    </w:p>
    <w:p w:rsidR="00A527D5" w:rsidRPr="002F4D5B" w:rsidRDefault="00A527D5" w:rsidP="00A527D5">
      <w:pPr>
        <w:rPr>
          <w:rFonts w:ascii="FrankRuehl" w:hAnsi="FrankRuehl" w:cs="FrankRuehl"/>
          <w:b/>
          <w:bCs/>
          <w:sz w:val="24"/>
          <w:szCs w:val="24"/>
          <w:rtl/>
        </w:rPr>
      </w:pPr>
      <w:r w:rsidRPr="002F4D5B">
        <w:rPr>
          <w:rFonts w:ascii="FrankRuehl" w:hAnsi="FrankRuehl" w:cs="FrankRuehl"/>
          <w:b/>
          <w:bCs/>
          <w:sz w:val="24"/>
          <w:szCs w:val="24"/>
          <w:rtl/>
        </w:rPr>
        <w:t>תוספות ישנים סז</w:t>
      </w:r>
      <w:r>
        <w:rPr>
          <w:rFonts w:ascii="FrankRuehl" w:hAnsi="FrankRuehl" w:cs="FrankRuehl" w:hint="cs"/>
          <w:b/>
          <w:bCs/>
          <w:sz w:val="24"/>
          <w:szCs w:val="24"/>
          <w:rtl/>
        </w:rPr>
        <w:t>. ד"ה ונייתי</w:t>
      </w:r>
    </w:p>
    <w:p w:rsidR="00A527D5" w:rsidRDefault="00A527D5" w:rsidP="00A527D5">
      <w:pPr>
        <w:rPr>
          <w:rFonts w:ascii="FrankRuehl" w:hAnsi="FrankRuehl" w:cs="FrankRuehl"/>
          <w:sz w:val="24"/>
          <w:szCs w:val="24"/>
          <w:rtl/>
        </w:rPr>
      </w:pPr>
      <w:r w:rsidRPr="002F4D5B">
        <w:rPr>
          <w:rFonts w:ascii="FrankRuehl" w:hAnsi="FrankRuehl" w:cs="FrankRuehl"/>
          <w:sz w:val="24"/>
          <w:szCs w:val="24"/>
          <w:rtl/>
        </w:rPr>
        <w:t>פי' ליום הכפורים אחר יעשה גורל חדש אבל מה שהגריל ביום הכפורים של אשתקד לא מהני מידי ותימה לריב"א אם כן שאין הגורל מועיל כלום למה ימות והלא יכול לשנותו לשעיר הנעשה בחוץ ולשעירי הרגלים ויש לדחות דמכל מקום מהני מה שהגרילו עליהם שאין לשנותם לשום שעיר ואף על גב שאינו מועיל כלום לענין שכשיבא יום הכפורים אחר יגרילו ואולי יחול על של שם של עזאזל [ועל של עזאזל של שם] שיהיה הגורל להפך ממה שהיה אשתקד. גי'. ויש מפרש פירוש אחר ואינו כדיי</w:t>
      </w:r>
      <w:r>
        <w:rPr>
          <w:rFonts w:ascii="FrankRuehl" w:hAnsi="FrankRuehl" w:cs="FrankRuehl" w:hint="cs"/>
          <w:sz w:val="24"/>
          <w:szCs w:val="24"/>
          <w:rtl/>
        </w:rPr>
        <w:t>.</w:t>
      </w:r>
    </w:p>
    <w:p w:rsidR="00A527D5" w:rsidRPr="002F4D5B" w:rsidRDefault="0096770B" w:rsidP="00A527D5">
      <w:pPr>
        <w:rPr>
          <w:rFonts w:ascii="FrankRuehl" w:hAnsi="FrankRuehl" w:cs="FrankRuehl"/>
          <w:b/>
          <w:bCs/>
          <w:sz w:val="24"/>
          <w:szCs w:val="24"/>
          <w:rtl/>
        </w:rPr>
      </w:pPr>
      <w:r w:rsidRPr="00005D2E">
        <w:rPr>
          <w:noProof/>
          <w:highlight w:val="green"/>
          <w:rtl/>
        </w:rPr>
        <w:lastRenderedPageBreak/>
        <mc:AlternateContent>
          <mc:Choice Requires="wps">
            <w:drawing>
              <wp:anchor distT="0" distB="0" distL="114300" distR="114300" simplePos="0" relativeHeight="251745280" behindDoc="1" locked="0" layoutInCell="1" allowOverlap="1" wp14:anchorId="49C109FB" wp14:editId="0DA8C2C5">
                <wp:simplePos x="0" y="0"/>
                <wp:positionH relativeFrom="margin">
                  <wp:align>center</wp:align>
                </wp:positionH>
                <wp:positionV relativeFrom="paragraph">
                  <wp:posOffset>-228600</wp:posOffset>
                </wp:positionV>
                <wp:extent cx="5765800" cy="1234440"/>
                <wp:effectExtent l="0" t="0" r="25400" b="22860"/>
                <wp:wrapNone/>
                <wp:docPr id="47" name="מלבן 47"/>
                <wp:cNvGraphicFramePr/>
                <a:graphic xmlns:a="http://schemas.openxmlformats.org/drawingml/2006/main">
                  <a:graphicData uri="http://schemas.microsoft.com/office/word/2010/wordprocessingShape">
                    <wps:wsp>
                      <wps:cNvSpPr/>
                      <wps:spPr>
                        <a:xfrm>
                          <a:off x="0" y="0"/>
                          <a:ext cx="5765800" cy="12344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4D08C" id="מלבן 47" o:spid="_x0000_s1026" style="position:absolute;left:0;text-align:left;margin-left:0;margin-top:-18pt;width:454pt;height:97.2pt;z-index:-251571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eLiAIAAAMFAAAOAAAAZHJzL2Uyb0RvYy54bWysVMtuGjEU3VfqP1jeNwN0CAnKECEiqkpR&#10;GimpsjYeDzOSX7UNA/2L7qv2s/idHnsm5NGsqrIwvg/fx7nnzsXlTkmyFc43Rhd0eDKgRGhuykav&#10;C/r1fvnhjBIfmC6ZNFoUdC88vZy9f3fR2qkYmdrIUjiCINpPW1vQOgQ7zTLPa6GYPzFWaBgr4xQL&#10;EN06Kx1rEV3JbDQYnGatcaV1hgvvob3qjHSW4leV4OFLVXkRiCwoagvpdOlcxTObXbDp2jFbN7wv&#10;g/1DFYo1GkmPoa5YYGTjmr9CqYY7400VTrhRmamqhovUA7oZDl51c1czK1IvAMfbI0z+/4XlN9tb&#10;R5qyoPmEEs0UZnT4dfh5+HH4TaACPq31U7jd2VvXSx7X2Oyucir+ow2yS5juj5iKXSAcyvHkdHw2&#10;APQctuHoY57nCfXs6bl1PnwSRpF4KajD0BKWbHvtA1LC9dElZvNGNuWykTIJe7+QjmwZ5gtalKal&#10;RDIfoCzoMv1iDwjx4pnUpEU554NxrIyBeJVkAVdlAYXXa0qYXIPRPLhUy4vX3q1Xx6x5Phkt8reS&#10;xKKvmK+76lKE6MamqgkgvWxUQQENfv1rqaNVJNr2rUfwO7jjbWXKPcblTMdjb/myQZJrNHzLHIiL&#10;brCM4QuOShq0aPobJbVx39/SR3/wCVZKWiwC2v+2YU4Ax88aTDsfxomRkIR8PBlBcM8tq+cWvVEL&#10;g1kMsfaWp2v0D/JRWzmjHrCz85gVJqY5cndA98IidAuKrediPk9u2BbLwrW+szwGjzhFeO93D8zZ&#10;njgBnLsxj0vDpq/40/nGl9rMN8FUTSLXE66gSRSwaYkw/VchrvJzOXk9fbtmfwAAAP//AwBQSwME&#10;FAAGAAgAAAAhANYMNeLdAAAACAEAAA8AAABkcnMvZG93bnJldi54bWxMj81OwzAQhO9IvIO1SNxa&#10;u/xEaYhTUSQEHEC0VJzdZHEi7HWI3Sa8PcsJbrOa0ew35WryThxxiF0gDYu5AoFUh6Yjq2H3dj/L&#10;QcRkqDEuEGr4xgir6vSkNEUTRtrgcZus4BKKhdHQptQXUsa6RW/iPPRI7H2EwZvE52BlM5iRy72T&#10;F0pl0puO+ENrerxrsf7cHryGp7X9en+0i03m3eu4pgf18hyU1udn0+0NiIRT+gvDLz6jQ8VM+3Cg&#10;JgqngYckDbPLjAXbS5Wz2HPuOr8CWZXy/4DqBwAA//8DAFBLAQItABQABgAIAAAAIQC2gziS/gAA&#10;AOEBAAATAAAAAAAAAAAAAAAAAAAAAABbQ29udGVudF9UeXBlc10ueG1sUEsBAi0AFAAGAAgAAAAh&#10;ADj9If/WAAAAlAEAAAsAAAAAAAAAAAAAAAAALwEAAF9yZWxzLy5yZWxzUEsBAi0AFAAGAAgAAAAh&#10;ACvLF4uIAgAAAwUAAA4AAAAAAAAAAAAAAAAALgIAAGRycy9lMm9Eb2MueG1sUEsBAi0AFAAGAAgA&#10;AAAhANYMNeLdAAAACAEAAA8AAAAAAAAAAAAAAAAA4gQAAGRycy9kb3ducmV2LnhtbFBLBQYAAAAA&#10;BAAEAPMAAADsBQAAAAA=&#10;" fillcolor="window" strokecolor="#4472c4" strokeweight="1.5pt">
                <w10:wrap anchorx="margin"/>
              </v:rect>
            </w:pict>
          </mc:Fallback>
        </mc:AlternateContent>
      </w:r>
      <w:r w:rsidR="00A527D5" w:rsidRPr="002F4D5B">
        <w:rPr>
          <w:rFonts w:ascii="FrankRuehl" w:hAnsi="FrankRuehl" w:cs="FrankRuehl"/>
          <w:b/>
          <w:bCs/>
          <w:sz w:val="24"/>
          <w:szCs w:val="24"/>
          <w:rtl/>
        </w:rPr>
        <w:t>תוספות הרא"ש לט</w:t>
      </w:r>
      <w:r w:rsidR="00A527D5">
        <w:rPr>
          <w:rFonts w:ascii="FrankRuehl" w:hAnsi="FrankRuehl" w:cs="FrankRuehl" w:hint="cs"/>
          <w:b/>
          <w:bCs/>
          <w:sz w:val="24"/>
          <w:szCs w:val="24"/>
          <w:rtl/>
        </w:rPr>
        <w:t>. הסגן</w:t>
      </w:r>
    </w:p>
    <w:p w:rsidR="00A527D5" w:rsidRDefault="00A527D5" w:rsidP="00A527D5">
      <w:pPr>
        <w:rPr>
          <w:rFonts w:ascii="FrankRuehl" w:hAnsi="FrankRuehl" w:cs="FrankRuehl"/>
          <w:sz w:val="24"/>
          <w:szCs w:val="24"/>
          <w:rtl/>
        </w:rPr>
      </w:pPr>
      <w:r w:rsidRPr="002F4D5B">
        <w:rPr>
          <w:rFonts w:ascii="FrankRuehl" w:hAnsi="FrankRuehl" w:cs="FrankRuehl"/>
          <w:sz w:val="24"/>
          <w:szCs w:val="24"/>
          <w:rtl/>
        </w:rPr>
        <w:t>הסגן אומר לו וכו'. וא"ת כשעלה בימין הסגן למה אין ראש בית אב אומר לו הגבה ימינך, וי"ל דלכבוד כ"ג נמנע מלומר לו. תימה דלקמן מסקינן דלר' יהודה הגרלה מעכבא א"כ היאך נעשית בכהן אחר, וי"ל דעיקר הברירה בכ"ג שהוא אומר לשם חטאת ואמרינן נמי לקמן הגרלה לאו עבודה היא.</w:t>
      </w:r>
    </w:p>
    <w:p w:rsidR="00A527D5" w:rsidRPr="002F4D5B" w:rsidRDefault="00A527D5" w:rsidP="00A527D5">
      <w:pPr>
        <w:rPr>
          <w:rFonts w:ascii="FrankRuehl" w:hAnsi="FrankRuehl" w:cs="FrankRuehl"/>
          <w:sz w:val="24"/>
          <w:szCs w:val="24"/>
          <w:highlight w:val="green"/>
          <w:rtl/>
        </w:rPr>
      </w:pPr>
    </w:p>
    <w:p w:rsidR="0096770B" w:rsidRDefault="0096770B" w:rsidP="00A527D5">
      <w:pPr>
        <w:spacing w:line="276" w:lineRule="auto"/>
        <w:rPr>
          <w:sz w:val="24"/>
          <w:szCs w:val="24"/>
          <w:rtl/>
        </w:rPr>
      </w:pPr>
    </w:p>
    <w:p w:rsidR="00A527D5" w:rsidRDefault="00A527D5" w:rsidP="00A527D5">
      <w:pPr>
        <w:spacing w:line="276" w:lineRule="auto"/>
        <w:rPr>
          <w:sz w:val="24"/>
          <w:szCs w:val="24"/>
          <w:rtl/>
        </w:rPr>
      </w:pPr>
      <w:r>
        <w:rPr>
          <w:rFonts w:hint="cs"/>
          <w:sz w:val="24"/>
          <w:szCs w:val="24"/>
          <w:rtl/>
        </w:rPr>
        <w:t>נאמר בתורה:</w:t>
      </w:r>
    </w:p>
    <w:p w:rsidR="00A527D5" w:rsidRDefault="00A527D5" w:rsidP="0096770B">
      <w:pPr>
        <w:spacing w:line="276" w:lineRule="auto"/>
        <w:ind w:left="720"/>
        <w:rPr>
          <w:sz w:val="24"/>
          <w:szCs w:val="24"/>
          <w:rtl/>
        </w:rPr>
      </w:pPr>
      <w:r w:rsidRPr="006D74FD">
        <w:rPr>
          <w:sz w:val="24"/>
          <w:szCs w:val="24"/>
          <w:rtl/>
        </w:rPr>
        <w:t>ומאת עדת בני ישראל יקח שני</w:t>
      </w:r>
      <w:r w:rsidR="0096770B">
        <w:rPr>
          <w:sz w:val="24"/>
          <w:szCs w:val="24"/>
          <w:rtl/>
        </w:rPr>
        <w:t xml:space="preserve"> שעירי עזים לחטאת ואיל אחד לעלה</w:t>
      </w:r>
      <w:r w:rsidR="0096770B">
        <w:rPr>
          <w:rFonts w:hint="cs"/>
          <w:sz w:val="24"/>
          <w:szCs w:val="24"/>
          <w:rtl/>
        </w:rPr>
        <w:t>.</w:t>
      </w:r>
      <w:r w:rsidRPr="006D74FD">
        <w:rPr>
          <w:sz w:val="24"/>
          <w:szCs w:val="24"/>
          <w:rtl/>
        </w:rPr>
        <w:t xml:space="preserve"> והקריב אהרן את פר ה</w:t>
      </w:r>
      <w:r w:rsidR="0096770B">
        <w:rPr>
          <w:sz w:val="24"/>
          <w:szCs w:val="24"/>
          <w:rtl/>
        </w:rPr>
        <w:t>חטאת אשר לו וכפר בעדו ובעד ביתו</w:t>
      </w:r>
      <w:r w:rsidR="0096770B">
        <w:rPr>
          <w:rFonts w:hint="cs"/>
          <w:sz w:val="24"/>
          <w:szCs w:val="24"/>
          <w:rtl/>
        </w:rPr>
        <w:t>.</w:t>
      </w:r>
      <w:r w:rsidRPr="006D74FD">
        <w:rPr>
          <w:sz w:val="24"/>
          <w:szCs w:val="24"/>
          <w:rtl/>
        </w:rPr>
        <w:t xml:space="preserve"> ולקח את שני השעירם והעמיד אתם לפני </w:t>
      </w:r>
      <w:r>
        <w:rPr>
          <w:rFonts w:hint="cs"/>
          <w:sz w:val="24"/>
          <w:szCs w:val="24"/>
          <w:rtl/>
        </w:rPr>
        <w:t>ה'</w:t>
      </w:r>
      <w:r w:rsidRPr="006D74FD">
        <w:rPr>
          <w:sz w:val="24"/>
          <w:szCs w:val="24"/>
          <w:rtl/>
        </w:rPr>
        <w:t xml:space="preserve"> פתח </w:t>
      </w:r>
      <w:r w:rsidR="0096770B">
        <w:rPr>
          <w:sz w:val="24"/>
          <w:szCs w:val="24"/>
          <w:rtl/>
        </w:rPr>
        <w:t>אהל מועד</w:t>
      </w:r>
      <w:r w:rsidR="0096770B">
        <w:rPr>
          <w:rFonts w:hint="cs"/>
          <w:sz w:val="24"/>
          <w:szCs w:val="24"/>
          <w:rtl/>
        </w:rPr>
        <w:t>.</w:t>
      </w:r>
      <w:r w:rsidRPr="006D74FD">
        <w:rPr>
          <w:sz w:val="24"/>
          <w:szCs w:val="24"/>
          <w:rtl/>
        </w:rPr>
        <w:t xml:space="preserve"> ונתן אהרן על שני השעירם גרלות גורל אחד </w:t>
      </w:r>
      <w:r>
        <w:rPr>
          <w:rFonts w:hint="cs"/>
          <w:sz w:val="24"/>
          <w:szCs w:val="24"/>
          <w:rtl/>
        </w:rPr>
        <w:t>לה'</w:t>
      </w:r>
      <w:r w:rsidR="0096770B">
        <w:rPr>
          <w:sz w:val="24"/>
          <w:szCs w:val="24"/>
          <w:rtl/>
        </w:rPr>
        <w:t xml:space="preserve"> וגורל אחד לעזאזל</w:t>
      </w:r>
      <w:r w:rsidR="0096770B">
        <w:rPr>
          <w:rFonts w:hint="cs"/>
          <w:sz w:val="24"/>
          <w:szCs w:val="24"/>
          <w:rtl/>
        </w:rPr>
        <w:t>.</w:t>
      </w:r>
      <w:r w:rsidRPr="006D74FD">
        <w:rPr>
          <w:sz w:val="24"/>
          <w:szCs w:val="24"/>
          <w:rtl/>
        </w:rPr>
        <w:t xml:space="preserve"> והקריב אהרן את השעיר אשר עלה עליו הגורל </w:t>
      </w:r>
      <w:r>
        <w:rPr>
          <w:rFonts w:hint="cs"/>
          <w:sz w:val="24"/>
          <w:szCs w:val="24"/>
          <w:rtl/>
        </w:rPr>
        <w:t>לה'</w:t>
      </w:r>
      <w:r w:rsidR="0096770B">
        <w:rPr>
          <w:sz w:val="24"/>
          <w:szCs w:val="24"/>
          <w:rtl/>
        </w:rPr>
        <w:t xml:space="preserve"> ועשהו חטאת</w:t>
      </w:r>
      <w:r w:rsidR="0096770B">
        <w:rPr>
          <w:rFonts w:hint="cs"/>
          <w:sz w:val="24"/>
          <w:szCs w:val="24"/>
          <w:rtl/>
        </w:rPr>
        <w:t>.</w:t>
      </w:r>
      <w:r w:rsidRPr="006D74FD">
        <w:rPr>
          <w:sz w:val="24"/>
          <w:szCs w:val="24"/>
          <w:rtl/>
        </w:rPr>
        <w:t xml:space="preserve"> והשעיר אשר עלה עליו הגורל לעזאזל יעמד חי לפני </w:t>
      </w:r>
      <w:r>
        <w:rPr>
          <w:rFonts w:hint="cs"/>
          <w:sz w:val="24"/>
          <w:szCs w:val="24"/>
          <w:rtl/>
        </w:rPr>
        <w:t>ה'</w:t>
      </w:r>
      <w:r w:rsidRPr="006D74FD">
        <w:rPr>
          <w:sz w:val="24"/>
          <w:szCs w:val="24"/>
          <w:rtl/>
        </w:rPr>
        <w:t xml:space="preserve"> ל</w:t>
      </w:r>
      <w:r w:rsidR="0096770B">
        <w:rPr>
          <w:sz w:val="24"/>
          <w:szCs w:val="24"/>
          <w:rtl/>
        </w:rPr>
        <w:t>כפר עליו לשלח אתו לעזאזל המדברה</w:t>
      </w:r>
      <w:r w:rsidR="0096770B">
        <w:rPr>
          <w:rFonts w:hint="cs"/>
          <w:sz w:val="24"/>
          <w:szCs w:val="24"/>
          <w:rtl/>
        </w:rPr>
        <w:t>.</w:t>
      </w:r>
    </w:p>
    <w:p w:rsidR="00A527D5" w:rsidRDefault="00A527D5" w:rsidP="00A527D5">
      <w:pPr>
        <w:spacing w:line="276" w:lineRule="auto"/>
        <w:ind w:firstLine="227"/>
        <w:jc w:val="right"/>
        <w:rPr>
          <w:sz w:val="20"/>
          <w:szCs w:val="20"/>
          <w:rtl/>
        </w:rPr>
      </w:pPr>
      <w:r>
        <w:rPr>
          <w:rFonts w:hint="cs"/>
          <w:sz w:val="20"/>
          <w:szCs w:val="20"/>
          <w:rtl/>
        </w:rPr>
        <w:t>[ויקרא טז ג-י]</w:t>
      </w:r>
    </w:p>
    <w:p w:rsidR="00A527D5" w:rsidRDefault="00A527D5" w:rsidP="00A527D5">
      <w:pPr>
        <w:spacing w:line="276" w:lineRule="auto"/>
        <w:rPr>
          <w:sz w:val="24"/>
          <w:szCs w:val="24"/>
          <w:rtl/>
        </w:rPr>
      </w:pPr>
      <w:r>
        <w:rPr>
          <w:rFonts w:hint="cs"/>
          <w:sz w:val="24"/>
          <w:szCs w:val="24"/>
          <w:rtl/>
        </w:rPr>
        <w:t xml:space="preserve">מן הפסוקים מבואר שכחלק מסדר עבודת יום הכיפורים על הכהן לקחת שני שעירים אשר השעיר האחד קרב כקורבן חטאת ואילו השעיר האחר משולח לעזאזל. עוד מבואר, שזהותם של שני השעירים, איזה לה' ואיזה לעזאזל, נקבעת על פי הגורלות. בשיעור הנוכחי נעסוק בגדרו של מעשה ההגרלה ובמשמעותו. </w:t>
      </w:r>
    </w:p>
    <w:p w:rsidR="00A527D5" w:rsidRDefault="00A527D5" w:rsidP="00A527D5">
      <w:pPr>
        <w:spacing w:line="276" w:lineRule="auto"/>
        <w:rPr>
          <w:sz w:val="24"/>
          <w:szCs w:val="24"/>
          <w:rtl/>
        </w:rPr>
      </w:pPr>
      <w:r>
        <w:rPr>
          <w:rFonts w:hint="cs"/>
          <w:sz w:val="24"/>
          <w:szCs w:val="24"/>
          <w:rtl/>
        </w:rPr>
        <w:t>המשנה בריש פרק רביעי עוסק בסדר מעשה ההגרלה:</w:t>
      </w:r>
    </w:p>
    <w:p w:rsidR="00A527D5" w:rsidRDefault="00A527D5" w:rsidP="00A527D5">
      <w:pPr>
        <w:spacing w:line="276" w:lineRule="auto"/>
        <w:ind w:left="720"/>
        <w:rPr>
          <w:sz w:val="24"/>
          <w:szCs w:val="24"/>
          <w:rtl/>
        </w:rPr>
      </w:pPr>
      <w:r w:rsidRPr="00EC0C88">
        <w:rPr>
          <w:sz w:val="24"/>
          <w:szCs w:val="24"/>
          <w:rtl/>
        </w:rPr>
        <w:t>טרף בקלפי והעלה שני גורלות</w:t>
      </w:r>
      <w:r>
        <w:rPr>
          <w:rFonts w:hint="cs"/>
          <w:sz w:val="24"/>
          <w:szCs w:val="24"/>
          <w:rtl/>
        </w:rPr>
        <w:t>,</w:t>
      </w:r>
      <w:r w:rsidRPr="00EC0C88">
        <w:rPr>
          <w:sz w:val="24"/>
          <w:szCs w:val="24"/>
          <w:rtl/>
        </w:rPr>
        <w:t xml:space="preserve"> אחד כתוב עליו לשם ואחד כתוב עליו לעזאזל</w:t>
      </w:r>
      <w:r>
        <w:rPr>
          <w:rFonts w:hint="cs"/>
          <w:sz w:val="24"/>
          <w:szCs w:val="24"/>
          <w:rtl/>
        </w:rPr>
        <w:t>.</w:t>
      </w:r>
      <w:r w:rsidRPr="00EC0C88">
        <w:rPr>
          <w:sz w:val="24"/>
          <w:szCs w:val="24"/>
          <w:rtl/>
        </w:rPr>
        <w:t xml:space="preserve"> הסגן בימינו וראש בית אב משמאלו</w:t>
      </w:r>
      <w:r>
        <w:rPr>
          <w:rFonts w:hint="cs"/>
          <w:sz w:val="24"/>
          <w:szCs w:val="24"/>
          <w:rtl/>
        </w:rPr>
        <w:t>.</w:t>
      </w:r>
      <w:r w:rsidRPr="00EC0C88">
        <w:rPr>
          <w:sz w:val="24"/>
          <w:szCs w:val="24"/>
          <w:rtl/>
        </w:rPr>
        <w:t xml:space="preserve"> אם של שם עלה בימינו</w:t>
      </w:r>
      <w:r>
        <w:rPr>
          <w:rFonts w:hint="cs"/>
          <w:sz w:val="24"/>
          <w:szCs w:val="24"/>
          <w:rtl/>
        </w:rPr>
        <w:t>,</w:t>
      </w:r>
      <w:r w:rsidRPr="00EC0C88">
        <w:rPr>
          <w:sz w:val="24"/>
          <w:szCs w:val="24"/>
          <w:rtl/>
        </w:rPr>
        <w:t xml:space="preserve"> הסגן אומר לו</w:t>
      </w:r>
      <w:r>
        <w:rPr>
          <w:rFonts w:hint="cs"/>
          <w:sz w:val="24"/>
          <w:szCs w:val="24"/>
          <w:rtl/>
        </w:rPr>
        <w:t>:</w:t>
      </w:r>
      <w:r w:rsidRPr="00EC0C88">
        <w:rPr>
          <w:sz w:val="24"/>
          <w:szCs w:val="24"/>
          <w:rtl/>
        </w:rPr>
        <w:t xml:space="preserve"> אישי כהן גדול הגבה ימינך</w:t>
      </w:r>
      <w:r>
        <w:rPr>
          <w:rFonts w:hint="cs"/>
          <w:sz w:val="24"/>
          <w:szCs w:val="24"/>
          <w:rtl/>
        </w:rPr>
        <w:t>.</w:t>
      </w:r>
      <w:r w:rsidRPr="00EC0C88">
        <w:rPr>
          <w:sz w:val="24"/>
          <w:szCs w:val="24"/>
          <w:rtl/>
        </w:rPr>
        <w:t xml:space="preserve"> ואם של שם עלה בשמאלו</w:t>
      </w:r>
      <w:r>
        <w:rPr>
          <w:rFonts w:hint="cs"/>
          <w:sz w:val="24"/>
          <w:szCs w:val="24"/>
          <w:rtl/>
        </w:rPr>
        <w:t>,</w:t>
      </w:r>
      <w:r w:rsidRPr="00EC0C88">
        <w:rPr>
          <w:sz w:val="24"/>
          <w:szCs w:val="24"/>
          <w:rtl/>
        </w:rPr>
        <w:t xml:space="preserve"> ראש בית אב אומר לו</w:t>
      </w:r>
      <w:r>
        <w:rPr>
          <w:rFonts w:hint="cs"/>
          <w:sz w:val="24"/>
          <w:szCs w:val="24"/>
          <w:rtl/>
        </w:rPr>
        <w:t>:</w:t>
      </w:r>
      <w:r w:rsidRPr="00EC0C88">
        <w:rPr>
          <w:sz w:val="24"/>
          <w:szCs w:val="24"/>
          <w:rtl/>
        </w:rPr>
        <w:t xml:space="preserve"> אישי כהן גדול הגבה שמאלך</w:t>
      </w:r>
      <w:r>
        <w:rPr>
          <w:rFonts w:hint="cs"/>
          <w:sz w:val="24"/>
          <w:szCs w:val="24"/>
          <w:rtl/>
        </w:rPr>
        <w:t>.</w:t>
      </w:r>
    </w:p>
    <w:p w:rsidR="00A527D5" w:rsidRPr="00EC0C88" w:rsidRDefault="00A527D5" w:rsidP="00A527D5">
      <w:pPr>
        <w:spacing w:line="276" w:lineRule="auto"/>
        <w:ind w:left="266"/>
        <w:jc w:val="right"/>
        <w:rPr>
          <w:sz w:val="20"/>
          <w:szCs w:val="20"/>
          <w:rtl/>
        </w:rPr>
      </w:pPr>
      <w:r>
        <w:rPr>
          <w:rFonts w:hint="cs"/>
          <w:sz w:val="20"/>
          <w:szCs w:val="20"/>
          <w:rtl/>
        </w:rPr>
        <w:t>[לט.]</w:t>
      </w:r>
    </w:p>
    <w:p w:rsidR="00A527D5" w:rsidRDefault="00A527D5" w:rsidP="00A527D5">
      <w:pPr>
        <w:spacing w:line="276" w:lineRule="auto"/>
        <w:rPr>
          <w:sz w:val="24"/>
          <w:szCs w:val="24"/>
          <w:rtl/>
        </w:rPr>
      </w:pPr>
      <w:r>
        <w:rPr>
          <w:rFonts w:hint="cs"/>
          <w:sz w:val="24"/>
          <w:szCs w:val="24"/>
          <w:rtl/>
        </w:rPr>
        <w:t>מדברי המשנה עולה שההגרלה מתבצעת על ידי הכהן הגדול. בגמרא מובאת תוספתא, אשר לפיה במעשה ההגרלה משתתף גם הסגן:</w:t>
      </w:r>
    </w:p>
    <w:p w:rsidR="00A527D5" w:rsidRDefault="00A527D5" w:rsidP="0096770B">
      <w:pPr>
        <w:spacing w:line="276" w:lineRule="auto"/>
        <w:ind w:left="720"/>
        <w:rPr>
          <w:sz w:val="24"/>
          <w:szCs w:val="24"/>
          <w:rtl/>
        </w:rPr>
      </w:pPr>
      <w:r w:rsidRPr="00EC0C88">
        <w:rPr>
          <w:sz w:val="24"/>
          <w:szCs w:val="24"/>
          <w:rtl/>
        </w:rPr>
        <w:t>מתניתין דלא כי האי תנא דתניא</w:t>
      </w:r>
      <w:r>
        <w:rPr>
          <w:rFonts w:hint="cs"/>
          <w:sz w:val="24"/>
          <w:szCs w:val="24"/>
          <w:rtl/>
        </w:rPr>
        <w:t>,</w:t>
      </w:r>
      <w:r w:rsidRPr="00EC0C88">
        <w:rPr>
          <w:sz w:val="24"/>
          <w:szCs w:val="24"/>
          <w:rtl/>
        </w:rPr>
        <w:t xml:space="preserve"> רבי יהודה אומר משום רבי אליעזר</w:t>
      </w:r>
      <w:r>
        <w:rPr>
          <w:rFonts w:hint="cs"/>
          <w:sz w:val="24"/>
          <w:szCs w:val="24"/>
          <w:rtl/>
        </w:rPr>
        <w:t>:</w:t>
      </w:r>
      <w:r w:rsidRPr="00EC0C88">
        <w:rPr>
          <w:sz w:val="24"/>
          <w:szCs w:val="24"/>
          <w:rtl/>
        </w:rPr>
        <w:t xml:space="preserve"> הסגן וכהן גדול מכניסין ידן בקלפי</w:t>
      </w:r>
      <w:r>
        <w:rPr>
          <w:rFonts w:hint="cs"/>
          <w:sz w:val="24"/>
          <w:szCs w:val="24"/>
          <w:rtl/>
        </w:rPr>
        <w:t>.</w:t>
      </w:r>
      <w:r w:rsidRPr="00EC0C88">
        <w:rPr>
          <w:sz w:val="24"/>
          <w:szCs w:val="24"/>
          <w:rtl/>
        </w:rPr>
        <w:t xml:space="preserve"> אם בימינו של כהן גדול עולה</w:t>
      </w:r>
      <w:r>
        <w:rPr>
          <w:rFonts w:hint="cs"/>
          <w:sz w:val="24"/>
          <w:szCs w:val="24"/>
          <w:rtl/>
        </w:rPr>
        <w:t>,</w:t>
      </w:r>
      <w:r w:rsidRPr="00EC0C88">
        <w:rPr>
          <w:sz w:val="24"/>
          <w:szCs w:val="24"/>
          <w:rtl/>
        </w:rPr>
        <w:t xml:space="preserve"> הסגן אומר לו</w:t>
      </w:r>
      <w:r>
        <w:rPr>
          <w:rFonts w:hint="cs"/>
          <w:sz w:val="24"/>
          <w:szCs w:val="24"/>
          <w:rtl/>
        </w:rPr>
        <w:t>:</w:t>
      </w:r>
      <w:r w:rsidRPr="00EC0C88">
        <w:rPr>
          <w:sz w:val="24"/>
          <w:szCs w:val="24"/>
          <w:rtl/>
        </w:rPr>
        <w:t xml:space="preserve"> אישי כהן גדול הגבה ימינך</w:t>
      </w:r>
      <w:r>
        <w:rPr>
          <w:rFonts w:hint="cs"/>
          <w:sz w:val="24"/>
          <w:szCs w:val="24"/>
          <w:rtl/>
        </w:rPr>
        <w:t>.</w:t>
      </w:r>
      <w:r w:rsidRPr="00EC0C88">
        <w:rPr>
          <w:sz w:val="24"/>
          <w:szCs w:val="24"/>
          <w:rtl/>
        </w:rPr>
        <w:t xml:space="preserve"> ואם בימינו של סגן עולה</w:t>
      </w:r>
      <w:r>
        <w:rPr>
          <w:rFonts w:hint="cs"/>
          <w:sz w:val="24"/>
          <w:szCs w:val="24"/>
          <w:rtl/>
        </w:rPr>
        <w:t>,</w:t>
      </w:r>
      <w:r w:rsidRPr="00EC0C88">
        <w:rPr>
          <w:sz w:val="24"/>
          <w:szCs w:val="24"/>
          <w:rtl/>
        </w:rPr>
        <w:t xml:space="preserve"> ראש בית אב אומר לו לכהן גדול</w:t>
      </w:r>
      <w:r>
        <w:rPr>
          <w:rFonts w:hint="cs"/>
          <w:sz w:val="24"/>
          <w:szCs w:val="24"/>
          <w:rtl/>
        </w:rPr>
        <w:t>:</w:t>
      </w:r>
      <w:r w:rsidRPr="00EC0C88">
        <w:rPr>
          <w:sz w:val="24"/>
          <w:szCs w:val="24"/>
          <w:rtl/>
        </w:rPr>
        <w:t xml:space="preserve"> דבר מילך</w:t>
      </w:r>
      <w:r>
        <w:rPr>
          <w:rFonts w:hint="cs"/>
          <w:sz w:val="24"/>
          <w:szCs w:val="24"/>
          <w:rtl/>
        </w:rPr>
        <w:t>.</w:t>
      </w:r>
    </w:p>
    <w:p w:rsidR="00A527D5" w:rsidRPr="00EC0C88" w:rsidRDefault="00A527D5" w:rsidP="00A527D5">
      <w:pPr>
        <w:spacing w:line="276" w:lineRule="auto"/>
        <w:jc w:val="right"/>
        <w:rPr>
          <w:sz w:val="20"/>
          <w:szCs w:val="20"/>
          <w:rtl/>
        </w:rPr>
      </w:pPr>
      <w:r>
        <w:rPr>
          <w:rFonts w:hint="cs"/>
          <w:sz w:val="20"/>
          <w:szCs w:val="20"/>
          <w:rtl/>
        </w:rPr>
        <w:t>[שם]</w:t>
      </w:r>
    </w:p>
    <w:p w:rsidR="00A527D5" w:rsidRDefault="00A527D5" w:rsidP="00A527D5">
      <w:pPr>
        <w:spacing w:line="276" w:lineRule="auto"/>
        <w:rPr>
          <w:sz w:val="24"/>
          <w:szCs w:val="24"/>
          <w:rtl/>
        </w:rPr>
      </w:pPr>
      <w:r>
        <w:rPr>
          <w:rFonts w:hint="cs"/>
          <w:sz w:val="24"/>
          <w:szCs w:val="24"/>
          <w:rtl/>
        </w:rPr>
        <w:t xml:space="preserve">הראשונים התקשו בשאלה, כיצד יכול הסגן לקחת חלק בהגרלת השעירים, הרי כלל נקוט בידנו שכל עבודות יום הכיפורים אינן כשרות אלא בכהן גדול </w:t>
      </w:r>
      <w:r>
        <w:rPr>
          <w:rFonts w:hint="cs"/>
          <w:sz w:val="20"/>
          <w:szCs w:val="20"/>
          <w:rtl/>
        </w:rPr>
        <w:t>[לב:]</w:t>
      </w:r>
      <w:r>
        <w:rPr>
          <w:rFonts w:hint="cs"/>
          <w:sz w:val="24"/>
          <w:szCs w:val="24"/>
          <w:rtl/>
        </w:rPr>
        <w:t>. בעניין זה כותב רש"י:</w:t>
      </w:r>
    </w:p>
    <w:p w:rsidR="00A527D5" w:rsidRDefault="00A527D5" w:rsidP="0096770B">
      <w:pPr>
        <w:spacing w:line="276" w:lineRule="auto"/>
        <w:ind w:left="720"/>
        <w:rPr>
          <w:sz w:val="24"/>
          <w:szCs w:val="24"/>
          <w:rtl/>
        </w:rPr>
      </w:pPr>
      <w:r w:rsidRPr="00223F71">
        <w:rPr>
          <w:sz w:val="24"/>
          <w:szCs w:val="24"/>
          <w:rtl/>
        </w:rPr>
        <w:t>אבל הגרלה, דלאו עבודה היא, שכשרה בסגן למאן דאמר לעיל הסגן וכהן גדול מכניסין ידיהן של ימין בקלפי</w:t>
      </w:r>
      <w:r>
        <w:rPr>
          <w:rFonts w:hint="cs"/>
          <w:sz w:val="24"/>
          <w:szCs w:val="24"/>
          <w:rtl/>
        </w:rPr>
        <w:t>.</w:t>
      </w:r>
    </w:p>
    <w:p w:rsidR="00A527D5" w:rsidRPr="00EC0C88" w:rsidRDefault="00A527D5" w:rsidP="00A527D5">
      <w:pPr>
        <w:spacing w:line="276" w:lineRule="auto"/>
        <w:ind w:left="266"/>
        <w:jc w:val="right"/>
        <w:rPr>
          <w:sz w:val="20"/>
          <w:szCs w:val="20"/>
          <w:rtl/>
        </w:rPr>
      </w:pPr>
      <w:r>
        <w:rPr>
          <w:rFonts w:hint="cs"/>
          <w:sz w:val="20"/>
          <w:szCs w:val="20"/>
          <w:rtl/>
        </w:rPr>
        <w:t>[רש"י לט: ד"ה הני]</w:t>
      </w:r>
    </w:p>
    <w:p w:rsidR="00A527D5" w:rsidRDefault="00A527D5" w:rsidP="00A527D5">
      <w:pPr>
        <w:spacing w:line="276" w:lineRule="auto"/>
        <w:rPr>
          <w:sz w:val="24"/>
          <w:szCs w:val="24"/>
          <w:rtl/>
        </w:rPr>
      </w:pPr>
      <w:r>
        <w:rPr>
          <w:rFonts w:hint="cs"/>
          <w:sz w:val="24"/>
          <w:szCs w:val="24"/>
          <w:rtl/>
        </w:rPr>
        <w:t>רש"י סובר שהסיבה שהגרלת השעירים כשרה אף בסגן, היא משום שההגרלה אינה נחשבת 'עבודה'</w:t>
      </w:r>
      <w:r>
        <w:rPr>
          <w:rStyle w:val="a7"/>
          <w:sz w:val="24"/>
          <w:szCs w:val="24"/>
          <w:rtl/>
        </w:rPr>
        <w:footnoteReference w:id="72"/>
      </w:r>
      <w:r>
        <w:rPr>
          <w:rFonts w:hint="cs"/>
          <w:sz w:val="24"/>
          <w:szCs w:val="24"/>
          <w:rtl/>
        </w:rPr>
        <w:t>. הגבורת ארי התקשה אף הוא בעניין זה, אך הציע לכך פתרון שונה</w:t>
      </w:r>
      <w:r>
        <w:rPr>
          <w:rStyle w:val="a7"/>
          <w:sz w:val="24"/>
          <w:szCs w:val="24"/>
          <w:rtl/>
        </w:rPr>
        <w:footnoteReference w:id="73"/>
      </w:r>
      <w:r>
        <w:rPr>
          <w:rFonts w:hint="cs"/>
          <w:sz w:val="24"/>
          <w:szCs w:val="24"/>
          <w:rtl/>
        </w:rPr>
        <w:t>:</w:t>
      </w:r>
    </w:p>
    <w:p w:rsidR="00A527D5" w:rsidRPr="00011D1A" w:rsidRDefault="00A527D5" w:rsidP="00A527D5">
      <w:pPr>
        <w:spacing w:line="276" w:lineRule="auto"/>
        <w:ind w:left="720"/>
        <w:rPr>
          <w:sz w:val="20"/>
          <w:szCs w:val="20"/>
          <w:rtl/>
        </w:rPr>
      </w:pPr>
      <w:r w:rsidRPr="006710EF">
        <w:rPr>
          <w:sz w:val="24"/>
          <w:szCs w:val="24"/>
          <w:rtl/>
        </w:rPr>
        <w:lastRenderedPageBreak/>
        <w:t>לפיכך נראה לי על דרך שפירשנו לקמן</w:t>
      </w:r>
      <w:r>
        <w:rPr>
          <w:rFonts w:hint="cs"/>
          <w:sz w:val="24"/>
          <w:szCs w:val="24"/>
          <w:rtl/>
        </w:rPr>
        <w:t>,</w:t>
      </w:r>
      <w:r w:rsidRPr="006710EF">
        <w:rPr>
          <w:sz w:val="24"/>
          <w:szCs w:val="24"/>
          <w:rtl/>
        </w:rPr>
        <w:t xml:space="preserve"> דודאי עיקר מצות הגרלה אינו אלא לברר איזה מן השעירים לשם ואיזה מהם לעזאזל</w:t>
      </w:r>
      <w:r>
        <w:rPr>
          <w:rFonts w:hint="cs"/>
          <w:sz w:val="24"/>
          <w:szCs w:val="24"/>
          <w:rtl/>
        </w:rPr>
        <w:t>,</w:t>
      </w:r>
      <w:r w:rsidRPr="006710EF">
        <w:rPr>
          <w:sz w:val="24"/>
          <w:szCs w:val="24"/>
          <w:rtl/>
        </w:rPr>
        <w:t xml:space="preserve"> ולפיכך בעלית גורל אחד סגי לברר</w:t>
      </w:r>
      <w:r>
        <w:rPr>
          <w:rFonts w:hint="cs"/>
          <w:sz w:val="24"/>
          <w:szCs w:val="24"/>
          <w:rtl/>
        </w:rPr>
        <w:t>,</w:t>
      </w:r>
      <w:r w:rsidRPr="006710EF">
        <w:rPr>
          <w:sz w:val="24"/>
          <w:szCs w:val="24"/>
          <w:rtl/>
        </w:rPr>
        <w:t xml:space="preserve"> כגון דאם עלה לו בימין גורל לה' שעיר של ימין הוברר לה' וממילא מבורר השעיר השני לעזאזל</w:t>
      </w:r>
      <w:r>
        <w:rPr>
          <w:rFonts w:hint="cs"/>
          <w:sz w:val="24"/>
          <w:szCs w:val="24"/>
          <w:rtl/>
        </w:rPr>
        <w:t>,</w:t>
      </w:r>
      <w:r w:rsidRPr="006710EF">
        <w:rPr>
          <w:sz w:val="24"/>
          <w:szCs w:val="24"/>
          <w:rtl/>
        </w:rPr>
        <w:t xml:space="preserve"> ואף על פי שלא עלה גורלו מן הקלפי אפילו הכי מבורר ועומד הוא מאיליו</w:t>
      </w:r>
      <w:r>
        <w:rPr>
          <w:rFonts w:hint="cs"/>
          <w:sz w:val="24"/>
          <w:szCs w:val="24"/>
          <w:rtl/>
        </w:rPr>
        <w:t>,</w:t>
      </w:r>
      <w:r w:rsidRPr="006710EF">
        <w:rPr>
          <w:sz w:val="24"/>
          <w:szCs w:val="24"/>
          <w:rtl/>
        </w:rPr>
        <w:t xml:space="preserve"> מדחבירו לה' הוא עומד לעזאזל</w:t>
      </w:r>
      <w:r>
        <w:rPr>
          <w:rFonts w:hint="cs"/>
          <w:sz w:val="24"/>
          <w:szCs w:val="24"/>
          <w:rtl/>
        </w:rPr>
        <w:t>,</w:t>
      </w:r>
      <w:r w:rsidRPr="006710EF">
        <w:rPr>
          <w:sz w:val="24"/>
          <w:szCs w:val="24"/>
          <w:rtl/>
        </w:rPr>
        <w:t xml:space="preserve"> וכן להיפך בעלית גורל לעזאזל מבורר חבירו לה' מאיליו בין שעלה ראשון בימין בין שעלה בשמאל חבירו של ימין מבורר מאיליו שעלה לגורל שכנגדו</w:t>
      </w:r>
      <w:r>
        <w:rPr>
          <w:rFonts w:hint="cs"/>
          <w:sz w:val="24"/>
          <w:szCs w:val="24"/>
          <w:rtl/>
        </w:rPr>
        <w:t>,</w:t>
      </w:r>
      <w:r w:rsidRPr="006710EF">
        <w:rPr>
          <w:sz w:val="24"/>
          <w:szCs w:val="24"/>
          <w:rtl/>
        </w:rPr>
        <w:t xml:space="preserve"> נמצא שניהם מבוררים ומתפרשים על ידי גורל בעלית גורל של אחד מהם</w:t>
      </w:r>
      <w:r>
        <w:rPr>
          <w:rFonts w:hint="cs"/>
          <w:sz w:val="24"/>
          <w:szCs w:val="24"/>
          <w:rtl/>
        </w:rPr>
        <w:t>,</w:t>
      </w:r>
      <w:r w:rsidRPr="006710EF">
        <w:rPr>
          <w:sz w:val="24"/>
          <w:szCs w:val="24"/>
          <w:rtl/>
        </w:rPr>
        <w:t xml:space="preserve"> דהא גורל זה הוי גורל לעצמו ולחבירו ממילא</w:t>
      </w:r>
      <w:r>
        <w:rPr>
          <w:rFonts w:hint="cs"/>
          <w:sz w:val="24"/>
          <w:szCs w:val="24"/>
          <w:rtl/>
        </w:rPr>
        <w:t xml:space="preserve">... </w:t>
      </w:r>
      <w:r w:rsidRPr="00366711">
        <w:rPr>
          <w:rFonts w:ascii="Narkisim" w:hAnsi="Narkisim"/>
          <w:sz w:val="24"/>
          <w:szCs w:val="24"/>
          <w:rtl/>
        </w:rPr>
        <w:t>והשתא אתי שפיר הא דשמעתין</w:t>
      </w:r>
      <w:r>
        <w:rPr>
          <w:rFonts w:ascii="Narkisim" w:hAnsi="Narkisim" w:hint="cs"/>
          <w:sz w:val="24"/>
          <w:szCs w:val="24"/>
          <w:rtl/>
        </w:rPr>
        <w:t>,</w:t>
      </w:r>
      <w:r w:rsidRPr="00366711">
        <w:rPr>
          <w:rFonts w:ascii="Narkisim" w:hAnsi="Narkisim"/>
          <w:sz w:val="24"/>
          <w:szCs w:val="24"/>
          <w:rtl/>
        </w:rPr>
        <w:t xml:space="preserve"> דסגן וכהן גדול מכניסין לידן לקלפי</w:t>
      </w:r>
      <w:r>
        <w:rPr>
          <w:rFonts w:ascii="Narkisim" w:hAnsi="Narkisim" w:hint="cs"/>
          <w:sz w:val="24"/>
          <w:szCs w:val="24"/>
          <w:rtl/>
        </w:rPr>
        <w:t>,</w:t>
      </w:r>
      <w:r w:rsidRPr="00366711">
        <w:rPr>
          <w:rFonts w:ascii="Narkisim" w:hAnsi="Narkisim"/>
          <w:sz w:val="24"/>
          <w:szCs w:val="24"/>
          <w:rtl/>
        </w:rPr>
        <w:t xml:space="preserve"> כיון דכהן גדול מעלה הגורל א' מתוך הקלפי נעשה עיקר מצות הגרלה על ידי כהן גדול המלובש בבגדי לבן לחוד</w:t>
      </w:r>
      <w:r>
        <w:rPr>
          <w:rFonts w:ascii="Narkisim" w:hAnsi="Narkisim" w:hint="cs"/>
          <w:sz w:val="24"/>
          <w:szCs w:val="24"/>
          <w:rtl/>
        </w:rPr>
        <w:t>,</w:t>
      </w:r>
      <w:r w:rsidRPr="00366711">
        <w:rPr>
          <w:rFonts w:ascii="Narkisim" w:hAnsi="Narkisim"/>
          <w:sz w:val="24"/>
          <w:szCs w:val="24"/>
          <w:rtl/>
        </w:rPr>
        <w:t xml:space="preserve"> דעל ידי הגרלת שעיר יחידי שמעלה הוא הוי נמי ממילא הגרלה לחבירו שמעלה הסגן.</w:t>
      </w:r>
      <w:r>
        <w:rPr>
          <w:sz w:val="20"/>
          <w:szCs w:val="20"/>
          <w:rtl/>
        </w:rPr>
        <w:tab/>
      </w:r>
      <w:r>
        <w:rPr>
          <w:sz w:val="20"/>
          <w:szCs w:val="20"/>
          <w:rtl/>
        </w:rPr>
        <w:tab/>
      </w:r>
      <w:r>
        <w:rPr>
          <w:sz w:val="20"/>
          <w:szCs w:val="20"/>
          <w:rtl/>
        </w:rPr>
        <w:tab/>
      </w:r>
      <w:r>
        <w:rPr>
          <w:sz w:val="20"/>
          <w:szCs w:val="20"/>
          <w:rtl/>
        </w:rPr>
        <w:tab/>
      </w:r>
      <w:r>
        <w:rPr>
          <w:sz w:val="20"/>
          <w:szCs w:val="20"/>
          <w:rtl/>
        </w:rPr>
        <w:tab/>
      </w:r>
      <w:r>
        <w:rPr>
          <w:sz w:val="20"/>
          <w:szCs w:val="20"/>
          <w:rtl/>
        </w:rPr>
        <w:tab/>
      </w:r>
      <w:r>
        <w:rPr>
          <w:sz w:val="20"/>
          <w:szCs w:val="20"/>
          <w:rtl/>
        </w:rPr>
        <w:tab/>
      </w:r>
      <w:r>
        <w:rPr>
          <w:sz w:val="20"/>
          <w:szCs w:val="20"/>
          <w:rtl/>
        </w:rPr>
        <w:tab/>
      </w:r>
    </w:p>
    <w:p w:rsidR="00A527D5" w:rsidRPr="00011D1A" w:rsidRDefault="00A527D5" w:rsidP="00A527D5">
      <w:pPr>
        <w:spacing w:line="276" w:lineRule="auto"/>
        <w:jc w:val="right"/>
        <w:rPr>
          <w:sz w:val="20"/>
          <w:szCs w:val="20"/>
          <w:rtl/>
        </w:rPr>
      </w:pPr>
      <w:r>
        <w:rPr>
          <w:rFonts w:hint="cs"/>
          <w:sz w:val="20"/>
          <w:szCs w:val="20"/>
          <w:rtl/>
        </w:rPr>
        <w:t>[גבורת ארי לט. ד"ה הסגן]</w:t>
      </w:r>
    </w:p>
    <w:p w:rsidR="00A527D5" w:rsidRDefault="00A527D5" w:rsidP="00A527D5">
      <w:pPr>
        <w:spacing w:line="276" w:lineRule="auto"/>
        <w:rPr>
          <w:sz w:val="24"/>
          <w:szCs w:val="24"/>
          <w:rtl/>
        </w:rPr>
      </w:pPr>
      <w:r>
        <w:rPr>
          <w:rFonts w:hint="cs"/>
          <w:sz w:val="24"/>
          <w:szCs w:val="24"/>
          <w:rtl/>
        </w:rPr>
        <w:t xml:space="preserve">לדברי הגבורת ארי, מטרת ההגרלה היא אחת </w:t>
      </w:r>
      <w:r>
        <w:rPr>
          <w:sz w:val="24"/>
          <w:szCs w:val="24"/>
          <w:rtl/>
        </w:rPr>
        <w:t>–</w:t>
      </w:r>
      <w:r>
        <w:rPr>
          <w:rFonts w:hint="cs"/>
          <w:sz w:val="24"/>
          <w:szCs w:val="24"/>
          <w:rtl/>
        </w:rPr>
        <w:t xml:space="preserve"> בירור זהותם של השעירים, מי לה' ומי לעזאזל. לכן, מרגע שעלה הגורל על אחד השעירים על ידי הכהן הגדול, התבצעה ההגרלה. שכן קביעת זהותו של השעיר האחד על ידי הגורל, מכריעה באופן ישיר בדבר זהותו של השעיר השני. ממילא, נמצא שאף שהסגן משתתף במעשה ההגרלה, "עיקר מצות הגרלה" נעשה על ידי הכהן הגדול. על פי יסוד זה, מיישב הגבורת ארי קושי נוסף הקיים בדין עבודת ההגרלה. התוספות ישנים הקשה </w:t>
      </w:r>
      <w:r>
        <w:rPr>
          <w:rFonts w:hint="cs"/>
          <w:sz w:val="20"/>
          <w:szCs w:val="20"/>
          <w:rtl/>
        </w:rPr>
        <w:t>[לט. ד"ה כי]</w:t>
      </w:r>
      <w:r>
        <w:rPr>
          <w:rFonts w:hint="cs"/>
          <w:sz w:val="24"/>
          <w:szCs w:val="24"/>
          <w:rtl/>
        </w:rPr>
        <w:t>, כיצד כשרה עבודת ההגרלה בשמאל, הרי קיימא לן שאין עבודה כשרה בשמאל. הגבורת ארי סובר שניתן ליישב קושי זה באופן דומה:</w:t>
      </w:r>
    </w:p>
    <w:p w:rsidR="00A527D5" w:rsidRDefault="00A527D5" w:rsidP="00A527D5">
      <w:pPr>
        <w:spacing w:line="276" w:lineRule="auto"/>
        <w:ind w:left="720"/>
        <w:rPr>
          <w:sz w:val="24"/>
          <w:szCs w:val="24"/>
          <w:rtl/>
        </w:rPr>
      </w:pPr>
      <w:r w:rsidRPr="005A69DE">
        <w:rPr>
          <w:sz w:val="24"/>
          <w:szCs w:val="24"/>
          <w:rtl/>
        </w:rPr>
        <w:t>ובהכי ניחא נמי הא דכהן גדול לתנא דידן מכניס ב' ידיו כא' ונוטל גורל א' בימינו ואחד בשמאלו בבת אחת ביחד</w:t>
      </w:r>
      <w:r>
        <w:rPr>
          <w:rFonts w:hint="cs"/>
          <w:sz w:val="24"/>
          <w:szCs w:val="24"/>
          <w:rtl/>
        </w:rPr>
        <w:t>,</w:t>
      </w:r>
      <w:r w:rsidRPr="005A69DE">
        <w:rPr>
          <w:sz w:val="24"/>
          <w:szCs w:val="24"/>
          <w:rtl/>
        </w:rPr>
        <w:t xml:space="preserve"> כדאמר רבא</w:t>
      </w:r>
      <w:r>
        <w:rPr>
          <w:rFonts w:hint="cs"/>
          <w:sz w:val="24"/>
          <w:szCs w:val="24"/>
          <w:rtl/>
        </w:rPr>
        <w:t>:</w:t>
      </w:r>
      <w:r w:rsidRPr="005A69DE">
        <w:rPr>
          <w:sz w:val="24"/>
          <w:szCs w:val="24"/>
          <w:rtl/>
        </w:rPr>
        <w:t xml:space="preserve"> </w:t>
      </w:r>
      <w:r>
        <w:rPr>
          <w:rFonts w:hint="cs"/>
          <w:sz w:val="24"/>
          <w:szCs w:val="24"/>
          <w:rtl/>
        </w:rPr>
        <w:t>'</w:t>
      </w:r>
      <w:r w:rsidRPr="005A69DE">
        <w:rPr>
          <w:sz w:val="24"/>
          <w:szCs w:val="24"/>
          <w:rtl/>
        </w:rPr>
        <w:t>ואינה מחזקת אלא ב' ידים</w:t>
      </w:r>
      <w:r>
        <w:rPr>
          <w:rFonts w:hint="cs"/>
          <w:sz w:val="24"/>
          <w:szCs w:val="24"/>
          <w:rtl/>
        </w:rPr>
        <w:t>',</w:t>
      </w:r>
      <w:r w:rsidRPr="005A69DE">
        <w:rPr>
          <w:sz w:val="24"/>
          <w:szCs w:val="24"/>
          <w:rtl/>
        </w:rPr>
        <w:t xml:space="preserve"> והא אין עבודה כשירה בשמאל</w:t>
      </w:r>
      <w:r>
        <w:rPr>
          <w:rFonts w:hint="cs"/>
          <w:sz w:val="24"/>
          <w:szCs w:val="24"/>
          <w:rtl/>
        </w:rPr>
        <w:t>.</w:t>
      </w:r>
      <w:r w:rsidRPr="005A69DE">
        <w:rPr>
          <w:sz w:val="24"/>
          <w:szCs w:val="24"/>
          <w:rtl/>
        </w:rPr>
        <w:t xml:space="preserve"> אלא ודאי כדפרישית</w:t>
      </w:r>
      <w:r>
        <w:rPr>
          <w:rFonts w:hint="cs"/>
          <w:sz w:val="24"/>
          <w:szCs w:val="24"/>
          <w:rtl/>
        </w:rPr>
        <w:t>,</w:t>
      </w:r>
      <w:r w:rsidRPr="005A69DE">
        <w:rPr>
          <w:sz w:val="24"/>
          <w:szCs w:val="24"/>
          <w:rtl/>
        </w:rPr>
        <w:t xml:space="preserve"> דבעל</w:t>
      </w:r>
      <w:r>
        <w:rPr>
          <w:rFonts w:hint="cs"/>
          <w:sz w:val="24"/>
          <w:szCs w:val="24"/>
          <w:rtl/>
        </w:rPr>
        <w:t>י</w:t>
      </w:r>
      <w:r w:rsidRPr="005A69DE">
        <w:rPr>
          <w:sz w:val="24"/>
          <w:szCs w:val="24"/>
          <w:rtl/>
        </w:rPr>
        <w:t>ית גורל אחד הוי עיקר הגרלה לב' שעירים</w:t>
      </w:r>
      <w:r>
        <w:rPr>
          <w:rFonts w:hint="cs"/>
          <w:sz w:val="24"/>
          <w:szCs w:val="24"/>
          <w:rtl/>
        </w:rPr>
        <w:t>,</w:t>
      </w:r>
      <w:r w:rsidRPr="005A69DE">
        <w:rPr>
          <w:sz w:val="24"/>
          <w:szCs w:val="24"/>
          <w:rtl/>
        </w:rPr>
        <w:t xml:space="preserve"> וכיון שמעלה גורל אחד בימינו סגי בהכי. </w:t>
      </w:r>
    </w:p>
    <w:p w:rsidR="00A527D5" w:rsidRPr="005A69DE" w:rsidRDefault="00A527D5" w:rsidP="00A527D5">
      <w:pPr>
        <w:spacing w:line="276" w:lineRule="auto"/>
        <w:ind w:left="720"/>
        <w:jc w:val="right"/>
        <w:rPr>
          <w:sz w:val="20"/>
          <w:szCs w:val="20"/>
          <w:rtl/>
        </w:rPr>
      </w:pPr>
      <w:r>
        <w:rPr>
          <w:rFonts w:hint="cs"/>
          <w:sz w:val="20"/>
          <w:szCs w:val="20"/>
          <w:rtl/>
        </w:rPr>
        <w:t>[שם]</w:t>
      </w:r>
    </w:p>
    <w:p w:rsidR="00A527D5" w:rsidRDefault="00A527D5" w:rsidP="00A527D5">
      <w:pPr>
        <w:spacing w:line="276" w:lineRule="auto"/>
        <w:rPr>
          <w:sz w:val="24"/>
          <w:szCs w:val="24"/>
          <w:rtl/>
        </w:rPr>
      </w:pPr>
      <w:r>
        <w:rPr>
          <w:rFonts w:hint="cs"/>
          <w:sz w:val="24"/>
          <w:szCs w:val="24"/>
          <w:rtl/>
        </w:rPr>
        <w:t>לדבריו, כיוון שעיקר עבודת ההגרלה מתבצעת על ידי עליית הגורל הראשונה, שוב אין משמעות לעליית הגורל השנייה, ואין כל עיכוב בכך שהיא תיעשה בשמאל ולא בימין</w:t>
      </w:r>
      <w:r>
        <w:rPr>
          <w:rStyle w:val="a7"/>
          <w:sz w:val="24"/>
          <w:szCs w:val="24"/>
          <w:rtl/>
        </w:rPr>
        <w:footnoteReference w:id="74"/>
      </w:r>
      <w:r>
        <w:rPr>
          <w:rFonts w:hint="cs"/>
          <w:sz w:val="24"/>
          <w:szCs w:val="24"/>
          <w:rtl/>
        </w:rPr>
        <w:t xml:space="preserve">. </w:t>
      </w:r>
    </w:p>
    <w:p w:rsidR="00A527D5" w:rsidRDefault="00A527D5" w:rsidP="00A527D5">
      <w:pPr>
        <w:spacing w:line="276" w:lineRule="auto"/>
        <w:rPr>
          <w:sz w:val="24"/>
          <w:szCs w:val="24"/>
          <w:rtl/>
        </w:rPr>
      </w:pPr>
      <w:r>
        <w:rPr>
          <w:rFonts w:hint="cs"/>
          <w:sz w:val="24"/>
          <w:szCs w:val="24"/>
          <w:rtl/>
        </w:rPr>
        <w:t>אמנם, כפי שראינו לעיל, רש"י סובר שאכן אם ההגרלה הייתה מוגדרת כעבודה, הסגן לא היה כשר בה. האפשרות היחידה להתיר את השתתפותו של הסגן בהגרלה מבוססת על ההנחה ש'הגרלה לאו עבודה היא'. אם כן, מסתבר שרש"י סובר שעיקר עבודת ההגרלה אינו מתמצה בבירור זהותם של השעירים בלבד, אלא שלהגרלה ישנה משמעות נוספת</w:t>
      </w:r>
      <w:r>
        <w:rPr>
          <w:rStyle w:val="a7"/>
          <w:sz w:val="24"/>
          <w:szCs w:val="24"/>
          <w:rtl/>
        </w:rPr>
        <w:footnoteReference w:id="75"/>
      </w:r>
      <w:r>
        <w:rPr>
          <w:rFonts w:hint="cs"/>
          <w:sz w:val="24"/>
          <w:szCs w:val="24"/>
          <w:rtl/>
        </w:rPr>
        <w:t xml:space="preserve">. </w:t>
      </w:r>
    </w:p>
    <w:p w:rsidR="00A527D5" w:rsidRDefault="00A527D5" w:rsidP="00A527D5">
      <w:pPr>
        <w:spacing w:line="276" w:lineRule="auto"/>
        <w:rPr>
          <w:sz w:val="24"/>
          <w:szCs w:val="24"/>
          <w:rtl/>
        </w:rPr>
      </w:pPr>
      <w:r>
        <w:rPr>
          <w:rFonts w:hint="cs"/>
          <w:sz w:val="24"/>
          <w:szCs w:val="24"/>
          <w:rtl/>
        </w:rPr>
        <w:t>הבנה זו מפורשת בדברי המאירי:</w:t>
      </w:r>
    </w:p>
    <w:p w:rsidR="00A527D5" w:rsidRDefault="00A527D5" w:rsidP="00A527D5">
      <w:pPr>
        <w:spacing w:line="276" w:lineRule="auto"/>
        <w:ind w:left="720"/>
        <w:rPr>
          <w:rFonts w:ascii="Narkisim" w:hAnsi="Narkisim"/>
          <w:sz w:val="24"/>
          <w:szCs w:val="24"/>
          <w:rtl/>
        </w:rPr>
      </w:pPr>
      <w:r w:rsidRPr="00246957">
        <w:rPr>
          <w:rFonts w:ascii="Narkisim" w:hAnsi="Narkisim"/>
          <w:sz w:val="24"/>
          <w:szCs w:val="24"/>
          <w:rtl/>
        </w:rPr>
        <w:t>ומתוך כך ההגרלה</w:t>
      </w:r>
      <w:r>
        <w:rPr>
          <w:rFonts w:ascii="Narkisim" w:hAnsi="Narkisim" w:hint="cs"/>
          <w:sz w:val="24"/>
          <w:szCs w:val="24"/>
          <w:rtl/>
        </w:rPr>
        <w:t>,</w:t>
      </w:r>
      <w:r w:rsidRPr="00246957">
        <w:rPr>
          <w:rFonts w:ascii="Narkisim" w:hAnsi="Narkisim"/>
          <w:sz w:val="24"/>
          <w:szCs w:val="24"/>
          <w:rtl/>
        </w:rPr>
        <w:t xml:space="preserve"> ר"ל העלאת הגורלות מתוך הקלפי</w:t>
      </w:r>
      <w:r>
        <w:rPr>
          <w:rFonts w:ascii="Narkisim" w:hAnsi="Narkisim" w:hint="cs"/>
          <w:sz w:val="24"/>
          <w:szCs w:val="24"/>
          <w:rtl/>
        </w:rPr>
        <w:t>,</w:t>
      </w:r>
      <w:r w:rsidRPr="00246957">
        <w:rPr>
          <w:rFonts w:ascii="Narkisim" w:hAnsi="Narkisim"/>
          <w:sz w:val="24"/>
          <w:szCs w:val="24"/>
          <w:rtl/>
        </w:rPr>
        <w:t xml:space="preserve"> פסולה בכל אדם אף על פי שאינה עבודה גמורה</w:t>
      </w:r>
      <w:r>
        <w:rPr>
          <w:rFonts w:ascii="Narkisim" w:hAnsi="Narkisim" w:hint="cs"/>
          <w:sz w:val="24"/>
          <w:szCs w:val="24"/>
          <w:rtl/>
        </w:rPr>
        <w:t>,</w:t>
      </w:r>
      <w:r w:rsidRPr="00246957">
        <w:rPr>
          <w:rFonts w:ascii="Narkisim" w:hAnsi="Narkisim"/>
          <w:sz w:val="24"/>
          <w:szCs w:val="24"/>
          <w:rtl/>
        </w:rPr>
        <w:t xml:space="preserve"> שהרי </w:t>
      </w:r>
      <w:r w:rsidRPr="00246957">
        <w:rPr>
          <w:rFonts w:ascii="Narkisim" w:hAnsi="Narkisim"/>
          <w:b/>
          <w:bCs/>
          <w:sz w:val="24"/>
          <w:szCs w:val="24"/>
          <w:rtl/>
        </w:rPr>
        <w:t>אינה אלא כעין הקדש</w:t>
      </w:r>
      <w:r>
        <w:rPr>
          <w:rFonts w:ascii="Narkisim" w:hAnsi="Narkisim" w:hint="cs"/>
          <w:sz w:val="24"/>
          <w:szCs w:val="24"/>
          <w:rtl/>
        </w:rPr>
        <w:t>,</w:t>
      </w:r>
      <w:r w:rsidRPr="00246957">
        <w:rPr>
          <w:rFonts w:ascii="Narkisim" w:hAnsi="Narkisim"/>
          <w:sz w:val="24"/>
          <w:szCs w:val="24"/>
          <w:rtl/>
        </w:rPr>
        <w:t xml:space="preserve"> ועד שהוקדש אין שם עבודה עליו</w:t>
      </w:r>
      <w:r w:rsidRPr="00246957">
        <w:rPr>
          <w:rFonts w:ascii="Narkisim" w:hAnsi="Narkisim" w:hint="cs"/>
          <w:sz w:val="24"/>
          <w:szCs w:val="24"/>
          <w:rtl/>
        </w:rPr>
        <w:t>.</w:t>
      </w:r>
    </w:p>
    <w:p w:rsidR="00A527D5" w:rsidRPr="00246957" w:rsidRDefault="00A527D5" w:rsidP="00A527D5">
      <w:pPr>
        <w:spacing w:line="276" w:lineRule="auto"/>
        <w:jc w:val="right"/>
        <w:rPr>
          <w:rFonts w:ascii="Narkisim" w:hAnsi="Narkisim"/>
          <w:sz w:val="20"/>
          <w:szCs w:val="20"/>
          <w:rtl/>
        </w:rPr>
      </w:pPr>
      <w:r>
        <w:rPr>
          <w:rFonts w:ascii="Narkisim" w:hAnsi="Narkisim" w:hint="cs"/>
          <w:sz w:val="20"/>
          <w:szCs w:val="20"/>
          <w:rtl/>
        </w:rPr>
        <w:lastRenderedPageBreak/>
        <w:t>[מאירי לט: ד"ה הגרלה זו]</w:t>
      </w:r>
    </w:p>
    <w:p w:rsidR="00A527D5" w:rsidRDefault="00A527D5" w:rsidP="00A527D5">
      <w:pPr>
        <w:spacing w:line="276" w:lineRule="auto"/>
        <w:rPr>
          <w:rFonts w:ascii="Narkisim" w:hAnsi="Narkisim"/>
          <w:sz w:val="24"/>
          <w:szCs w:val="24"/>
          <w:rtl/>
        </w:rPr>
      </w:pPr>
      <w:r>
        <w:rPr>
          <w:rFonts w:ascii="Narkisim" w:hAnsi="Narkisim" w:hint="cs"/>
          <w:sz w:val="24"/>
          <w:szCs w:val="24"/>
          <w:rtl/>
        </w:rPr>
        <w:t>לדברי המאירי, בנוסף לבירור זהות השעירים, תפקיד ההגרלה הוא להקדיש את השעירים</w:t>
      </w:r>
      <w:r>
        <w:rPr>
          <w:rStyle w:val="a7"/>
          <w:rFonts w:ascii="Narkisim" w:hAnsi="Narkisim"/>
          <w:sz w:val="24"/>
          <w:szCs w:val="24"/>
          <w:rtl/>
        </w:rPr>
        <w:footnoteReference w:id="76"/>
      </w:r>
      <w:r>
        <w:rPr>
          <w:rFonts w:ascii="Narkisim" w:hAnsi="Narkisim" w:hint="cs"/>
          <w:sz w:val="24"/>
          <w:szCs w:val="24"/>
          <w:rtl/>
        </w:rPr>
        <w:t xml:space="preserve">. לפי זה, ברור מדוע עבודת ההגרלה אינה מתמצה בהעלאת הגורל על ידי הכהן הגדול בלבד. שכן בכדי להקדיש את השעירים יש להעלות את שני הגורלות, גורל כנגד כל שעיר. </w:t>
      </w:r>
    </w:p>
    <w:p w:rsidR="00A527D5" w:rsidRDefault="00A527D5" w:rsidP="00A527D5">
      <w:pPr>
        <w:spacing w:line="276" w:lineRule="auto"/>
        <w:rPr>
          <w:rFonts w:ascii="Narkisim" w:hAnsi="Narkisim"/>
          <w:sz w:val="24"/>
          <w:szCs w:val="24"/>
          <w:rtl/>
        </w:rPr>
      </w:pPr>
      <w:r>
        <w:rPr>
          <w:rFonts w:ascii="Narkisim" w:hAnsi="Narkisim" w:hint="cs"/>
          <w:sz w:val="24"/>
          <w:szCs w:val="24"/>
          <w:rtl/>
        </w:rPr>
        <w:t>הקושי בדברי המאירי הללו, הוא שבסוגיה אחרת נראה שהשעירים קדושים בקדושת הגוף אף קודם ההגרלה:</w:t>
      </w:r>
    </w:p>
    <w:p w:rsidR="00A527D5" w:rsidRDefault="00A527D5" w:rsidP="0096770B">
      <w:pPr>
        <w:spacing w:line="276" w:lineRule="auto"/>
        <w:ind w:left="720"/>
        <w:rPr>
          <w:rFonts w:ascii="Narkisim" w:hAnsi="Narkisim"/>
          <w:sz w:val="24"/>
          <w:szCs w:val="24"/>
          <w:rtl/>
        </w:rPr>
      </w:pPr>
      <w:r w:rsidRPr="00D51DB2">
        <w:rPr>
          <w:rFonts w:ascii="Narkisim" w:hAnsi="Narkisim"/>
          <w:sz w:val="24"/>
          <w:szCs w:val="24"/>
          <w:rtl/>
        </w:rPr>
        <w:t>תנו רבנן</w:t>
      </w:r>
      <w:r>
        <w:rPr>
          <w:rFonts w:ascii="Narkisim" w:hAnsi="Narkisim" w:hint="cs"/>
          <w:sz w:val="24"/>
          <w:szCs w:val="24"/>
          <w:rtl/>
        </w:rPr>
        <w:t>,</w:t>
      </w:r>
      <w:r w:rsidRPr="00D51DB2">
        <w:rPr>
          <w:rFonts w:ascii="Narkisim" w:hAnsi="Narkisim"/>
          <w:sz w:val="24"/>
          <w:szCs w:val="24"/>
          <w:rtl/>
        </w:rPr>
        <w:t xml:space="preserve"> שני שעירי יום הכיפורים ששחטן בחוץ עד שלא הגריל עליהן חייב על שניהם</w:t>
      </w:r>
      <w:r>
        <w:rPr>
          <w:rFonts w:ascii="Narkisim" w:hAnsi="Narkisim" w:hint="cs"/>
          <w:sz w:val="24"/>
          <w:szCs w:val="24"/>
          <w:rtl/>
        </w:rPr>
        <w:t>.</w:t>
      </w:r>
      <w:r w:rsidRPr="00D51DB2">
        <w:rPr>
          <w:rFonts w:ascii="Narkisim" w:hAnsi="Narkisim"/>
          <w:sz w:val="24"/>
          <w:szCs w:val="24"/>
          <w:rtl/>
        </w:rPr>
        <w:t xml:space="preserve"> משהגריל עליהן חייב על של שם ופטור על של עזאזל</w:t>
      </w:r>
      <w:r>
        <w:rPr>
          <w:rFonts w:ascii="Narkisim" w:hAnsi="Narkisim" w:hint="cs"/>
          <w:sz w:val="24"/>
          <w:szCs w:val="24"/>
          <w:rtl/>
        </w:rPr>
        <w:t>.</w:t>
      </w:r>
      <w:r w:rsidRPr="00D51DB2">
        <w:rPr>
          <w:rFonts w:ascii="Narkisim" w:hAnsi="Narkisim"/>
          <w:sz w:val="24"/>
          <w:szCs w:val="24"/>
          <w:rtl/>
        </w:rPr>
        <w:t xml:space="preserve"> עד שלא הגריל עליהם חייב על שניהם</w:t>
      </w:r>
      <w:r>
        <w:rPr>
          <w:rFonts w:ascii="Narkisim" w:hAnsi="Narkisim" w:hint="cs"/>
          <w:sz w:val="24"/>
          <w:szCs w:val="24"/>
          <w:rtl/>
        </w:rPr>
        <w:t>,</w:t>
      </w:r>
      <w:r w:rsidRPr="00D51DB2">
        <w:rPr>
          <w:rFonts w:ascii="Narkisim" w:hAnsi="Narkisim"/>
          <w:sz w:val="24"/>
          <w:szCs w:val="24"/>
          <w:rtl/>
        </w:rPr>
        <w:t xml:space="preserve"> למאי חזו</w:t>
      </w:r>
      <w:r>
        <w:rPr>
          <w:rFonts w:ascii="Narkisim" w:hAnsi="Narkisim" w:hint="cs"/>
          <w:sz w:val="24"/>
          <w:szCs w:val="24"/>
          <w:rtl/>
        </w:rPr>
        <w:t>?</w:t>
      </w:r>
      <w:r w:rsidRPr="00D51DB2">
        <w:rPr>
          <w:rFonts w:ascii="Narkisim" w:hAnsi="Narkisim"/>
          <w:sz w:val="24"/>
          <w:szCs w:val="24"/>
          <w:rtl/>
        </w:rPr>
        <w:t xml:space="preserve"> אמר רב חסדא</w:t>
      </w:r>
      <w:r>
        <w:rPr>
          <w:rFonts w:ascii="Narkisim" w:hAnsi="Narkisim" w:hint="cs"/>
          <w:sz w:val="24"/>
          <w:szCs w:val="24"/>
          <w:rtl/>
        </w:rPr>
        <w:t>:</w:t>
      </w:r>
      <w:r w:rsidRPr="00D51DB2">
        <w:rPr>
          <w:rFonts w:ascii="Narkisim" w:hAnsi="Narkisim"/>
          <w:sz w:val="24"/>
          <w:szCs w:val="24"/>
          <w:rtl/>
        </w:rPr>
        <w:t xml:space="preserve"> הואיל וראוי לשעיר הנעשה בחוץ</w:t>
      </w:r>
      <w:r>
        <w:rPr>
          <w:rFonts w:ascii="Narkisim" w:hAnsi="Narkisim" w:hint="cs"/>
          <w:sz w:val="24"/>
          <w:szCs w:val="24"/>
          <w:rtl/>
        </w:rPr>
        <w:t>.</w:t>
      </w:r>
    </w:p>
    <w:p w:rsidR="00A527D5" w:rsidRPr="00D51DB2" w:rsidRDefault="00A527D5" w:rsidP="00A527D5">
      <w:pPr>
        <w:spacing w:line="276" w:lineRule="auto"/>
        <w:ind w:left="266"/>
        <w:jc w:val="right"/>
        <w:rPr>
          <w:rFonts w:ascii="Narkisim" w:hAnsi="Narkisim"/>
          <w:sz w:val="20"/>
          <w:szCs w:val="20"/>
          <w:rtl/>
        </w:rPr>
      </w:pPr>
      <w:r>
        <w:rPr>
          <w:rFonts w:ascii="Narkisim" w:hAnsi="Narkisim" w:hint="cs"/>
          <w:sz w:val="20"/>
          <w:szCs w:val="20"/>
          <w:rtl/>
        </w:rPr>
        <w:t>[סב:]</w:t>
      </w:r>
    </w:p>
    <w:p w:rsidR="00A527D5" w:rsidRPr="00B8776F" w:rsidRDefault="00A527D5" w:rsidP="00A527D5">
      <w:pPr>
        <w:spacing w:line="276" w:lineRule="auto"/>
        <w:rPr>
          <w:sz w:val="20"/>
          <w:szCs w:val="20"/>
          <w:rtl/>
        </w:rPr>
      </w:pPr>
      <w:r>
        <w:rPr>
          <w:rFonts w:hint="cs"/>
          <w:sz w:val="24"/>
          <w:szCs w:val="24"/>
          <w:rtl/>
        </w:rPr>
        <w:t>מדברי הגמרא מבואר שהשוחט את אחד השעירים בחוץ חייב, משום שהשעירים ראויים להיות קרבים לקרבן המוספים. אם כן משמע, שהשעירים קדושים בקדושת הגוף אף קודם ההגרלה</w:t>
      </w:r>
      <w:r>
        <w:rPr>
          <w:rStyle w:val="a7"/>
        </w:rPr>
        <w:footnoteReference w:id="77"/>
      </w:r>
      <w:r>
        <w:rPr>
          <w:rFonts w:hint="cs"/>
          <w:sz w:val="24"/>
          <w:szCs w:val="24"/>
          <w:rtl/>
        </w:rPr>
        <w:t>.</w:t>
      </w:r>
    </w:p>
    <w:p w:rsidR="00A527D5" w:rsidRDefault="00A527D5" w:rsidP="00A527D5">
      <w:pPr>
        <w:spacing w:line="276" w:lineRule="auto"/>
        <w:rPr>
          <w:sz w:val="24"/>
          <w:szCs w:val="24"/>
          <w:rtl/>
        </w:rPr>
      </w:pPr>
      <w:r>
        <w:rPr>
          <w:rFonts w:hint="cs"/>
          <w:sz w:val="24"/>
          <w:szCs w:val="24"/>
          <w:rtl/>
        </w:rPr>
        <w:t xml:space="preserve">על כורחנו צריך לומר, שהמאירי מודה שהשעירים קדושים בקדושת הגוף קודם ההגרלה. נראה שהדבר אף מדויק בלשונו שכתב "מעין הקדש" ולא הקדש ממש. לפי דבריו, נראה שבמעשה ההגרלה ישנה תוספת קדושה על גבי קדושת הגוף, אשר חלה כבר מרגע הפרשת השעירים. </w:t>
      </w:r>
    </w:p>
    <w:p w:rsidR="00A527D5" w:rsidRDefault="00A527D5" w:rsidP="00A527D5">
      <w:pPr>
        <w:spacing w:line="276" w:lineRule="auto"/>
        <w:rPr>
          <w:sz w:val="24"/>
          <w:szCs w:val="24"/>
          <w:rtl/>
        </w:rPr>
      </w:pPr>
      <w:r>
        <w:rPr>
          <w:rFonts w:hint="cs"/>
          <w:sz w:val="24"/>
          <w:szCs w:val="24"/>
          <w:rtl/>
        </w:rPr>
        <w:t xml:space="preserve">ייתכן שניתן לבסס אפשרות זו, באמצעות הסוגיה העוסקת בשעיר שאבד לאחר ההגרלה. בגמרא </w:t>
      </w:r>
      <w:r>
        <w:rPr>
          <w:rFonts w:hint="cs"/>
          <w:sz w:val="20"/>
          <w:szCs w:val="20"/>
          <w:rtl/>
        </w:rPr>
        <w:t>[סה.]</w:t>
      </w:r>
      <w:r>
        <w:rPr>
          <w:rFonts w:hint="cs"/>
          <w:sz w:val="24"/>
          <w:szCs w:val="24"/>
          <w:rtl/>
        </w:rPr>
        <w:t xml:space="preserve"> מבואר שלפי שיטת ר' יהודה, אם אבד אחד השעירים, ולאחר שהגרילו על שני שעירים נוספים נמצא השעיר הראשון </w:t>
      </w:r>
      <w:r>
        <w:rPr>
          <w:sz w:val="24"/>
          <w:szCs w:val="24"/>
          <w:rtl/>
        </w:rPr>
        <w:t>–</w:t>
      </w:r>
      <w:r>
        <w:rPr>
          <w:rFonts w:hint="cs"/>
          <w:sz w:val="24"/>
          <w:szCs w:val="24"/>
          <w:rtl/>
        </w:rPr>
        <w:t xml:space="preserve"> דין השעיר הראשון למיתה. על כך מקשה הגמרא מדוע לא ניתן להשתמש בשעיר זה ביום הכיפורים בשנה הבאה, ועונה ר' זירא:</w:t>
      </w:r>
    </w:p>
    <w:p w:rsidR="00A527D5" w:rsidRDefault="00A527D5" w:rsidP="00A527D5">
      <w:pPr>
        <w:spacing w:line="276" w:lineRule="auto"/>
        <w:ind w:left="720"/>
        <w:rPr>
          <w:sz w:val="24"/>
          <w:szCs w:val="24"/>
          <w:rtl/>
        </w:rPr>
      </w:pPr>
      <w:r w:rsidRPr="00767619">
        <w:rPr>
          <w:sz w:val="24"/>
          <w:szCs w:val="24"/>
          <w:rtl/>
        </w:rPr>
        <w:t>אלא אמר רבי זירא</w:t>
      </w:r>
      <w:r>
        <w:rPr>
          <w:rFonts w:hint="cs"/>
          <w:sz w:val="24"/>
          <w:szCs w:val="24"/>
          <w:rtl/>
        </w:rPr>
        <w:t>:</w:t>
      </w:r>
      <w:r w:rsidRPr="00767619">
        <w:rPr>
          <w:sz w:val="24"/>
          <w:szCs w:val="24"/>
          <w:rtl/>
        </w:rPr>
        <w:t xml:space="preserve"> לפי שאין הגורל קובע משנה לחברתה</w:t>
      </w:r>
      <w:r>
        <w:rPr>
          <w:rFonts w:hint="cs"/>
          <w:sz w:val="24"/>
          <w:szCs w:val="24"/>
          <w:rtl/>
        </w:rPr>
        <w:t>.</w:t>
      </w:r>
      <w:r w:rsidRPr="00767619">
        <w:rPr>
          <w:sz w:val="24"/>
          <w:szCs w:val="24"/>
          <w:rtl/>
        </w:rPr>
        <w:t xml:space="preserve"> ונייתי ונגריל</w:t>
      </w:r>
      <w:r>
        <w:rPr>
          <w:rFonts w:hint="cs"/>
          <w:sz w:val="24"/>
          <w:szCs w:val="24"/>
          <w:rtl/>
        </w:rPr>
        <w:t>?</w:t>
      </w:r>
      <w:r w:rsidRPr="00767619">
        <w:rPr>
          <w:sz w:val="24"/>
          <w:szCs w:val="24"/>
          <w:rtl/>
        </w:rPr>
        <w:t xml:space="preserve"> גזירה שמא יאמרו הגורל קובע משנה לחברתה</w:t>
      </w:r>
      <w:r>
        <w:rPr>
          <w:rFonts w:hint="cs"/>
          <w:sz w:val="24"/>
          <w:szCs w:val="24"/>
          <w:rtl/>
        </w:rPr>
        <w:t>.</w:t>
      </w:r>
    </w:p>
    <w:p w:rsidR="00A527D5" w:rsidRPr="00CD16F1" w:rsidRDefault="00A527D5" w:rsidP="00A527D5">
      <w:pPr>
        <w:spacing w:line="276" w:lineRule="auto"/>
        <w:ind w:left="720"/>
        <w:jc w:val="right"/>
        <w:rPr>
          <w:sz w:val="20"/>
          <w:szCs w:val="20"/>
          <w:rtl/>
        </w:rPr>
      </w:pPr>
      <w:r>
        <w:rPr>
          <w:rFonts w:hint="cs"/>
          <w:sz w:val="20"/>
          <w:szCs w:val="20"/>
          <w:rtl/>
        </w:rPr>
        <w:t>[סה:]</w:t>
      </w:r>
    </w:p>
    <w:p w:rsidR="00A527D5" w:rsidRDefault="00A527D5" w:rsidP="00A527D5">
      <w:pPr>
        <w:spacing w:line="276" w:lineRule="auto"/>
        <w:rPr>
          <w:sz w:val="24"/>
          <w:szCs w:val="24"/>
          <w:rtl/>
        </w:rPr>
      </w:pPr>
      <w:r>
        <w:rPr>
          <w:rFonts w:hint="cs"/>
          <w:sz w:val="24"/>
          <w:szCs w:val="24"/>
          <w:rtl/>
        </w:rPr>
        <w:t>לפי ר' זירא, הסיבה שר' יהודה סובר שלא ניתן להשתמש בשעיר שנמצא לאחר ההגרלה היא משום שהגורל אינו קובע משנה אחת לאחרת. על כך הקשתה הגמרא, שעדיין היה ניתן להשתמש בשעיר שנמצא, על ידי כך שיצרפו אליו שעיר נוסף ויערכו את ההגרלה מחדש. הגמרא דוחה גם אפשרות כזו משום גזירה. על דברי הגמרא הקשו התוספות ישנים:</w:t>
      </w:r>
    </w:p>
    <w:p w:rsidR="00A527D5" w:rsidRDefault="00A527D5" w:rsidP="00A527D5">
      <w:pPr>
        <w:spacing w:line="276" w:lineRule="auto"/>
        <w:ind w:left="720"/>
        <w:rPr>
          <w:sz w:val="24"/>
          <w:szCs w:val="24"/>
          <w:rtl/>
        </w:rPr>
      </w:pPr>
      <w:r w:rsidRPr="00767619">
        <w:rPr>
          <w:sz w:val="24"/>
          <w:szCs w:val="24"/>
          <w:rtl/>
        </w:rPr>
        <w:t>ותימה לריב"א</w:t>
      </w:r>
      <w:r>
        <w:rPr>
          <w:rFonts w:hint="cs"/>
          <w:sz w:val="24"/>
          <w:szCs w:val="24"/>
          <w:rtl/>
        </w:rPr>
        <w:t>,</w:t>
      </w:r>
      <w:r w:rsidRPr="00767619">
        <w:rPr>
          <w:sz w:val="24"/>
          <w:szCs w:val="24"/>
          <w:rtl/>
        </w:rPr>
        <w:t xml:space="preserve"> אם כן שאין הגורל מועיל כלום למה ימות</w:t>
      </w:r>
      <w:r>
        <w:rPr>
          <w:rFonts w:hint="cs"/>
          <w:sz w:val="24"/>
          <w:szCs w:val="24"/>
          <w:rtl/>
        </w:rPr>
        <w:t>,</w:t>
      </w:r>
      <w:r w:rsidRPr="00767619">
        <w:rPr>
          <w:sz w:val="24"/>
          <w:szCs w:val="24"/>
          <w:rtl/>
        </w:rPr>
        <w:t xml:space="preserve"> והלא יכול לשנותו לשעיר הנעשה בחוץ ולשעירי הרגלים</w:t>
      </w:r>
      <w:r>
        <w:rPr>
          <w:rFonts w:hint="cs"/>
          <w:sz w:val="24"/>
          <w:szCs w:val="24"/>
          <w:rtl/>
        </w:rPr>
        <w:t>.</w:t>
      </w:r>
      <w:r w:rsidRPr="00767619">
        <w:rPr>
          <w:sz w:val="24"/>
          <w:szCs w:val="24"/>
          <w:rtl/>
        </w:rPr>
        <w:t xml:space="preserve"> ויש לדחות</w:t>
      </w:r>
      <w:r>
        <w:rPr>
          <w:rFonts w:hint="cs"/>
          <w:sz w:val="24"/>
          <w:szCs w:val="24"/>
          <w:rtl/>
        </w:rPr>
        <w:t>,</w:t>
      </w:r>
      <w:r w:rsidRPr="00767619">
        <w:rPr>
          <w:sz w:val="24"/>
          <w:szCs w:val="24"/>
          <w:rtl/>
        </w:rPr>
        <w:t xml:space="preserve"> דמכל מקום מהני מה שהגרילו עליהם שאין לשנותם לשום שעיר</w:t>
      </w:r>
      <w:r>
        <w:rPr>
          <w:rFonts w:hint="cs"/>
          <w:sz w:val="24"/>
          <w:szCs w:val="24"/>
          <w:rtl/>
        </w:rPr>
        <w:t>,</w:t>
      </w:r>
      <w:r w:rsidRPr="00767619">
        <w:rPr>
          <w:sz w:val="24"/>
          <w:szCs w:val="24"/>
          <w:rtl/>
        </w:rPr>
        <w:t xml:space="preserve"> ואף על גב שאינו מועיל כלום לענין שכשיבא יום הכפורים אחר יגרילו</w:t>
      </w:r>
      <w:r>
        <w:rPr>
          <w:rFonts w:hint="cs"/>
          <w:sz w:val="24"/>
          <w:szCs w:val="24"/>
          <w:rtl/>
        </w:rPr>
        <w:t>,</w:t>
      </w:r>
      <w:r w:rsidRPr="00767619">
        <w:rPr>
          <w:sz w:val="24"/>
          <w:szCs w:val="24"/>
          <w:rtl/>
        </w:rPr>
        <w:t xml:space="preserve"> ואולי יחול על של שם של עזאזל ועל של עזאזל של שם שיהיה הגורל להפך ממה שהיה אשתקד.</w:t>
      </w:r>
    </w:p>
    <w:p w:rsidR="00A527D5" w:rsidRPr="00AC31FF" w:rsidRDefault="00A527D5" w:rsidP="00A527D5">
      <w:pPr>
        <w:spacing w:line="276" w:lineRule="auto"/>
        <w:jc w:val="right"/>
        <w:rPr>
          <w:sz w:val="20"/>
          <w:szCs w:val="20"/>
          <w:rtl/>
        </w:rPr>
      </w:pPr>
      <w:r>
        <w:rPr>
          <w:rFonts w:hint="cs"/>
          <w:sz w:val="20"/>
          <w:szCs w:val="20"/>
          <w:rtl/>
        </w:rPr>
        <w:t>[תוספות ישנים סז. ד"ה ונייתי]</w:t>
      </w:r>
    </w:p>
    <w:p w:rsidR="00A527D5" w:rsidRDefault="00A527D5" w:rsidP="00A527D5">
      <w:pPr>
        <w:spacing w:line="276" w:lineRule="auto"/>
        <w:rPr>
          <w:sz w:val="24"/>
          <w:szCs w:val="24"/>
          <w:rtl/>
        </w:rPr>
      </w:pPr>
      <w:r>
        <w:rPr>
          <w:rFonts w:hint="cs"/>
          <w:sz w:val="24"/>
          <w:szCs w:val="24"/>
          <w:rtl/>
        </w:rPr>
        <w:t xml:space="preserve">תוספות ישנים מקשים, אם כפי שעולה מדברי הגמרא, "אין הגורל קובע משנה לחברתה", ולמעשה אין כל משמעות להגרלה שהתבצעה בשנה הקודמת, מדוע לא ניתן להקריב את השעיר שנמצא כקורבן מוסף בשאר הרגלים? תשובת התוספות ישנים לשאלה זו היא, שכנראה אין זה מדויק לקבוע שאין כל משמעות להגרלה שכבר נעשתה, אלא יפה כוחה בכדי לקבוע את מעמדם של השעירים כשעירי יום הכיפורים, ולמנוע את האפשרות ששעירים אלו ייועדו לצורך אחר. ייתכן שזוהי משמעות ההקדש שיש במעשה ההגרלה על פי דברי המאירי. מלבד הבירור בנוגע לזהות השעירים, </w:t>
      </w:r>
      <w:r>
        <w:rPr>
          <w:rFonts w:hint="cs"/>
          <w:sz w:val="24"/>
          <w:szCs w:val="24"/>
          <w:rtl/>
        </w:rPr>
        <w:lastRenderedPageBreak/>
        <w:t>ההגרלה גם קובעת את מעמד השעירים כשעירי יום הכיפורים, ובכך מייחדת את ייעודם מייעוד קורבן רגיל לייעוד ייחודי של 'שעירי יום הכיפורים'</w:t>
      </w:r>
      <w:r>
        <w:rPr>
          <w:rStyle w:val="a7"/>
          <w:sz w:val="24"/>
          <w:szCs w:val="24"/>
          <w:rtl/>
        </w:rPr>
        <w:footnoteReference w:id="78"/>
      </w:r>
      <w:r>
        <w:rPr>
          <w:rFonts w:hint="cs"/>
          <w:sz w:val="24"/>
          <w:szCs w:val="24"/>
          <w:rtl/>
        </w:rPr>
        <w:t>.</w:t>
      </w:r>
    </w:p>
    <w:p w:rsidR="00A527D5" w:rsidRDefault="00A527D5" w:rsidP="00A527D5">
      <w:pPr>
        <w:spacing w:line="276" w:lineRule="auto"/>
        <w:rPr>
          <w:sz w:val="24"/>
          <w:szCs w:val="24"/>
          <w:rtl/>
        </w:rPr>
      </w:pPr>
      <w:r>
        <w:rPr>
          <w:rFonts w:hint="cs"/>
          <w:sz w:val="24"/>
          <w:szCs w:val="24"/>
          <w:rtl/>
        </w:rPr>
        <w:t>ייתכן שעל פי יסוד זה, לפיו מטרת ההגרלה אינה בירור גרידא של ייעוד השעירים, אלא היא כוללת מימד נוסף של הקדשת השעירים, ניתן להבין אף את שיטת התוספות רא"ש בדין הכרזת הכהן. לעיל דנו בשאלה כיצד רשאי הסגן להשתתף בהגרלת השעירים, אם הוא אינו כשר לעבודות יום הכיפורים. התוספות רא"ש התקשה אף הוא בשאלה זו, וענה:</w:t>
      </w:r>
    </w:p>
    <w:p w:rsidR="00A527D5" w:rsidRDefault="00A527D5" w:rsidP="00A527D5">
      <w:pPr>
        <w:spacing w:line="276" w:lineRule="auto"/>
        <w:ind w:left="720"/>
        <w:rPr>
          <w:sz w:val="24"/>
          <w:szCs w:val="24"/>
          <w:rtl/>
        </w:rPr>
      </w:pPr>
      <w:r w:rsidRPr="008B0B9B">
        <w:rPr>
          <w:sz w:val="24"/>
          <w:szCs w:val="24"/>
          <w:rtl/>
        </w:rPr>
        <w:t>ו</w:t>
      </w:r>
      <w:r>
        <w:rPr>
          <w:rFonts w:hint="cs"/>
          <w:sz w:val="24"/>
          <w:szCs w:val="24"/>
          <w:rtl/>
        </w:rPr>
        <w:t>יש לומר</w:t>
      </w:r>
      <w:r w:rsidRPr="008B0B9B">
        <w:rPr>
          <w:sz w:val="24"/>
          <w:szCs w:val="24"/>
          <w:rtl/>
        </w:rPr>
        <w:t xml:space="preserve"> דעיקר הברירה בכ</w:t>
      </w:r>
      <w:r>
        <w:rPr>
          <w:rFonts w:hint="cs"/>
          <w:sz w:val="24"/>
          <w:szCs w:val="24"/>
          <w:rtl/>
        </w:rPr>
        <w:t>הן גדול</w:t>
      </w:r>
      <w:r w:rsidRPr="008B0B9B">
        <w:rPr>
          <w:sz w:val="24"/>
          <w:szCs w:val="24"/>
          <w:rtl/>
        </w:rPr>
        <w:t xml:space="preserve"> שהוא אומר לשם חטאת</w:t>
      </w:r>
      <w:r>
        <w:rPr>
          <w:rFonts w:hint="cs"/>
          <w:sz w:val="24"/>
          <w:szCs w:val="24"/>
          <w:rtl/>
        </w:rPr>
        <w:t xml:space="preserve">, </w:t>
      </w:r>
      <w:r w:rsidRPr="008B0B9B">
        <w:rPr>
          <w:sz w:val="24"/>
          <w:szCs w:val="24"/>
          <w:rtl/>
        </w:rPr>
        <w:t>ואמרינן נמי לקמן הגרלה לאו עבודה היא.</w:t>
      </w:r>
    </w:p>
    <w:p w:rsidR="00A527D5" w:rsidRPr="008B0B9B" w:rsidRDefault="00A527D5" w:rsidP="00A527D5">
      <w:pPr>
        <w:spacing w:line="276" w:lineRule="auto"/>
        <w:ind w:left="720"/>
        <w:jc w:val="right"/>
        <w:rPr>
          <w:sz w:val="20"/>
          <w:szCs w:val="20"/>
          <w:rtl/>
        </w:rPr>
      </w:pPr>
      <w:r>
        <w:rPr>
          <w:rFonts w:hint="cs"/>
          <w:sz w:val="20"/>
          <w:szCs w:val="20"/>
          <w:rtl/>
        </w:rPr>
        <w:t>[תוספות רא"ש לט. ד"ה הסגן]</w:t>
      </w:r>
    </w:p>
    <w:p w:rsidR="00A527D5" w:rsidRPr="00552947" w:rsidRDefault="00A527D5" w:rsidP="00A527D5">
      <w:pPr>
        <w:spacing w:line="276" w:lineRule="auto"/>
        <w:rPr>
          <w:sz w:val="24"/>
          <w:szCs w:val="24"/>
          <w:rtl/>
        </w:rPr>
      </w:pPr>
      <w:r>
        <w:rPr>
          <w:rFonts w:hint="cs"/>
          <w:sz w:val="24"/>
          <w:szCs w:val="24"/>
          <w:rtl/>
        </w:rPr>
        <w:t xml:space="preserve">לפי התוספות רא"ש, הסיבה שהכהן רשאי להעלות את הגורל מתוך הקלפי היא משום שזו אינה עיקרה של העבודה. עיקר העבודה לפי הרא"ש הוא בהכרזת הכהן על השעיר לה'. הקושי בדברי התוספות רא"ש הוא, שמבואר בגמרא </w:t>
      </w:r>
      <w:r>
        <w:rPr>
          <w:rFonts w:hint="cs"/>
          <w:sz w:val="20"/>
          <w:szCs w:val="20"/>
          <w:rtl/>
        </w:rPr>
        <w:t xml:space="preserve">[מ.] </w:t>
      </w:r>
      <w:r>
        <w:rPr>
          <w:rFonts w:hint="cs"/>
          <w:sz w:val="24"/>
          <w:szCs w:val="24"/>
          <w:rtl/>
        </w:rPr>
        <w:t>שלמאן דאמר שההגרלה מעכבת</w:t>
      </w:r>
      <w:r>
        <w:rPr>
          <w:rStyle w:val="a7"/>
          <w:sz w:val="24"/>
          <w:szCs w:val="24"/>
          <w:rtl/>
        </w:rPr>
        <w:footnoteReference w:id="79"/>
      </w:r>
      <w:r>
        <w:rPr>
          <w:rFonts w:hint="cs"/>
          <w:sz w:val="24"/>
          <w:szCs w:val="24"/>
          <w:rtl/>
        </w:rPr>
        <w:t>, אין כל משמעות להכרזת הכהן. במידה והכהן מכריז על השעירים בניגוד לתוצאות ההגרלה, אין בדבריו ממש. על פי טענתנו לעיל נראה לבאר, שהרא"ש סובר אף הוא שתהליך ההגרלה כולל את הקדשת השעירים, אלא שלשיטתו ההקדשה אינה נעשית בהגרלה עצמה אלא בהכרזת הכהן. וכך, תפקיד ההגרלה הוא לקבוע איזה שעיר צריך הכהן להקדיש לחטאת לה', אבל ההקדשה עצמה חלה על ידי דיבורו של הכהן בלבד</w:t>
      </w:r>
      <w:r>
        <w:rPr>
          <w:rStyle w:val="a7"/>
          <w:sz w:val="24"/>
          <w:szCs w:val="24"/>
          <w:rtl/>
        </w:rPr>
        <w:footnoteReference w:id="80"/>
      </w:r>
      <w:r>
        <w:rPr>
          <w:rFonts w:hint="cs"/>
          <w:sz w:val="24"/>
          <w:szCs w:val="24"/>
          <w:rtl/>
        </w:rPr>
        <w:t>.</w:t>
      </w:r>
    </w:p>
    <w:p w:rsidR="00A527D5" w:rsidRDefault="00A527D5" w:rsidP="00A527D5">
      <w:pPr>
        <w:spacing w:line="276" w:lineRule="auto"/>
        <w:rPr>
          <w:sz w:val="24"/>
          <w:szCs w:val="24"/>
          <w:u w:val="single"/>
          <w:rtl/>
        </w:rPr>
      </w:pPr>
    </w:p>
    <w:p w:rsidR="00A527D5" w:rsidRPr="00552947" w:rsidRDefault="00A527D5" w:rsidP="00A527D5">
      <w:pPr>
        <w:spacing w:line="276" w:lineRule="auto"/>
        <w:rPr>
          <w:sz w:val="24"/>
          <w:szCs w:val="24"/>
          <w:rtl/>
        </w:rPr>
      </w:pPr>
      <w:r>
        <w:rPr>
          <w:rFonts w:hint="cs"/>
          <w:sz w:val="24"/>
          <w:szCs w:val="24"/>
          <w:rtl/>
        </w:rPr>
        <w:t>בשיעור הבא נעסוק בעז"ה בדין הגרלה מעכבת.</w:t>
      </w:r>
    </w:p>
    <w:p w:rsidR="00A527D5" w:rsidRPr="006B07E9" w:rsidRDefault="00A527D5" w:rsidP="00A527D5">
      <w:pPr>
        <w:spacing w:line="276" w:lineRule="auto"/>
        <w:ind w:firstLine="266"/>
        <w:jc w:val="right"/>
        <w:rPr>
          <w:sz w:val="24"/>
          <w:szCs w:val="24"/>
        </w:rPr>
      </w:pPr>
      <w:r w:rsidRPr="006B07E9">
        <w:rPr>
          <w:rFonts w:hint="cs"/>
          <w:sz w:val="24"/>
          <w:szCs w:val="24"/>
          <w:u w:val="single"/>
          <w:rtl/>
        </w:rPr>
        <w:t>להערות ולתגובות</w:t>
      </w:r>
      <w:r w:rsidRPr="006B07E9">
        <w:rPr>
          <w:rFonts w:hint="cs"/>
          <w:sz w:val="24"/>
          <w:szCs w:val="24"/>
          <w:rtl/>
        </w:rPr>
        <w:t xml:space="preserve">: </w:t>
      </w:r>
      <w:r>
        <w:rPr>
          <w:rFonts w:hint="cs"/>
          <w:sz w:val="24"/>
          <w:szCs w:val="24"/>
          <w:rtl/>
        </w:rPr>
        <w:t>איציק וולטרס</w:t>
      </w:r>
    </w:p>
    <w:p w:rsidR="00A527D5" w:rsidRPr="006B07E9" w:rsidRDefault="00A527D5" w:rsidP="00A527D5">
      <w:pPr>
        <w:spacing w:line="276" w:lineRule="auto"/>
        <w:ind w:firstLine="227"/>
        <w:jc w:val="right"/>
        <w:rPr>
          <w:rtl/>
        </w:rPr>
      </w:pPr>
      <w:hyperlink r:id="rId17" w:history="1">
        <w:r w:rsidRPr="00D61B6C">
          <w:rPr>
            <w:rStyle w:val="Hyperlink"/>
            <w:rFonts w:hint="cs"/>
            <w:sz w:val="24"/>
            <w:szCs w:val="24"/>
          </w:rPr>
          <w:t>I</w:t>
        </w:r>
        <w:r w:rsidRPr="00D61B6C">
          <w:rPr>
            <w:rStyle w:val="Hyperlink"/>
            <w:sz w:val="24"/>
            <w:szCs w:val="24"/>
          </w:rPr>
          <w:t>tzikw7@gmail.com</w:t>
        </w:r>
      </w:hyperlink>
    </w:p>
    <w:p w:rsidR="00A527D5" w:rsidRPr="006B07E9" w:rsidRDefault="00A527D5" w:rsidP="00A527D5">
      <w:pPr>
        <w:spacing w:line="276" w:lineRule="auto"/>
        <w:rPr>
          <w:rFonts w:hint="cs"/>
          <w:sz w:val="30"/>
          <w:szCs w:val="30"/>
        </w:rPr>
      </w:pPr>
    </w:p>
    <w:p w:rsidR="00C26E1A" w:rsidRPr="00A527D5" w:rsidRDefault="00C26E1A" w:rsidP="00C26E1A">
      <w:pPr>
        <w:spacing w:before="60" w:after="60" w:line="276" w:lineRule="auto"/>
        <w:ind w:firstLine="227"/>
        <w:jc w:val="right"/>
        <w:rPr>
          <w:sz w:val="30"/>
          <w:szCs w:val="30"/>
        </w:rPr>
      </w:pPr>
    </w:p>
    <w:p w:rsidR="00C26E1A" w:rsidRDefault="00C26E1A">
      <w:pPr>
        <w:spacing w:after="0" w:line="240" w:lineRule="auto"/>
        <w:rPr>
          <w:color w:val="525252" w:themeColor="accent3" w:themeShade="80"/>
          <w:sz w:val="30"/>
          <w:szCs w:val="30"/>
          <w:rtl/>
        </w:rPr>
      </w:pPr>
      <w:r>
        <w:rPr>
          <w:color w:val="525252" w:themeColor="accent3" w:themeShade="80"/>
          <w:sz w:val="30"/>
          <w:szCs w:val="30"/>
          <w:rtl/>
        </w:rPr>
        <w:br w:type="page"/>
      </w:r>
    </w:p>
    <w:p w:rsidR="00C26E1A" w:rsidRDefault="00C26E1A" w:rsidP="00C26E1A">
      <w:pPr>
        <w:keepNext/>
        <w:keepLines/>
        <w:spacing w:before="240" w:after="0"/>
        <w:jc w:val="center"/>
        <w:outlineLvl w:val="0"/>
        <w:rPr>
          <w:rFonts w:asciiTheme="majorHAnsi" w:eastAsiaTheme="majorEastAsia" w:hAnsiTheme="majorHAnsi"/>
          <w:bCs/>
          <w:sz w:val="36"/>
          <w:szCs w:val="36"/>
          <w:rtl/>
        </w:rPr>
      </w:pPr>
      <w:bookmarkStart w:id="69" w:name="_Toc76718827"/>
      <w:bookmarkStart w:id="70" w:name="_Toc76719167"/>
      <w:r>
        <w:rPr>
          <w:rFonts w:asciiTheme="majorHAnsi" w:eastAsiaTheme="majorEastAsia" w:hAnsiTheme="majorHAnsi"/>
          <w:bCs/>
          <w:sz w:val="40"/>
          <w:szCs w:val="40"/>
          <w:rtl/>
        </w:rPr>
        <w:lastRenderedPageBreak/>
        <w:t>יסודות יומא</w:t>
      </w:r>
      <w:bookmarkEnd w:id="69"/>
      <w:bookmarkEnd w:id="70"/>
    </w:p>
    <w:p w:rsidR="00C26E1A" w:rsidRDefault="00C26E1A" w:rsidP="00C26E1A">
      <w:pPr>
        <w:keepNext/>
        <w:keepLines/>
        <w:spacing w:before="240" w:after="0"/>
        <w:jc w:val="center"/>
        <w:outlineLvl w:val="0"/>
        <w:rPr>
          <w:rFonts w:asciiTheme="majorHAnsi" w:eastAsiaTheme="majorEastAsia" w:hAnsiTheme="majorHAnsi"/>
          <w:b/>
          <w:sz w:val="32"/>
          <w:szCs w:val="32"/>
          <w:rtl/>
        </w:rPr>
      </w:pPr>
      <w:bookmarkStart w:id="71" w:name="_Toc76719168"/>
      <w:r>
        <w:rPr>
          <w:rFonts w:asciiTheme="majorHAnsi" w:eastAsiaTheme="majorEastAsia" w:hAnsiTheme="majorHAnsi"/>
          <w:b/>
          <w:sz w:val="32"/>
          <w:szCs w:val="32"/>
          <w:rtl/>
        </w:rPr>
        <w:t xml:space="preserve">שיעור </w:t>
      </w:r>
      <w:r>
        <w:rPr>
          <w:rFonts w:asciiTheme="majorHAnsi" w:eastAsiaTheme="majorEastAsia" w:hAnsiTheme="majorHAnsi" w:hint="cs"/>
          <w:b/>
          <w:sz w:val="32"/>
          <w:szCs w:val="32"/>
          <w:rtl/>
        </w:rPr>
        <w:t>אחד עשר</w:t>
      </w:r>
      <w:bookmarkEnd w:id="71"/>
    </w:p>
    <w:p w:rsidR="00C26E1A" w:rsidRDefault="00C26E1A" w:rsidP="00C26E1A">
      <w:pPr>
        <w:keepNext/>
        <w:keepLines/>
        <w:spacing w:before="240" w:after="0"/>
        <w:jc w:val="center"/>
        <w:outlineLvl w:val="0"/>
        <w:rPr>
          <w:rFonts w:asciiTheme="majorHAnsi" w:eastAsiaTheme="majorEastAsia" w:hAnsiTheme="majorHAnsi"/>
          <w:bCs/>
          <w:sz w:val="32"/>
          <w:szCs w:val="32"/>
          <w:rtl/>
        </w:rPr>
      </w:pPr>
      <w:bookmarkStart w:id="72" w:name="_Toc76718829"/>
      <w:bookmarkStart w:id="73" w:name="_Toc76719169"/>
      <w:r>
        <w:rPr>
          <w:rFonts w:asciiTheme="majorHAnsi" w:eastAsiaTheme="majorEastAsia" w:hAnsiTheme="majorHAnsi" w:hint="cs"/>
          <w:bCs/>
          <w:sz w:val="36"/>
          <w:szCs w:val="36"/>
          <w:rtl/>
        </w:rPr>
        <w:t>הגרלה מעכבת</w:t>
      </w:r>
      <w:bookmarkEnd w:id="72"/>
      <w:bookmarkEnd w:id="73"/>
    </w:p>
    <w:p w:rsidR="00C26E1A" w:rsidRPr="007C164C" w:rsidRDefault="00C26E1A" w:rsidP="00C26E1A">
      <w:pPr>
        <w:keepNext/>
        <w:keepLines/>
        <w:spacing w:before="240" w:after="0"/>
        <w:jc w:val="center"/>
        <w:outlineLvl w:val="0"/>
        <w:rPr>
          <w:rFonts w:asciiTheme="majorHAnsi" w:eastAsiaTheme="majorEastAsia" w:hAnsiTheme="majorHAnsi"/>
          <w:bCs/>
          <w:sz w:val="32"/>
          <w:szCs w:val="32"/>
          <w:rtl/>
        </w:rPr>
      </w:pPr>
      <w:bookmarkStart w:id="74" w:name="_Toc76718830"/>
      <w:bookmarkStart w:id="75" w:name="_Toc76719170"/>
      <w:r>
        <w:rPr>
          <w:noProof/>
          <w:rtl/>
        </w:rPr>
        <mc:AlternateContent>
          <mc:Choice Requires="wps">
            <w:drawing>
              <wp:anchor distT="0" distB="0" distL="114300" distR="114300" simplePos="0" relativeHeight="251687936" behindDoc="1" locked="0" layoutInCell="1" allowOverlap="1" wp14:anchorId="6515FA92" wp14:editId="173A9593">
                <wp:simplePos x="0" y="0"/>
                <wp:positionH relativeFrom="margin">
                  <wp:align>center</wp:align>
                </wp:positionH>
                <wp:positionV relativeFrom="paragraph">
                  <wp:posOffset>212725</wp:posOffset>
                </wp:positionV>
                <wp:extent cx="5765800" cy="7726680"/>
                <wp:effectExtent l="0" t="0" r="25400" b="26670"/>
                <wp:wrapNone/>
                <wp:docPr id="18" name="מלבן 18"/>
                <wp:cNvGraphicFramePr/>
                <a:graphic xmlns:a="http://schemas.openxmlformats.org/drawingml/2006/main">
                  <a:graphicData uri="http://schemas.microsoft.com/office/word/2010/wordprocessingShape">
                    <wps:wsp>
                      <wps:cNvSpPr/>
                      <wps:spPr>
                        <a:xfrm>
                          <a:off x="0" y="0"/>
                          <a:ext cx="5765800" cy="7726680"/>
                        </a:xfrm>
                        <a:prstGeom prst="rect">
                          <a:avLst/>
                        </a:prstGeom>
                        <a:solidFill>
                          <a:sysClr val="window" lastClr="FFFFFF"/>
                        </a:solidFill>
                        <a:ln w="19050" cap="flat" cmpd="sng" algn="ctr">
                          <a:solidFill>
                            <a:srgbClr val="4472C4"/>
                          </a:solidFill>
                          <a:prstDash val="solid"/>
                          <a:miter lim="800000"/>
                        </a:ln>
                        <a:effectLst/>
                      </wps:spPr>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CDEF9" id="מלבן 18" o:spid="_x0000_s1026" style="position:absolute;left:0;text-align:left;margin-left:0;margin-top:16.75pt;width:454pt;height:608.4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nihwIAAPsEAAAOAAAAZHJzL2Uyb0RvYy54bWysVMtuGjEU3VfqP1jeNwOIR4IyRIiIqlKU&#10;RkqqrI3Hw1jyq7ZhoH/RfdV+Fr/TYw8hj3ZVlYXxffg+zj13Lq92WpGt8EFaU9L+WY8SYbitpFmX&#10;9MvD8sM5JSEyUzFljSjpXgR6NXv/7rJ1UzGwjVWV8ARBTJi2rqRNjG5aFIE3QrNwZp0wMNbWaxYh&#10;+nVRedYiulbFoNcbF631lfOWixCgve6MdJbj17Xg8XNdBxGJKilqi/n0+Vyls5hdsunaM9dIfiyD&#10;/UMVmkmDpKdQ1ywysvHyj1Bacm+DreMZt7qwdS25yD2gm37vTTf3DXMi9wJwgjvBFP5fWH67vfNE&#10;VpgdJmWYxowOPw8/Dt8PvwhUwKd1YQq3e3fnj1LANTW7q71O/2iD7DKm+xOmYhcJh3I0GY/Oe4Ce&#10;wzaZDMbj84x68fzc+RA/CqtJupTUY2gZS7a9CREp4frkkrIFq2S1lEplYR8WypMtw3xBi8q2lCgW&#10;IpQlXeZf6gEhXj1ThrRo+aI3SpUxEK9WLOKqHaAIZk0JU2swmkefa3n1Ovj16pR1OJwMFsO/JUlF&#10;X7PQdNXlCMmNTbWMIL2SuqSABr/ja2WSVWTaHltP4Hdwp9vKVnuMy9uOx8HxpUSSGzR8xzyIi26w&#10;jPEzjlpZtMiVdJQ01n97q0t+4BEslLRYALT9dcO8AH6fDBh20R8OES5mYTiaDCD4l5bVS4vZ6IXF&#10;DPpYd8fzNflH9aStvdWP2NV5ygoTMxy5O4CPwiJ2i4lt52I+z27YEsfijbl3PAVP+CRYH3aPzLsj&#10;YSK4dmufloVN3/Cm800vjZ1voq1lJtUznqBHErBhmSjHr0Fa4Zdy9nr+Zs1+AwAA//8DAFBLAwQU&#10;AAYACAAAACEA255sud4AAAAIAQAADwAAAGRycy9kb3ducmV2LnhtbEyPwU7DMBBE70j8g7VI3Kjd&#10;Rq1KiFNRJAQcqGipenbjJYmw1yF2m/D3LCc47sxo9k2xGr0TZ+xjG0jDdKJAIFXBtlRr2L8/3ixB&#10;xGTIGhcINXxjhFV5eVGY3IaBtnjepVpwCcXcaGhS6nIpY9WgN3ESOiT2PkLvTeKzr6XtzcDl3smZ&#10;UgvpTUv8oTEdPjRYfe5OXsPLuv46PNfT7cK7t2FNT2rzGpTW11fj/R2IhGP6C8MvPqNDyUzHcCIb&#10;hdPAQ5KGLJuDYPdWLVk4cmw2VxnIspD/B5Q/AAAA//8DAFBLAQItABQABgAIAAAAIQC2gziS/gAA&#10;AOEBAAATAAAAAAAAAAAAAAAAAAAAAABbQ29udGVudF9UeXBlc10ueG1sUEsBAi0AFAAGAAgAAAAh&#10;ADj9If/WAAAAlAEAAAsAAAAAAAAAAAAAAAAALwEAAF9yZWxzLy5yZWxzUEsBAi0AFAAGAAgAAAAh&#10;AP2D2eKHAgAA+wQAAA4AAAAAAAAAAAAAAAAALgIAAGRycy9lMm9Eb2MueG1sUEsBAi0AFAAGAAgA&#10;AAAhANuebLneAAAACAEAAA8AAAAAAAAAAAAAAAAA4QQAAGRycy9kb3ducmV2LnhtbFBLBQYAAAAA&#10;BAAEAPMAAADsBQAAAAA=&#10;" fillcolor="window" strokecolor="#4472c4" strokeweight="1.5pt">
                <w10:wrap anchorx="margin"/>
              </v:rect>
            </w:pict>
          </mc:Fallback>
        </mc:AlternateContent>
      </w:r>
      <w:bookmarkEnd w:id="74"/>
      <w:bookmarkEnd w:id="75"/>
    </w:p>
    <w:p w:rsidR="00C26E1A" w:rsidRDefault="00C26E1A" w:rsidP="00C26E1A">
      <w:pPr>
        <w:jc w:val="center"/>
        <w:rPr>
          <w:b/>
          <w:bCs/>
          <w:sz w:val="24"/>
          <w:szCs w:val="24"/>
          <w:rtl/>
        </w:rPr>
      </w:pPr>
      <w:r>
        <w:rPr>
          <w:b/>
          <w:bCs/>
          <w:sz w:val="24"/>
          <w:szCs w:val="24"/>
          <w:rtl/>
        </w:rPr>
        <w:t>מקורות</w:t>
      </w:r>
    </w:p>
    <w:p w:rsidR="00C26E1A" w:rsidRPr="00E87D1E" w:rsidRDefault="00C26E1A" w:rsidP="00C26E1A">
      <w:pPr>
        <w:rPr>
          <w:sz w:val="24"/>
          <w:szCs w:val="24"/>
          <w:rtl/>
        </w:rPr>
      </w:pPr>
      <w:r w:rsidRPr="00E87D1E">
        <w:rPr>
          <w:sz w:val="24"/>
          <w:szCs w:val="24"/>
          <w:rtl/>
        </w:rPr>
        <w:t xml:space="preserve">א. </w:t>
      </w:r>
      <w:r>
        <w:rPr>
          <w:rFonts w:hint="cs"/>
          <w:sz w:val="24"/>
          <w:szCs w:val="24"/>
          <w:rtl/>
        </w:rPr>
        <w:t>גמ' לט:-מא. "אמר ר' ינאי... תיובתא"</w:t>
      </w:r>
      <w:r>
        <w:rPr>
          <w:sz w:val="24"/>
          <w:szCs w:val="24"/>
        </w:rPr>
        <w:t>;</w:t>
      </w:r>
      <w:r>
        <w:rPr>
          <w:rFonts w:hint="cs"/>
          <w:sz w:val="24"/>
          <w:szCs w:val="24"/>
          <w:rtl/>
        </w:rPr>
        <w:t xml:space="preserve"> תוספות לט: ד"ה דתנא</w:t>
      </w:r>
    </w:p>
    <w:p w:rsidR="00C26E1A" w:rsidRPr="00E87D1E" w:rsidRDefault="00C26E1A" w:rsidP="00C26E1A">
      <w:pPr>
        <w:rPr>
          <w:rFonts w:ascii="Narkisim" w:hAnsi="Narkisim"/>
          <w:sz w:val="24"/>
          <w:szCs w:val="24"/>
          <w:rtl/>
        </w:rPr>
      </w:pPr>
      <w:r w:rsidRPr="00E87D1E">
        <w:rPr>
          <w:sz w:val="24"/>
          <w:szCs w:val="24"/>
          <w:rtl/>
        </w:rPr>
        <w:t xml:space="preserve">ב. </w:t>
      </w:r>
      <w:r>
        <w:rPr>
          <w:rFonts w:hint="cs"/>
          <w:sz w:val="24"/>
          <w:szCs w:val="24"/>
          <w:rtl/>
        </w:rPr>
        <w:t>חזון איש או"ח קכו כה</w:t>
      </w:r>
      <w:r>
        <w:rPr>
          <w:sz w:val="24"/>
          <w:szCs w:val="24"/>
        </w:rPr>
        <w:t>;</w:t>
      </w:r>
      <w:r>
        <w:rPr>
          <w:rFonts w:hint="cs"/>
          <w:sz w:val="24"/>
          <w:szCs w:val="24"/>
          <w:rtl/>
        </w:rPr>
        <w:t xml:space="preserve"> תוספתא פ"ג ה"י</w:t>
      </w:r>
    </w:p>
    <w:p w:rsidR="00C26E1A" w:rsidRPr="00E87D1E" w:rsidRDefault="00C26E1A" w:rsidP="00C26E1A">
      <w:pPr>
        <w:rPr>
          <w:rFonts w:ascii="Narkisim" w:hAnsi="Narkisim"/>
          <w:sz w:val="24"/>
          <w:szCs w:val="24"/>
          <w:rtl/>
        </w:rPr>
      </w:pPr>
      <w:r w:rsidRPr="00E87D1E">
        <w:rPr>
          <w:rFonts w:ascii="Narkisim" w:hAnsi="Narkisim"/>
          <w:sz w:val="24"/>
          <w:szCs w:val="24"/>
          <w:rtl/>
        </w:rPr>
        <w:t xml:space="preserve">ג. </w:t>
      </w:r>
      <w:r>
        <w:rPr>
          <w:rFonts w:ascii="Narkisim" w:hAnsi="Narkisim" w:hint="cs"/>
          <w:sz w:val="24"/>
          <w:szCs w:val="24"/>
          <w:rtl/>
        </w:rPr>
        <w:t>רמב"ם עבודת יום הכיפורים פ"ג ה"ג</w:t>
      </w:r>
      <w:r>
        <w:rPr>
          <w:rFonts w:ascii="Narkisim" w:hAnsi="Narkisim"/>
          <w:sz w:val="24"/>
          <w:szCs w:val="24"/>
        </w:rPr>
        <w:t>;</w:t>
      </w:r>
      <w:r>
        <w:rPr>
          <w:rFonts w:ascii="Narkisim" w:hAnsi="Narkisim" w:hint="cs"/>
          <w:sz w:val="24"/>
          <w:szCs w:val="24"/>
          <w:rtl/>
        </w:rPr>
        <w:t xml:space="preserve"> לחם משנה שם ד"ה והעליית, מקדש דוד קדשים כד ג</w:t>
      </w:r>
    </w:p>
    <w:p w:rsidR="00C26E1A" w:rsidRPr="00E87D1E" w:rsidRDefault="00C26E1A" w:rsidP="00C26E1A">
      <w:pPr>
        <w:rPr>
          <w:rFonts w:ascii="FrankRuehl" w:hAnsi="FrankRuehl" w:cs="FrankRuehl"/>
          <w:sz w:val="24"/>
          <w:szCs w:val="24"/>
          <w:rtl/>
        </w:rPr>
      </w:pPr>
    </w:p>
    <w:p w:rsidR="00C26E1A" w:rsidRPr="00E87D1E" w:rsidRDefault="00C26E1A" w:rsidP="00C26E1A">
      <w:pPr>
        <w:rPr>
          <w:rFonts w:ascii="FrankRuehl" w:hAnsi="FrankRuehl" w:cs="FrankRuehl"/>
          <w:b/>
          <w:bCs/>
          <w:sz w:val="24"/>
          <w:szCs w:val="24"/>
          <w:rtl/>
        </w:rPr>
      </w:pPr>
      <w:r>
        <w:rPr>
          <w:rFonts w:ascii="FrankRuehl" w:hAnsi="FrankRuehl" w:cs="FrankRuehl" w:hint="cs"/>
          <w:b/>
          <w:bCs/>
          <w:sz w:val="24"/>
          <w:szCs w:val="24"/>
          <w:rtl/>
        </w:rPr>
        <w:t>חזון איש או"ח קכו כה</w:t>
      </w:r>
    </w:p>
    <w:p w:rsidR="00C26E1A" w:rsidRDefault="00C26E1A" w:rsidP="00C26E1A">
      <w:pPr>
        <w:spacing w:line="276" w:lineRule="auto"/>
        <w:rPr>
          <w:rFonts w:ascii="FrankRuehl" w:hAnsi="FrankRuehl" w:cs="FrankRuehl"/>
          <w:sz w:val="24"/>
          <w:szCs w:val="24"/>
          <w:rtl/>
        </w:rPr>
      </w:pPr>
      <w:r w:rsidRPr="00E87D1E">
        <w:rPr>
          <w:rFonts w:ascii="FrankRuehl" w:hAnsi="FrankRuehl" w:cs="FrankRuehl"/>
          <w:sz w:val="24"/>
          <w:szCs w:val="24"/>
          <w:rtl/>
        </w:rPr>
        <w:t>יש לעיין אם העיכוב הוא מחמת חסרון מצות הגרלה אבל השעירים נתפשו בשם, וא"כ אינם ראוים עוד להגרלה ויביא אחרין, או דלמא דקריאת שם לא עשתה ולא כלום ויוכל להגריל עליהם עתה.</w:t>
      </w:r>
    </w:p>
    <w:p w:rsidR="0096770B" w:rsidRDefault="0096770B" w:rsidP="00C26E1A">
      <w:pPr>
        <w:spacing w:line="276" w:lineRule="auto"/>
        <w:rPr>
          <w:rFonts w:ascii="FrankRuehl" w:hAnsi="FrankRuehl" w:cs="FrankRuehl"/>
          <w:sz w:val="24"/>
          <w:szCs w:val="24"/>
          <w:rtl/>
        </w:rPr>
      </w:pPr>
    </w:p>
    <w:p w:rsidR="00C26E1A" w:rsidRPr="008941D2" w:rsidRDefault="00C26E1A" w:rsidP="00C26E1A">
      <w:pPr>
        <w:spacing w:line="276" w:lineRule="auto"/>
        <w:rPr>
          <w:rFonts w:ascii="FrankRuehl" w:hAnsi="FrankRuehl" w:cs="FrankRuehl"/>
          <w:b/>
          <w:bCs/>
          <w:sz w:val="24"/>
          <w:szCs w:val="24"/>
          <w:rtl/>
        </w:rPr>
      </w:pPr>
      <w:r w:rsidRPr="008941D2">
        <w:rPr>
          <w:rFonts w:ascii="FrankRuehl" w:hAnsi="FrankRuehl" w:cs="FrankRuehl" w:hint="cs"/>
          <w:b/>
          <w:bCs/>
          <w:sz w:val="24"/>
          <w:szCs w:val="24"/>
          <w:rtl/>
        </w:rPr>
        <w:t>תוספתא פ"ג ה"י</w:t>
      </w:r>
    </w:p>
    <w:p w:rsidR="00C26E1A" w:rsidRDefault="00C26E1A" w:rsidP="00C26E1A">
      <w:pPr>
        <w:spacing w:line="276" w:lineRule="auto"/>
        <w:rPr>
          <w:rFonts w:ascii="FrankRuehl" w:hAnsi="FrankRuehl" w:cs="FrankRuehl"/>
          <w:sz w:val="24"/>
          <w:szCs w:val="24"/>
          <w:rtl/>
        </w:rPr>
      </w:pPr>
      <w:r w:rsidRPr="008941D2">
        <w:rPr>
          <w:rFonts w:ascii="FrankRuehl" w:hAnsi="FrankRuehl" w:cs="FrankRuehl"/>
          <w:sz w:val="24"/>
          <w:szCs w:val="24"/>
          <w:rtl/>
        </w:rPr>
        <w:t>שני שעירי יום הכפורים מצותן בהגריל לא הגריל עליו אפי' הכי כשרין הגרלן באהרן אפי' בכהן הדיוט כשרים שני שעירי יום הכפורים עד שלא הגריל עליהן רשיי לשנותן לדבר אחר משהגריל עליהן אין רשיי לשנותן לדבר אחר</w:t>
      </w:r>
      <w:r>
        <w:rPr>
          <w:rFonts w:ascii="FrankRuehl" w:hAnsi="FrankRuehl" w:cs="FrankRuehl" w:hint="cs"/>
          <w:sz w:val="24"/>
          <w:szCs w:val="24"/>
          <w:rtl/>
        </w:rPr>
        <w:t>.</w:t>
      </w:r>
    </w:p>
    <w:p w:rsidR="0096770B" w:rsidRPr="00E87D1E" w:rsidRDefault="0096770B" w:rsidP="00C26E1A">
      <w:pPr>
        <w:spacing w:line="276" w:lineRule="auto"/>
        <w:rPr>
          <w:rFonts w:ascii="FrankRuehl" w:hAnsi="FrankRuehl" w:cs="FrankRuehl"/>
          <w:sz w:val="24"/>
          <w:szCs w:val="24"/>
          <w:rtl/>
        </w:rPr>
      </w:pPr>
    </w:p>
    <w:p w:rsidR="00C26E1A" w:rsidRPr="00E87D1E" w:rsidRDefault="00C26E1A" w:rsidP="00C26E1A">
      <w:pPr>
        <w:rPr>
          <w:rFonts w:ascii="FrankRuehl" w:hAnsi="FrankRuehl" w:cs="FrankRuehl"/>
          <w:b/>
          <w:bCs/>
          <w:sz w:val="24"/>
          <w:szCs w:val="24"/>
          <w:rtl/>
        </w:rPr>
      </w:pPr>
      <w:r>
        <w:rPr>
          <w:rFonts w:ascii="FrankRuehl" w:hAnsi="FrankRuehl" w:cs="FrankRuehl" w:hint="cs"/>
          <w:b/>
          <w:bCs/>
          <w:sz w:val="24"/>
          <w:szCs w:val="24"/>
          <w:rtl/>
        </w:rPr>
        <w:t>רמב"ם עבודת יום הכיפורים פ"ג ה"ג</w:t>
      </w:r>
    </w:p>
    <w:p w:rsidR="00C26E1A" w:rsidRPr="00E87D1E" w:rsidRDefault="00C26E1A" w:rsidP="00C26E1A">
      <w:pPr>
        <w:spacing w:line="276" w:lineRule="auto"/>
        <w:rPr>
          <w:rFonts w:ascii="FrankRuehl" w:hAnsi="FrankRuehl" w:cs="FrankRuehl"/>
          <w:sz w:val="24"/>
          <w:szCs w:val="24"/>
          <w:rtl/>
        </w:rPr>
      </w:pPr>
      <w:r w:rsidRPr="00E87D1E">
        <w:rPr>
          <w:rFonts w:ascii="FrankRuehl" w:hAnsi="FrankRuehl" w:cs="FrankRuehl"/>
          <w:sz w:val="24"/>
          <w:szCs w:val="24"/>
          <w:rtl/>
        </w:rPr>
        <w:t>ונותן שני הגורלות על שניהם, של ימין על ימין ושל שמאל על של שמאל, ואם לא נתן לא עיכב אלא שחיסר מצוה, שההנחה מצוה שאינה מעכבת וההגרלה מעכבת אף על פי שאינה עבודה, לפיכך ההנחה כשירה בזר והעליית הגורלות מן הקלפי פסולה בזר.</w:t>
      </w:r>
    </w:p>
    <w:p w:rsidR="0096770B" w:rsidRDefault="0096770B" w:rsidP="00C26E1A">
      <w:pPr>
        <w:rPr>
          <w:rFonts w:ascii="FrankRuehl" w:hAnsi="FrankRuehl" w:cs="FrankRuehl"/>
          <w:b/>
          <w:bCs/>
          <w:sz w:val="24"/>
          <w:szCs w:val="24"/>
          <w:rtl/>
        </w:rPr>
      </w:pPr>
    </w:p>
    <w:p w:rsidR="00C26E1A" w:rsidRPr="00E87D1E" w:rsidRDefault="00C26E1A" w:rsidP="00C26E1A">
      <w:pPr>
        <w:rPr>
          <w:rFonts w:ascii="FrankRuehl" w:hAnsi="FrankRuehl" w:cs="FrankRuehl"/>
          <w:b/>
          <w:bCs/>
          <w:sz w:val="24"/>
          <w:szCs w:val="24"/>
          <w:rtl/>
        </w:rPr>
      </w:pPr>
      <w:r>
        <w:rPr>
          <w:rFonts w:ascii="FrankRuehl" w:hAnsi="FrankRuehl" w:cs="FrankRuehl" w:hint="cs"/>
          <w:b/>
          <w:bCs/>
          <w:sz w:val="24"/>
          <w:szCs w:val="24"/>
          <w:rtl/>
        </w:rPr>
        <w:t>לחם משנה שם ד"ה והעליית</w:t>
      </w:r>
    </w:p>
    <w:p w:rsidR="00C26E1A" w:rsidRPr="00E87D1E" w:rsidRDefault="00C26E1A" w:rsidP="00C26E1A">
      <w:pPr>
        <w:spacing w:line="276" w:lineRule="auto"/>
        <w:rPr>
          <w:rFonts w:ascii="FrankRuehl" w:hAnsi="FrankRuehl" w:cs="FrankRuehl"/>
          <w:sz w:val="24"/>
          <w:szCs w:val="24"/>
          <w:rtl/>
        </w:rPr>
      </w:pPr>
      <w:r w:rsidRPr="00E87D1E">
        <w:rPr>
          <w:rFonts w:ascii="FrankRuehl" w:hAnsi="FrankRuehl" w:cs="FrankRuehl"/>
          <w:sz w:val="24"/>
          <w:szCs w:val="24"/>
          <w:rtl/>
        </w:rPr>
        <w:t xml:space="preserve">וקשה דבפ' טרף בקלפי (דף מ"ב) אמרו בגמרא דשחיטת פרו לרב כשרה בזר והקשה הא כתיב אהרן וחוקה ותירצו שחיטה לאו עבודה היא משמע דלדידן דקי"ל דשחיטת פרו כשרה בזר וכדכתב רבינו ז"ל בריש פ"א מה' פסולי המוקדשין אית לן לומר דאע"ג דשחיטה מעכבא כיון דלאו עבודה היא כשרה בזר הכי נמי בהגרלה כיון שכתב רבינו ז"ל דלאו עבודה היא אף על גב דמעכבא ליתכשרה בזר. </w:t>
      </w:r>
    </w:p>
    <w:p w:rsidR="0096770B" w:rsidRDefault="0096770B" w:rsidP="00C26E1A">
      <w:pPr>
        <w:rPr>
          <w:rFonts w:ascii="FrankRuehl" w:hAnsi="FrankRuehl" w:cs="FrankRuehl"/>
          <w:b/>
          <w:bCs/>
          <w:sz w:val="24"/>
          <w:szCs w:val="24"/>
          <w:rtl/>
        </w:rPr>
      </w:pPr>
    </w:p>
    <w:p w:rsidR="00C26E1A" w:rsidRPr="00E87D1E" w:rsidRDefault="00C26E1A" w:rsidP="00C26E1A">
      <w:pPr>
        <w:rPr>
          <w:rFonts w:ascii="FrankRuehl" w:hAnsi="FrankRuehl" w:cs="FrankRuehl"/>
          <w:b/>
          <w:bCs/>
          <w:sz w:val="24"/>
          <w:szCs w:val="24"/>
          <w:rtl/>
        </w:rPr>
      </w:pPr>
      <w:r>
        <w:rPr>
          <w:rFonts w:ascii="FrankRuehl" w:hAnsi="FrankRuehl" w:cs="FrankRuehl" w:hint="cs"/>
          <w:b/>
          <w:bCs/>
          <w:sz w:val="24"/>
          <w:szCs w:val="24"/>
          <w:rtl/>
        </w:rPr>
        <w:t>מקדש דוד קדשים כד ג</w:t>
      </w:r>
    </w:p>
    <w:p w:rsidR="00C26E1A" w:rsidRPr="007C164C" w:rsidRDefault="00C26E1A" w:rsidP="00C26E1A">
      <w:pPr>
        <w:spacing w:line="276" w:lineRule="auto"/>
        <w:rPr>
          <w:rFonts w:ascii="FrankRuehl" w:hAnsi="FrankRuehl" w:cs="FrankRuehl"/>
          <w:sz w:val="24"/>
          <w:szCs w:val="24"/>
          <w:rtl/>
        </w:rPr>
      </w:pPr>
      <w:r w:rsidRPr="00E87D1E">
        <w:rPr>
          <w:rFonts w:ascii="FrankRuehl" w:hAnsi="FrankRuehl" w:cs="FrankRuehl"/>
          <w:sz w:val="24"/>
          <w:szCs w:val="24"/>
          <w:rtl/>
        </w:rPr>
        <w:t xml:space="preserve">ונראה טעמו של הרמב"ם ז"ל דזה דבהגרלה בעינן כ"ג איכא תרתי, ולבד מדין עבודה דצריכה כ"ג, רק כיון דע"י ההגרלה נקבעין השעירים איזה לשם ואיזה לעזאזל וקביעות השעירים תלוי בכ"ג דכתיב ונתן אהרן על שני השעירים גורלות ואחר אינו בעלים לקבוע אותן, ואם בא זר וקבע אותן איזה לשם ואיזה לעזאזל ודאי לא מהני, דאיזה כח יש לו לעשות הקביעות, מיהו אי הגרלה אינה מעכבת והשעירים נקבעים ע"י קריאת שם שהכ"ג אומר לה' חטאת, דאף במקום שמגריל למ"ד הגרלה אינה מעכבת אין הקביעות נעשה ע"י ההגרלה כי אם ע"י קריאת שם, כדאמרינן ביומא (מ' ב) שאלו את ר"ע עלה בשמאל מהו שיחזור לימין, א"ל אל תתנו מקום לצדוקים כו', </w:t>
      </w:r>
      <w:r w:rsidR="0096770B">
        <w:rPr>
          <w:noProof/>
          <w:rtl/>
        </w:rPr>
        <w:lastRenderedPageBreak/>
        <mc:AlternateContent>
          <mc:Choice Requires="wps">
            <w:drawing>
              <wp:anchor distT="0" distB="0" distL="114300" distR="114300" simplePos="0" relativeHeight="251688960" behindDoc="1" locked="0" layoutInCell="1" allowOverlap="1" wp14:anchorId="5A94520D" wp14:editId="071C9810">
                <wp:simplePos x="0" y="0"/>
                <wp:positionH relativeFrom="margin">
                  <wp:align>center</wp:align>
                </wp:positionH>
                <wp:positionV relativeFrom="paragraph">
                  <wp:posOffset>-274320</wp:posOffset>
                </wp:positionV>
                <wp:extent cx="5765800" cy="1341120"/>
                <wp:effectExtent l="0" t="0" r="25400" b="11430"/>
                <wp:wrapNone/>
                <wp:docPr id="19" name="מלבן 19"/>
                <wp:cNvGraphicFramePr/>
                <a:graphic xmlns:a="http://schemas.openxmlformats.org/drawingml/2006/main">
                  <a:graphicData uri="http://schemas.microsoft.com/office/word/2010/wordprocessingShape">
                    <wps:wsp>
                      <wps:cNvSpPr/>
                      <wps:spPr>
                        <a:xfrm>
                          <a:off x="0" y="0"/>
                          <a:ext cx="5765800" cy="1341120"/>
                        </a:xfrm>
                        <a:prstGeom prst="rect">
                          <a:avLst/>
                        </a:prstGeom>
                        <a:solidFill>
                          <a:sysClr val="window" lastClr="FFFFFF"/>
                        </a:solidFill>
                        <a:ln w="19050" cap="flat" cmpd="sng" algn="ctr">
                          <a:solidFill>
                            <a:srgbClr val="4472C4"/>
                          </a:solidFill>
                          <a:prstDash val="solid"/>
                          <a:miter lim="800000"/>
                        </a:ln>
                        <a:effectLst/>
                      </wps:spPr>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751C0" id="מלבן 19" o:spid="_x0000_s1026" style="position:absolute;left:0;text-align:left;margin-left:0;margin-top:-21.6pt;width:454pt;height:105.6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lqhwIAAPsEAAAOAAAAZHJzL2Uyb0RvYy54bWysVMtuGjEU3VfqP1jeNwN0yANliBARVaUo&#10;QUqqrI3HA5b8qm0Y6F90X7Wfxe/02EPIo11VZWF8H76Pc8+dy6utVmQjfJDWVLR/0qNEGG5raZYV&#10;/fIw+3BOSYjM1ExZIyq6E4Fejd+/u2zdSAzsyqpaeIIgJoxaV9FVjG5UFIGvhGbhxDphYGys1yxC&#10;9Mui9qxFdK2KQa93WrTW185bLkKA9roz0nGO3zSCx7umCSISVVHUFvPp87lIZzG+ZKOlZ24l+aEM&#10;9g9VaCYNkh5DXbPIyNrLP0Jpyb0Ntokn3OrCNo3kIveAbvq9N93cr5gTuReAE9wRpvD/wvLbzdwT&#10;WWN2F5QYpjGj/c/9j/33/S8CFfBpXRjB7d7N/UEKuKZmt43X6R9tkG3GdHfEVGwj4VAOz06H5z1A&#10;z2Hrfyz7/UFGvXh+7nyIn4TVJF0q6jG0jCXb3ISIlHB9cknZglWynkmlsrALU+XJhmG+oEVtW0oU&#10;CxHKis7yL/WAEK+eKUPa1HJvmCpjIF6jWMRVO0ARzJISppZgNI8+1/LqdfDLxTFrWZ4NpuXfkqSi&#10;r1lYddXlCMmNjbSMIL2SuqKABr/Da2WSVWTaHlpP4Hdwp9vC1juMy9uOx8HxmUSSGzQ8Zx7ERTdY&#10;xniHo1EWLXIlHSUr67+91SU/8AgWSlosANr+umZeAL/PBgy76JclwsUslMMzjI34l5bFS4tZ66nF&#10;DPpYd8fzNflH9aRtvNWP2NVJygoTMxy5O4APwjR2i4lt52IyyW7YEsfijbl3PAVP+CRYH7aPzLsD&#10;YSK4dmufloWN3vCm800vjZ2so21kJtUznqBHErBhmSiHr0Fa4Zdy9nr+Zo1/AwAA//8DAFBLAwQU&#10;AAYACAAAACEAH58kTt0AAAAIAQAADwAAAGRycy9kb3ducmV2LnhtbEyPQU/DMAyF70j8h8hI3LZk&#10;A1WjNJ0YEgIOIDYQ56wxaUXilCZby7/HnOBm+z09f69aT8GLIw6pi6RhMVcgkJpoO3Ia3l7vZisQ&#10;KRuyxkdCDd+YYF2fnlSmtHGkLR532QkOoVQaDW3OfSllaloMJs1jj8TaRxyCybwOTtrBjBwevFwq&#10;VchgOuIPrenxtsXmc3cIGh437uv9wS22RfAv44bu1fNTVFqfn0031yAyTvnPDL/4jA41M+3jgWwS&#10;XgMXyRpmlxdLECxfqRVf9uwreJB1Jf8XqH8AAAD//wMAUEsBAi0AFAAGAAgAAAAhALaDOJL+AAAA&#10;4QEAABMAAAAAAAAAAAAAAAAAAAAAAFtDb250ZW50X1R5cGVzXS54bWxQSwECLQAUAAYACAAAACEA&#10;OP0h/9YAAACUAQAACwAAAAAAAAAAAAAAAAAvAQAAX3JlbHMvLnJlbHNQSwECLQAUAAYACAAAACEA&#10;O3E5aocCAAD7BAAADgAAAAAAAAAAAAAAAAAuAgAAZHJzL2Uyb0RvYy54bWxQSwECLQAUAAYACAAA&#10;ACEAH58kTt0AAAAIAQAADwAAAAAAAAAAAAAAAADhBAAAZHJzL2Rvd25yZXYueG1sUEsFBgAAAAAE&#10;AAQA8wAAAOsFAAAAAA==&#10;" fillcolor="window" strokecolor="#4472c4" strokeweight="1.5pt">
                <w10:wrap anchorx="margin"/>
              </v:rect>
            </w:pict>
          </mc:Fallback>
        </mc:AlternateContent>
      </w:r>
      <w:r w:rsidRPr="00E87D1E">
        <w:rPr>
          <w:rFonts w:ascii="FrankRuehl" w:hAnsi="FrankRuehl" w:cs="FrankRuehl"/>
          <w:sz w:val="24"/>
          <w:szCs w:val="24"/>
          <w:rtl/>
        </w:rPr>
        <w:t>ודייקינן מינה התם דהגרלה אינה מעכבת, דאי הגרלה מעכבת כיון דקבעתה שמאל היכא מהדרינן לימין ע"ש, ומוכח דאי הגרלה אינה מעכבת אפילו אי מגריל לא נקבעו בהגרלה אלא בקריאת שם, א"כ אי היתה הגרלה אינה מעכבת ואינה רק למצוה היתה כשרה בזר כיון דלאו עבודה היא, והקביעות נעשה ע"י כ"ג במה שקורא את השם, אבל כיון דפסק הרמב"ם ז"ל דהגרלה מעכבת והקביעות נעשית ע"י ההגרלה, א"כ אף על גב דלאו עבודה היא פסולה בזר דאין כח לזר לעשות הקביעות על השעירים.</w:t>
      </w:r>
    </w:p>
    <w:p w:rsidR="00C26E1A" w:rsidRDefault="00C26E1A" w:rsidP="00C26E1A">
      <w:pPr>
        <w:spacing w:line="276" w:lineRule="auto"/>
        <w:rPr>
          <w:sz w:val="24"/>
          <w:szCs w:val="24"/>
          <w:rtl/>
        </w:rPr>
      </w:pPr>
    </w:p>
    <w:p w:rsidR="0096770B" w:rsidRDefault="0096770B" w:rsidP="00C26E1A">
      <w:pPr>
        <w:spacing w:line="276" w:lineRule="auto"/>
        <w:rPr>
          <w:sz w:val="24"/>
          <w:szCs w:val="24"/>
          <w:rtl/>
        </w:rPr>
      </w:pPr>
    </w:p>
    <w:p w:rsidR="00C26E1A" w:rsidRDefault="00C26E1A" w:rsidP="00C26E1A">
      <w:pPr>
        <w:spacing w:line="276" w:lineRule="auto"/>
        <w:rPr>
          <w:sz w:val="24"/>
          <w:szCs w:val="24"/>
          <w:rtl/>
        </w:rPr>
      </w:pPr>
      <w:r>
        <w:rPr>
          <w:rFonts w:hint="cs"/>
          <w:sz w:val="24"/>
          <w:szCs w:val="24"/>
          <w:rtl/>
        </w:rPr>
        <w:t xml:space="preserve">בשיעור הקודם פתחנו את הדיון במשמעותה של ההגרלה על השעירים. ראינו שקיימת אפשרות לומר שמטרתה העיקרית של ההגרלה היא בירור זהותם של השעירים. לצד האפשרות הזו, הראנו שמדברי חלק מהראשונים עולה אפשרות נוספת, לפיה מלבד בירור זהות השעירים ההגרלה גם מקדשת את השעירים בקדושת 'שעירי יום הכיפורים'. בשיעור הנוכחי נרצה לבחון את ההגדרות הללו לאור הסוגיה הדנה האם ההגרלה מעכבת. </w:t>
      </w:r>
    </w:p>
    <w:p w:rsidR="00C26E1A" w:rsidRDefault="00C26E1A" w:rsidP="00C26E1A">
      <w:pPr>
        <w:spacing w:line="276" w:lineRule="auto"/>
        <w:rPr>
          <w:sz w:val="24"/>
          <w:szCs w:val="24"/>
          <w:rtl/>
        </w:rPr>
      </w:pPr>
      <w:r>
        <w:rPr>
          <w:rFonts w:hint="cs"/>
          <w:sz w:val="24"/>
          <w:szCs w:val="24"/>
          <w:rtl/>
        </w:rPr>
        <w:t>הסוגיה פותחת בכך ששאלה זו תלויה במחלוקת האמוראים:</w:t>
      </w:r>
    </w:p>
    <w:p w:rsidR="00C26E1A" w:rsidRPr="0083281A" w:rsidRDefault="00C26E1A" w:rsidP="0096770B">
      <w:pPr>
        <w:spacing w:line="276" w:lineRule="auto"/>
        <w:ind w:left="720"/>
        <w:rPr>
          <w:sz w:val="20"/>
          <w:szCs w:val="20"/>
          <w:rtl/>
        </w:rPr>
      </w:pPr>
      <w:r w:rsidRPr="0083281A">
        <w:rPr>
          <w:sz w:val="24"/>
          <w:szCs w:val="24"/>
          <w:rtl/>
        </w:rPr>
        <w:t>אמר רבי ינאי</w:t>
      </w:r>
      <w:r>
        <w:rPr>
          <w:rFonts w:hint="cs"/>
          <w:sz w:val="24"/>
          <w:szCs w:val="24"/>
          <w:rtl/>
        </w:rPr>
        <w:t>:</w:t>
      </w:r>
      <w:r w:rsidRPr="0083281A">
        <w:rPr>
          <w:sz w:val="24"/>
          <w:szCs w:val="24"/>
          <w:rtl/>
        </w:rPr>
        <w:t xml:space="preserve"> עליית גורל מתוך קלפי מעכבת</w:t>
      </w:r>
      <w:r>
        <w:rPr>
          <w:rFonts w:hint="cs"/>
          <w:sz w:val="24"/>
          <w:szCs w:val="24"/>
          <w:rtl/>
        </w:rPr>
        <w:t>,</w:t>
      </w:r>
      <w:r w:rsidRPr="0083281A">
        <w:rPr>
          <w:sz w:val="24"/>
          <w:szCs w:val="24"/>
          <w:rtl/>
        </w:rPr>
        <w:t xml:space="preserve"> הנחה אינה מעכבת</w:t>
      </w:r>
      <w:r>
        <w:rPr>
          <w:rFonts w:hint="cs"/>
          <w:sz w:val="24"/>
          <w:szCs w:val="24"/>
          <w:rtl/>
        </w:rPr>
        <w:t>.</w:t>
      </w:r>
      <w:r w:rsidRPr="0083281A">
        <w:rPr>
          <w:sz w:val="24"/>
          <w:szCs w:val="24"/>
          <w:rtl/>
        </w:rPr>
        <w:t xml:space="preserve"> ורבי יוחנן אמר</w:t>
      </w:r>
      <w:r>
        <w:rPr>
          <w:rFonts w:hint="cs"/>
          <w:sz w:val="24"/>
          <w:szCs w:val="24"/>
          <w:rtl/>
        </w:rPr>
        <w:t>:</w:t>
      </w:r>
      <w:r w:rsidRPr="0083281A">
        <w:rPr>
          <w:sz w:val="24"/>
          <w:szCs w:val="24"/>
          <w:rtl/>
        </w:rPr>
        <w:t xml:space="preserve"> אף עלייה אינה מעכבת</w:t>
      </w:r>
      <w:r>
        <w:rPr>
          <w:rFonts w:hint="cs"/>
          <w:sz w:val="24"/>
          <w:szCs w:val="24"/>
          <w:rtl/>
        </w:rPr>
        <w:t>.</w:t>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rFonts w:hint="cs"/>
          <w:sz w:val="20"/>
          <w:szCs w:val="20"/>
          <w:rtl/>
        </w:rPr>
        <w:t xml:space="preserve">      </w:t>
      </w:r>
      <w:r>
        <w:rPr>
          <w:rFonts w:hint="cs"/>
          <w:sz w:val="20"/>
          <w:szCs w:val="20"/>
          <w:rtl/>
        </w:rPr>
        <w:t>[</w:t>
      </w:r>
      <w:r w:rsidR="0096770B">
        <w:rPr>
          <w:rFonts w:hint="cs"/>
          <w:sz w:val="20"/>
          <w:szCs w:val="20"/>
          <w:rtl/>
        </w:rPr>
        <w:t xml:space="preserve">יומא </w:t>
      </w:r>
      <w:r>
        <w:rPr>
          <w:rFonts w:hint="cs"/>
          <w:sz w:val="20"/>
          <w:szCs w:val="20"/>
          <w:rtl/>
        </w:rPr>
        <w:t>לט:]</w:t>
      </w:r>
    </w:p>
    <w:p w:rsidR="00C26E1A" w:rsidRDefault="00C26E1A" w:rsidP="00C26E1A">
      <w:pPr>
        <w:spacing w:line="276" w:lineRule="auto"/>
        <w:rPr>
          <w:sz w:val="24"/>
          <w:szCs w:val="24"/>
          <w:rtl/>
        </w:rPr>
      </w:pPr>
      <w:r>
        <w:rPr>
          <w:rFonts w:hint="cs"/>
          <w:sz w:val="24"/>
          <w:szCs w:val="24"/>
          <w:rtl/>
        </w:rPr>
        <w:t xml:space="preserve">מתבאר שמעשה ההגרלה עצמו מורכב משני שלבים שונים: עליית הגורל מתוך הקלפי והנחת הגורלות על ראשי השעירים. על פי הגמרא, מוסכם על האמוראים שההנחה עצמה אינה מעכבת, והמחלוקת הינה בשאלה האם עליית הגורל מהקלפי מעכבת: לפי ר' ינאי עליית הגורל מעכבת, ואילו לפי ר' יוחנן אף עליית הגורל אינה מעכבת. </w:t>
      </w:r>
    </w:p>
    <w:p w:rsidR="00C26E1A" w:rsidRDefault="00C26E1A" w:rsidP="00C26E1A">
      <w:pPr>
        <w:spacing w:line="276" w:lineRule="auto"/>
        <w:rPr>
          <w:sz w:val="24"/>
          <w:szCs w:val="24"/>
          <w:rtl/>
        </w:rPr>
      </w:pPr>
      <w:r>
        <w:rPr>
          <w:rFonts w:hint="cs"/>
          <w:sz w:val="24"/>
          <w:szCs w:val="24"/>
          <w:rtl/>
        </w:rPr>
        <w:t>מיד לאחר מכן הגמרא בוחנת את היחס בין מחלוקת האמוראים, ובין מחלוקת התנאים בשאלה האם עבודה הנעשית בבגדי לבן בחוץ מעכבת:</w:t>
      </w:r>
    </w:p>
    <w:p w:rsidR="00C26E1A" w:rsidRDefault="00C26E1A" w:rsidP="0096770B">
      <w:pPr>
        <w:spacing w:line="276" w:lineRule="auto"/>
        <w:ind w:left="720"/>
        <w:rPr>
          <w:sz w:val="20"/>
          <w:szCs w:val="20"/>
          <w:rtl/>
        </w:rPr>
      </w:pPr>
      <w:r w:rsidRPr="0083281A">
        <w:rPr>
          <w:sz w:val="24"/>
          <w:szCs w:val="24"/>
          <w:rtl/>
        </w:rPr>
        <w:t>אליבא דרבי יהודה דאמר דברים הנעשין בבגדי לבן מבחוץ לא מעכבא כולי עלמא לא פליגי דלא מעכבא</w:t>
      </w:r>
      <w:r>
        <w:rPr>
          <w:rFonts w:hint="cs"/>
          <w:sz w:val="24"/>
          <w:szCs w:val="24"/>
          <w:rtl/>
        </w:rPr>
        <w:t>,</w:t>
      </w:r>
      <w:r w:rsidRPr="0083281A">
        <w:rPr>
          <w:sz w:val="24"/>
          <w:szCs w:val="24"/>
          <w:rtl/>
        </w:rPr>
        <w:t xml:space="preserve"> כי פליגי אליבא דרבי נחמיה</w:t>
      </w:r>
      <w:r>
        <w:rPr>
          <w:rFonts w:hint="cs"/>
          <w:sz w:val="24"/>
          <w:szCs w:val="24"/>
          <w:rtl/>
        </w:rPr>
        <w:t>.</w:t>
      </w:r>
      <w:r w:rsidRPr="0083281A">
        <w:rPr>
          <w:sz w:val="24"/>
          <w:szCs w:val="24"/>
          <w:rtl/>
        </w:rPr>
        <w:t xml:space="preserve"> מאן דאמר מעכבא כרבי נחמיה</w:t>
      </w:r>
      <w:r>
        <w:rPr>
          <w:rFonts w:hint="cs"/>
          <w:sz w:val="24"/>
          <w:szCs w:val="24"/>
          <w:rtl/>
        </w:rPr>
        <w:t>,</w:t>
      </w:r>
      <w:r w:rsidRPr="0083281A">
        <w:rPr>
          <w:sz w:val="24"/>
          <w:szCs w:val="24"/>
          <w:rtl/>
        </w:rPr>
        <w:t xml:space="preserve"> ומאן דאמר לא מעכבא</w:t>
      </w:r>
      <w:r>
        <w:rPr>
          <w:rFonts w:hint="cs"/>
          <w:sz w:val="24"/>
          <w:szCs w:val="24"/>
          <w:rtl/>
        </w:rPr>
        <w:t>,</w:t>
      </w:r>
      <w:r w:rsidRPr="0083281A">
        <w:rPr>
          <w:sz w:val="24"/>
          <w:szCs w:val="24"/>
          <w:rtl/>
        </w:rPr>
        <w:t xml:space="preserve"> הני מילי עבודה</w:t>
      </w:r>
      <w:r>
        <w:rPr>
          <w:rFonts w:hint="cs"/>
          <w:sz w:val="24"/>
          <w:szCs w:val="24"/>
          <w:rtl/>
        </w:rPr>
        <w:t>,</w:t>
      </w:r>
      <w:r w:rsidRPr="0083281A">
        <w:rPr>
          <w:sz w:val="24"/>
          <w:szCs w:val="24"/>
          <w:rtl/>
        </w:rPr>
        <w:t xml:space="preserve"> הגרלה לאו עבודה היא</w:t>
      </w:r>
      <w:r>
        <w:rPr>
          <w:rFonts w:hint="cs"/>
          <w:sz w:val="24"/>
          <w:szCs w:val="24"/>
          <w:rtl/>
        </w:rPr>
        <w:t>.</w:t>
      </w:r>
      <w:r w:rsidRPr="0083281A">
        <w:rPr>
          <w:sz w:val="24"/>
          <w:szCs w:val="24"/>
          <w:rtl/>
        </w:rPr>
        <w:t xml:space="preserve"> איכא דאמרי</w:t>
      </w:r>
      <w:r>
        <w:rPr>
          <w:rFonts w:hint="cs"/>
          <w:sz w:val="24"/>
          <w:szCs w:val="24"/>
          <w:rtl/>
        </w:rPr>
        <w:t>,</w:t>
      </w:r>
      <w:r w:rsidRPr="0083281A">
        <w:rPr>
          <w:sz w:val="24"/>
          <w:szCs w:val="24"/>
          <w:rtl/>
        </w:rPr>
        <w:t xml:space="preserve"> אליבא דרבי נחמיה דאמר מעכבא כולי עלמא לא פליגי דמעכבא</w:t>
      </w:r>
      <w:r>
        <w:rPr>
          <w:rFonts w:hint="cs"/>
          <w:sz w:val="24"/>
          <w:szCs w:val="24"/>
          <w:rtl/>
        </w:rPr>
        <w:t>,</w:t>
      </w:r>
      <w:r w:rsidRPr="0083281A">
        <w:rPr>
          <w:sz w:val="24"/>
          <w:szCs w:val="24"/>
          <w:rtl/>
        </w:rPr>
        <w:t xml:space="preserve"> כי פליגי אליבא דרבי יהודה</w:t>
      </w:r>
      <w:r>
        <w:rPr>
          <w:rFonts w:hint="cs"/>
          <w:sz w:val="24"/>
          <w:szCs w:val="24"/>
          <w:rtl/>
        </w:rPr>
        <w:t>.</w:t>
      </w:r>
      <w:r w:rsidRPr="0083281A">
        <w:rPr>
          <w:sz w:val="24"/>
          <w:szCs w:val="24"/>
          <w:rtl/>
        </w:rPr>
        <w:t xml:space="preserve"> מאן דאמר לא מעכבא כרבי יהודה</w:t>
      </w:r>
      <w:r>
        <w:rPr>
          <w:rFonts w:hint="cs"/>
          <w:sz w:val="24"/>
          <w:szCs w:val="24"/>
          <w:rtl/>
        </w:rPr>
        <w:t>,</w:t>
      </w:r>
      <w:r w:rsidRPr="0083281A">
        <w:rPr>
          <w:sz w:val="24"/>
          <w:szCs w:val="24"/>
          <w:rtl/>
        </w:rPr>
        <w:t xml:space="preserve"> ומאן דאמר מעכבא</w:t>
      </w:r>
      <w:r>
        <w:rPr>
          <w:rFonts w:hint="cs"/>
          <w:sz w:val="24"/>
          <w:szCs w:val="24"/>
          <w:rtl/>
        </w:rPr>
        <w:t>,</w:t>
      </w:r>
      <w:r w:rsidRPr="0083281A">
        <w:rPr>
          <w:sz w:val="24"/>
          <w:szCs w:val="24"/>
          <w:rtl/>
        </w:rPr>
        <w:t xml:space="preserve"> שאני הכא דתנא ביה קרא </w:t>
      </w:r>
      <w:r>
        <w:rPr>
          <w:rFonts w:hint="cs"/>
          <w:sz w:val="24"/>
          <w:szCs w:val="24"/>
          <w:rtl/>
        </w:rPr>
        <w:t>'</w:t>
      </w:r>
      <w:r w:rsidRPr="0083281A">
        <w:rPr>
          <w:sz w:val="24"/>
          <w:szCs w:val="24"/>
          <w:rtl/>
        </w:rPr>
        <w:t>אשר עלה</w:t>
      </w:r>
      <w:r>
        <w:rPr>
          <w:rFonts w:hint="cs"/>
          <w:sz w:val="24"/>
          <w:szCs w:val="24"/>
          <w:rtl/>
        </w:rPr>
        <w:t>'</w:t>
      </w:r>
      <w:r w:rsidRPr="0083281A">
        <w:rPr>
          <w:sz w:val="24"/>
          <w:szCs w:val="24"/>
          <w:rtl/>
        </w:rPr>
        <w:t xml:space="preserve"> </w:t>
      </w:r>
      <w:r>
        <w:rPr>
          <w:rFonts w:hint="cs"/>
          <w:sz w:val="24"/>
          <w:szCs w:val="24"/>
          <w:rtl/>
        </w:rPr>
        <w:t>'</w:t>
      </w:r>
      <w:r w:rsidRPr="0083281A">
        <w:rPr>
          <w:sz w:val="24"/>
          <w:szCs w:val="24"/>
          <w:rtl/>
        </w:rPr>
        <w:t>אשר עלה</w:t>
      </w:r>
      <w:r>
        <w:rPr>
          <w:rFonts w:hint="cs"/>
          <w:sz w:val="24"/>
          <w:szCs w:val="24"/>
          <w:rtl/>
        </w:rPr>
        <w:t>'</w:t>
      </w:r>
      <w:r w:rsidRPr="0083281A">
        <w:rPr>
          <w:sz w:val="24"/>
          <w:szCs w:val="24"/>
          <w:rtl/>
        </w:rPr>
        <w:t xml:space="preserve"> תרי זימני</w:t>
      </w:r>
      <w:r>
        <w:rPr>
          <w:rFonts w:hint="cs"/>
          <w:sz w:val="24"/>
          <w:szCs w:val="24"/>
          <w:rtl/>
        </w:rPr>
        <w:t>.</w:t>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Pr>
          <w:rFonts w:hint="cs"/>
          <w:sz w:val="20"/>
          <w:szCs w:val="20"/>
          <w:rtl/>
        </w:rPr>
        <w:t>[שם]</w:t>
      </w:r>
    </w:p>
    <w:p w:rsidR="00C26E1A" w:rsidRDefault="00C26E1A" w:rsidP="00C26E1A">
      <w:pPr>
        <w:spacing w:line="276" w:lineRule="auto"/>
        <w:rPr>
          <w:sz w:val="24"/>
          <w:szCs w:val="24"/>
          <w:rtl/>
        </w:rPr>
      </w:pPr>
      <w:r>
        <w:rPr>
          <w:rFonts w:hint="cs"/>
          <w:sz w:val="24"/>
          <w:szCs w:val="24"/>
          <w:rtl/>
        </w:rPr>
        <w:t>לפי האפשרות הראשונה בגמרא, מחלוקת התנאים היא בדעת ר' נחמיה, הסובר שעבודות הנעשות בחוץ בבגדי לבן מעכבות. ר' יוחנן סובר שאף שבעלמא ר' נחמיה סובר שעבודות הנעשות בחוץ מעכבות, הגרלה אינה מעכבת משום שאינה עבודה. ר' ינאי לעומת זאת סובר, כך נראה, שההגרלה מוגדרת כעבודה</w:t>
      </w:r>
      <w:r>
        <w:rPr>
          <w:rStyle w:val="a7"/>
          <w:sz w:val="24"/>
          <w:szCs w:val="24"/>
          <w:rtl/>
        </w:rPr>
        <w:footnoteReference w:id="81"/>
      </w:r>
      <w:r>
        <w:rPr>
          <w:rFonts w:hint="cs"/>
          <w:sz w:val="24"/>
          <w:szCs w:val="24"/>
          <w:rtl/>
        </w:rPr>
        <w:t xml:space="preserve">, וזו הסיבה שר' נחמיה סובר שההגרלה מעכבת. לפי האפשרות השנייה בגמרא, המחלוקת היא בעמדת ר' יהודה, הסובר שעבודות הנעשות בחוץ בבגדי לבן אינן מעכבות. ר' ינאי סובר שאף שהגרלה אינה עבודת פנים, וממילא אינה אמורה לעכב לפי ר' יהודה, מכך שהתורה כפלה את האזכור בנוגע לקיומה של ההגרלה, ניתן ללמוד שהיא אכן מעכבת. ר' יוחנן חולק וסובר שאין במשמעות כפילות האזכור בכדי ללמד שההגרלה מעכבת. </w:t>
      </w:r>
    </w:p>
    <w:p w:rsidR="00C26E1A" w:rsidRDefault="00C26E1A" w:rsidP="00C26E1A">
      <w:pPr>
        <w:spacing w:line="276" w:lineRule="auto"/>
        <w:rPr>
          <w:sz w:val="24"/>
          <w:szCs w:val="24"/>
          <w:rtl/>
        </w:rPr>
      </w:pPr>
      <w:r>
        <w:rPr>
          <w:rFonts w:hint="cs"/>
          <w:sz w:val="24"/>
          <w:szCs w:val="24"/>
          <w:rtl/>
        </w:rPr>
        <w:t>קיים קושי יסודי בניסיון השוואת הגמרא בין מחלוקת התנאים בשאלה האם דברים הנעשים בחוץ בבגדי לבן מעכבים, ובין מחלוקת האמוראים בשאלה האם הגרלה מעכבת. שכן בעוד ביחס למחלוקת התנאים, השאלה היא רק ביחס לסדר בו נעשות הפעולות</w:t>
      </w:r>
      <w:r>
        <w:rPr>
          <w:rStyle w:val="a7"/>
          <w:sz w:val="24"/>
          <w:szCs w:val="24"/>
          <w:rtl/>
        </w:rPr>
        <w:footnoteReference w:id="82"/>
      </w:r>
      <w:r>
        <w:rPr>
          <w:rFonts w:hint="cs"/>
          <w:sz w:val="24"/>
          <w:szCs w:val="24"/>
          <w:rtl/>
        </w:rPr>
        <w:t xml:space="preserve">, אך עצם ביצוע הפעולות </w:t>
      </w:r>
      <w:r>
        <w:rPr>
          <w:rFonts w:hint="cs"/>
          <w:sz w:val="24"/>
          <w:szCs w:val="24"/>
          <w:rtl/>
        </w:rPr>
        <w:lastRenderedPageBreak/>
        <w:t>בוודאי מעכב אף לפי ר' יהודה, במחלוקת האמוראים השאלה היא האם עצם מעשה ההגרלה מעכב את סדר העבודה</w:t>
      </w:r>
      <w:r>
        <w:rPr>
          <w:rStyle w:val="a7"/>
          <w:sz w:val="24"/>
          <w:szCs w:val="24"/>
          <w:rtl/>
        </w:rPr>
        <w:footnoteReference w:id="83"/>
      </w:r>
      <w:r>
        <w:rPr>
          <w:rFonts w:hint="cs"/>
          <w:sz w:val="24"/>
          <w:szCs w:val="24"/>
          <w:rtl/>
        </w:rPr>
        <w:t>. אם כן, כיצד משווה הגמרא בין שתי המחלוקות הללו?</w:t>
      </w:r>
    </w:p>
    <w:p w:rsidR="00C26E1A" w:rsidRDefault="00C26E1A" w:rsidP="00C26E1A">
      <w:pPr>
        <w:spacing w:line="276" w:lineRule="auto"/>
        <w:rPr>
          <w:sz w:val="24"/>
          <w:szCs w:val="24"/>
          <w:rtl/>
        </w:rPr>
      </w:pPr>
      <w:r>
        <w:rPr>
          <w:rFonts w:hint="cs"/>
          <w:sz w:val="24"/>
          <w:szCs w:val="24"/>
          <w:rtl/>
        </w:rPr>
        <w:t>למעשה, התהייה ביחס בין עיכוב בסדר ובין עיכוב בעיקר המעשה בעבודות היום עולה במפורש בהמשך הסוגיה. הגמרא מקשה על שיטת ר' ינאי בלישנא השנייה, לפיה בין לר' יהודה ובין לר' נחמיה הגרלה מעכבת מברייתא:</w:t>
      </w:r>
    </w:p>
    <w:p w:rsidR="00C26E1A" w:rsidRPr="004747DF" w:rsidRDefault="00C26E1A" w:rsidP="0096770B">
      <w:pPr>
        <w:spacing w:line="276" w:lineRule="auto"/>
        <w:ind w:left="720"/>
        <w:rPr>
          <w:sz w:val="20"/>
          <w:szCs w:val="20"/>
          <w:rtl/>
        </w:rPr>
      </w:pPr>
      <w:r w:rsidRPr="009E2364">
        <w:rPr>
          <w:sz w:val="24"/>
          <w:szCs w:val="24"/>
          <w:rtl/>
        </w:rPr>
        <w:t>תא שמע</w:t>
      </w:r>
      <w:r>
        <w:rPr>
          <w:rFonts w:hint="cs"/>
          <w:sz w:val="24"/>
          <w:szCs w:val="24"/>
          <w:rtl/>
        </w:rPr>
        <w:t>,</w:t>
      </w:r>
      <w:r w:rsidRPr="009E2364">
        <w:rPr>
          <w:sz w:val="24"/>
          <w:szCs w:val="24"/>
          <w:rtl/>
        </w:rPr>
        <w:t xml:space="preserve"> פר מעכב את השעיר ושעיר אין מעכב את הפר במתנות שבפנים</w:t>
      </w:r>
      <w:r>
        <w:rPr>
          <w:rFonts w:hint="cs"/>
          <w:sz w:val="24"/>
          <w:szCs w:val="24"/>
          <w:rtl/>
        </w:rPr>
        <w:t>.</w:t>
      </w:r>
      <w:r w:rsidRPr="009E2364">
        <w:rPr>
          <w:sz w:val="24"/>
          <w:szCs w:val="24"/>
          <w:rtl/>
        </w:rPr>
        <w:t xml:space="preserve"> בשלמא פר מעכב את השעיר</w:t>
      </w:r>
      <w:r>
        <w:rPr>
          <w:rFonts w:hint="cs"/>
          <w:sz w:val="24"/>
          <w:szCs w:val="24"/>
          <w:rtl/>
        </w:rPr>
        <w:t>,</w:t>
      </w:r>
      <w:r w:rsidRPr="009E2364">
        <w:rPr>
          <w:sz w:val="24"/>
          <w:szCs w:val="24"/>
          <w:rtl/>
        </w:rPr>
        <w:t xml:space="preserve"> דאי אקדמיה לשעיר מקמי פר לא עבד ולא כלום</w:t>
      </w:r>
      <w:r>
        <w:rPr>
          <w:rFonts w:hint="cs"/>
          <w:sz w:val="24"/>
          <w:szCs w:val="24"/>
          <w:rtl/>
        </w:rPr>
        <w:t>,</w:t>
      </w:r>
      <w:r w:rsidRPr="009E2364">
        <w:rPr>
          <w:sz w:val="24"/>
          <w:szCs w:val="24"/>
          <w:rtl/>
        </w:rPr>
        <w:t xml:space="preserve"> אלא שעיר אין מעכב את הפר מאי ניהו</w:t>
      </w:r>
      <w:r>
        <w:rPr>
          <w:rFonts w:hint="cs"/>
          <w:sz w:val="24"/>
          <w:szCs w:val="24"/>
          <w:rtl/>
        </w:rPr>
        <w:t xml:space="preserve">... </w:t>
      </w:r>
      <w:r w:rsidRPr="009E2364">
        <w:rPr>
          <w:sz w:val="24"/>
          <w:szCs w:val="24"/>
          <w:rtl/>
        </w:rPr>
        <w:t>אלא לאו דאקדים מתנות דפר בפנים מקמי הגרלה</w:t>
      </w:r>
      <w:r>
        <w:rPr>
          <w:rFonts w:hint="cs"/>
          <w:sz w:val="24"/>
          <w:szCs w:val="24"/>
          <w:rtl/>
        </w:rPr>
        <w:t>,</w:t>
      </w:r>
      <w:r w:rsidRPr="009E2364">
        <w:rPr>
          <w:sz w:val="24"/>
          <w:szCs w:val="24"/>
          <w:rtl/>
        </w:rPr>
        <w:t xml:space="preserve"> </w:t>
      </w:r>
      <w:r w:rsidRPr="00E364AC">
        <w:rPr>
          <w:b/>
          <w:bCs/>
          <w:sz w:val="24"/>
          <w:szCs w:val="24"/>
          <w:rtl/>
        </w:rPr>
        <w:t>ומדסדרא לא מעכבא עיקרא הגרלה נמי לא מעכבא</w:t>
      </w:r>
      <w:r>
        <w:rPr>
          <w:rFonts w:hint="cs"/>
          <w:sz w:val="24"/>
          <w:szCs w:val="24"/>
          <w:rtl/>
        </w:rPr>
        <w:t>.</w:t>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rFonts w:hint="cs"/>
          <w:sz w:val="20"/>
          <w:szCs w:val="20"/>
          <w:rtl/>
        </w:rPr>
        <w:t xml:space="preserve">        </w:t>
      </w:r>
      <w:r>
        <w:rPr>
          <w:rFonts w:hint="cs"/>
          <w:sz w:val="20"/>
          <w:szCs w:val="20"/>
          <w:rtl/>
        </w:rPr>
        <w:t>[</w:t>
      </w:r>
      <w:r w:rsidR="0096770B">
        <w:rPr>
          <w:rFonts w:hint="cs"/>
          <w:sz w:val="20"/>
          <w:szCs w:val="20"/>
          <w:rtl/>
        </w:rPr>
        <w:t xml:space="preserve">יומא </w:t>
      </w:r>
      <w:r>
        <w:rPr>
          <w:rFonts w:hint="cs"/>
          <w:sz w:val="20"/>
          <w:szCs w:val="20"/>
          <w:rtl/>
        </w:rPr>
        <w:t>מ.]</w:t>
      </w:r>
    </w:p>
    <w:p w:rsidR="00C26E1A" w:rsidRDefault="00C26E1A" w:rsidP="00C26E1A">
      <w:pPr>
        <w:spacing w:line="276" w:lineRule="auto"/>
        <w:rPr>
          <w:sz w:val="24"/>
          <w:szCs w:val="24"/>
          <w:rtl/>
        </w:rPr>
      </w:pPr>
      <w:r>
        <w:rPr>
          <w:rFonts w:hint="cs"/>
          <w:sz w:val="24"/>
          <w:szCs w:val="24"/>
          <w:rtl/>
        </w:rPr>
        <w:t>מדברי הברייתא עולה שגם אם הקדים הכהן את מתנות הפר לפני ביצוע ההגרלה, הדבר אינו מעכב. על בסיס דברי הברייתא מסיקה הגמרא שאף מעשה ההגרלה עצמו אינו מעכב, וזאת על פי הטיעון ש"מדסדרא לא מעכבא, עיקרא הגרלה נמי לא מעכבא". הנה לפנינו, קובעת הגמרא באופן ברור שכיוון שסדר ההגרלה אינו מעכב, גם ההגרלה עצמה אינה מעכבת. ברם, בתירוץ הקושיה נראה שהגמרא חוזרת בה מהנחה זו:</w:t>
      </w:r>
    </w:p>
    <w:p w:rsidR="00C26E1A" w:rsidRDefault="00C26E1A" w:rsidP="00C26E1A">
      <w:pPr>
        <w:spacing w:line="276" w:lineRule="auto"/>
        <w:ind w:left="720"/>
        <w:rPr>
          <w:sz w:val="24"/>
          <w:szCs w:val="24"/>
          <w:rtl/>
        </w:rPr>
      </w:pPr>
      <w:r w:rsidRPr="009E2364">
        <w:rPr>
          <w:sz w:val="24"/>
          <w:szCs w:val="24"/>
          <w:rtl/>
        </w:rPr>
        <w:t>ואיבעית אימא</w:t>
      </w:r>
      <w:r>
        <w:rPr>
          <w:rFonts w:hint="cs"/>
          <w:sz w:val="24"/>
          <w:szCs w:val="24"/>
          <w:rtl/>
        </w:rPr>
        <w:t>,</w:t>
      </w:r>
      <w:r w:rsidRPr="009E2364">
        <w:rPr>
          <w:sz w:val="24"/>
          <w:szCs w:val="24"/>
          <w:rtl/>
        </w:rPr>
        <w:t xml:space="preserve"> לעולם רבי יהודה היא</w:t>
      </w:r>
      <w:r>
        <w:rPr>
          <w:rFonts w:hint="cs"/>
          <w:sz w:val="24"/>
          <w:szCs w:val="24"/>
          <w:rtl/>
        </w:rPr>
        <w:t>,</w:t>
      </w:r>
      <w:r w:rsidRPr="009E2364">
        <w:rPr>
          <w:sz w:val="24"/>
          <w:szCs w:val="24"/>
          <w:rtl/>
        </w:rPr>
        <w:t xml:space="preserve"> ונהי דבסדרא לא מעכבא הגרלה מיהא מעכבא</w:t>
      </w:r>
      <w:r>
        <w:rPr>
          <w:rFonts w:hint="cs"/>
          <w:sz w:val="24"/>
          <w:szCs w:val="24"/>
          <w:rtl/>
        </w:rPr>
        <w:t>.</w:t>
      </w:r>
    </w:p>
    <w:p w:rsidR="00C26E1A" w:rsidRPr="003B59D6" w:rsidRDefault="00C26E1A" w:rsidP="00C26E1A">
      <w:pPr>
        <w:spacing w:line="276" w:lineRule="auto"/>
        <w:ind w:left="720"/>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t xml:space="preserve">הגמרא מסיקה שאף שמהברייתא עולה שסדר ההגרלה אינו מעכב, מעשה ההגרלה עצמו אכן מעכב, והברייתא שנויה בשיטת ר' יהודה. </w:t>
      </w:r>
    </w:p>
    <w:p w:rsidR="00C26E1A" w:rsidRDefault="00C26E1A" w:rsidP="00C26E1A">
      <w:pPr>
        <w:spacing w:line="276" w:lineRule="auto"/>
        <w:rPr>
          <w:sz w:val="24"/>
          <w:szCs w:val="24"/>
          <w:rtl/>
        </w:rPr>
      </w:pPr>
      <w:r>
        <w:rPr>
          <w:rFonts w:hint="cs"/>
          <w:sz w:val="24"/>
          <w:szCs w:val="24"/>
          <w:rtl/>
        </w:rPr>
        <w:t>מסתבר, שאכן בשלב הראשון של הסוגיה הנחת הגמרא הייתה שאם סדר ההגרלה אינו מעכב, אף מעשה ההגרלה עצמו אינו מעכב, וכפי שעולה מהנחה העומדת בבסיס קושיית הגמרא לעיל. ההצדקה היחידה לומר שהגרלה תעכב בשלב זה של הסוגיה היא שהיא מוגדרת כ'חוקה', ולכן הסדר בו היא נעשית משמעותי, וכמובן שגם ההגרלה עצמה מעכבת. במידה וההגרלה אינה מוגדרת כ'חוקה', אין כל סיבה להניח שהיא תעכב</w:t>
      </w:r>
      <w:r>
        <w:rPr>
          <w:rStyle w:val="a7"/>
          <w:sz w:val="24"/>
          <w:szCs w:val="24"/>
          <w:rtl/>
        </w:rPr>
        <w:footnoteReference w:id="84"/>
      </w:r>
      <w:r>
        <w:rPr>
          <w:rFonts w:hint="cs"/>
          <w:sz w:val="24"/>
          <w:szCs w:val="24"/>
          <w:rtl/>
        </w:rPr>
        <w:t>.</w:t>
      </w:r>
    </w:p>
    <w:p w:rsidR="00C26E1A" w:rsidRDefault="00C26E1A" w:rsidP="00C26E1A">
      <w:pPr>
        <w:spacing w:line="276" w:lineRule="auto"/>
        <w:rPr>
          <w:sz w:val="24"/>
          <w:szCs w:val="24"/>
          <w:rtl/>
        </w:rPr>
      </w:pPr>
      <w:r>
        <w:rPr>
          <w:rFonts w:hint="cs"/>
          <w:sz w:val="24"/>
          <w:szCs w:val="24"/>
          <w:rtl/>
        </w:rPr>
        <w:t>נראה שכך ביארו תוספות את דברי הגמרא בראשית הסוגיה. לפי הלישנא השנייה, הסוברת שהאמוראים נחלקו בשיטת ר' יהודה, מתבקש היה לומר שלכולי עלמא ההגרלה אינה מוגדרת כ'חוקה', כיוון שהיא נעשית בחוץ, אלא שר' ינאי סובר שכפילות האזכור בפסוק מלמדת שההגרלה מעכבת אף שאינה 'חוקה'. אולם תוספות כותבים:</w:t>
      </w:r>
    </w:p>
    <w:p w:rsidR="00C26E1A" w:rsidRPr="005F245F" w:rsidRDefault="00C26E1A" w:rsidP="0096770B">
      <w:pPr>
        <w:spacing w:line="276" w:lineRule="auto"/>
        <w:ind w:left="720"/>
        <w:rPr>
          <w:sz w:val="20"/>
          <w:szCs w:val="20"/>
          <w:rtl/>
        </w:rPr>
      </w:pPr>
      <w:r w:rsidRPr="005F245F">
        <w:rPr>
          <w:sz w:val="24"/>
          <w:szCs w:val="24"/>
          <w:rtl/>
        </w:rPr>
        <w:t>ומאן דאמר לא מעכבת סבירא ליה כיון דלא כתב צווי אף על גב דתנא ביה קרא לא מעכבא</w:t>
      </w:r>
      <w:r>
        <w:rPr>
          <w:rFonts w:hint="cs"/>
          <w:sz w:val="24"/>
          <w:szCs w:val="24"/>
          <w:rtl/>
        </w:rPr>
        <w:t>,</w:t>
      </w:r>
      <w:r w:rsidRPr="005F245F">
        <w:rPr>
          <w:sz w:val="24"/>
          <w:szCs w:val="24"/>
          <w:rtl/>
        </w:rPr>
        <w:t xml:space="preserve"> מידי דהוה אבלילה דתנן אם לא בלל כשר אף על גב דכמה זימנין כתיב בלילה בלילה</w:t>
      </w:r>
      <w:r>
        <w:rPr>
          <w:rFonts w:hint="cs"/>
          <w:sz w:val="24"/>
          <w:szCs w:val="24"/>
          <w:rtl/>
        </w:rPr>
        <w:t>,</w:t>
      </w:r>
      <w:r w:rsidRPr="005F245F">
        <w:rPr>
          <w:sz w:val="24"/>
          <w:szCs w:val="24"/>
          <w:rtl/>
        </w:rPr>
        <w:t xml:space="preserve"> אלא כיון דלא כתיב בלשון צווי לא מעכבא</w:t>
      </w:r>
      <w:r>
        <w:rPr>
          <w:rFonts w:hint="cs"/>
          <w:sz w:val="24"/>
          <w:szCs w:val="24"/>
          <w:rtl/>
        </w:rPr>
        <w:t>.</w:t>
      </w:r>
      <w:r w:rsidRPr="005F245F">
        <w:rPr>
          <w:sz w:val="24"/>
          <w:szCs w:val="24"/>
          <w:rtl/>
        </w:rPr>
        <w:t xml:space="preserve"> ולמאן דאמר מעכבא לא דמי לבלילה</w:t>
      </w:r>
      <w:r>
        <w:rPr>
          <w:rFonts w:hint="cs"/>
          <w:sz w:val="24"/>
          <w:szCs w:val="24"/>
          <w:rtl/>
        </w:rPr>
        <w:t>,</w:t>
      </w:r>
      <w:r w:rsidRPr="005F245F">
        <w:rPr>
          <w:sz w:val="24"/>
          <w:szCs w:val="24"/>
          <w:rtl/>
        </w:rPr>
        <w:t xml:space="preserve"> דשאני הכא דאהני חוקה קצת</w:t>
      </w:r>
      <w:r>
        <w:rPr>
          <w:rFonts w:hint="cs"/>
          <w:sz w:val="24"/>
          <w:szCs w:val="24"/>
          <w:rtl/>
        </w:rPr>
        <w:t>,</w:t>
      </w:r>
      <w:r w:rsidRPr="005F245F">
        <w:rPr>
          <w:sz w:val="24"/>
          <w:szCs w:val="24"/>
          <w:rtl/>
        </w:rPr>
        <w:t xml:space="preserve"> כיון דמחוקה גמרינן לעיכובא לשאר מילי שבפרשה גמרינן נמי מינה להגרלה כיון דתנא בה קרא כל דהו.</w:t>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rFonts w:hint="cs"/>
          <w:sz w:val="20"/>
          <w:szCs w:val="20"/>
          <w:rtl/>
        </w:rPr>
        <w:t xml:space="preserve">  </w:t>
      </w:r>
      <w:r>
        <w:rPr>
          <w:rFonts w:hint="cs"/>
          <w:sz w:val="20"/>
          <w:szCs w:val="20"/>
          <w:rtl/>
        </w:rPr>
        <w:t>[תוספות לט: ד"ה דתנא]</w:t>
      </w:r>
    </w:p>
    <w:p w:rsidR="00C26E1A" w:rsidRDefault="00C26E1A" w:rsidP="00C26E1A">
      <w:pPr>
        <w:spacing w:line="276" w:lineRule="auto"/>
        <w:rPr>
          <w:sz w:val="24"/>
          <w:szCs w:val="24"/>
          <w:rtl/>
        </w:rPr>
      </w:pPr>
      <w:r>
        <w:rPr>
          <w:rFonts w:hint="cs"/>
          <w:sz w:val="24"/>
          <w:szCs w:val="24"/>
          <w:rtl/>
        </w:rPr>
        <w:t>תוספות סוברים שלפי ר' ינאי, כפילות האזכור בפסוק מלמדת שההגרלה היא חלק ממערכת ה'חוקה', וזוהי הסיבה שההגרלה מעכבת לשיטת ר' יהודה. יוצא, שלפי שתי הלישנות ההצדקה האפשרית היחידה לומר שהגרלה מעכבת היא משום שהיא חלק ממערכת ה'חוקה'. אם מבינים שההגרלה אינה מהווה חלק מה'חוקה', אין כל סיבה להניח שהיא תעכב.</w:t>
      </w:r>
    </w:p>
    <w:p w:rsidR="00C26E1A" w:rsidRDefault="00C26E1A" w:rsidP="00C26E1A">
      <w:pPr>
        <w:spacing w:line="276" w:lineRule="auto"/>
        <w:rPr>
          <w:sz w:val="24"/>
          <w:szCs w:val="24"/>
          <w:rtl/>
        </w:rPr>
      </w:pPr>
      <w:r>
        <w:rPr>
          <w:rFonts w:hint="cs"/>
          <w:sz w:val="24"/>
          <w:szCs w:val="24"/>
          <w:rtl/>
        </w:rPr>
        <w:t>כאמור, במהלך הסוגיה מתברר שקיימת אפשרות אחרת להבנת שיטת ר' ינאי, הסובר שאף לפי ר' יהודה ההגרלה מעכבת. הגמרא מצטטת ברייתא התומכת בעמדה זו:</w:t>
      </w:r>
    </w:p>
    <w:p w:rsidR="00C26E1A" w:rsidRPr="00627DA6" w:rsidRDefault="00C26E1A" w:rsidP="0096770B">
      <w:pPr>
        <w:spacing w:line="276" w:lineRule="auto"/>
        <w:ind w:left="720"/>
        <w:rPr>
          <w:sz w:val="20"/>
          <w:szCs w:val="20"/>
          <w:rtl/>
        </w:rPr>
      </w:pPr>
      <w:r>
        <w:rPr>
          <w:rFonts w:hint="cs"/>
          <w:sz w:val="24"/>
          <w:szCs w:val="24"/>
          <w:rtl/>
        </w:rPr>
        <w:t>'</w:t>
      </w:r>
      <w:r w:rsidRPr="00627DA6">
        <w:rPr>
          <w:sz w:val="24"/>
          <w:szCs w:val="24"/>
          <w:rtl/>
        </w:rPr>
        <w:t>ועשהו חטאת</w:t>
      </w:r>
      <w:r>
        <w:rPr>
          <w:rFonts w:hint="cs"/>
          <w:sz w:val="24"/>
          <w:szCs w:val="24"/>
          <w:rtl/>
        </w:rPr>
        <w:t xml:space="preserve">' </w:t>
      </w:r>
      <w:r>
        <w:rPr>
          <w:sz w:val="24"/>
          <w:szCs w:val="24"/>
          <w:rtl/>
        </w:rPr>
        <w:t>–</w:t>
      </w:r>
      <w:r w:rsidRPr="00627DA6">
        <w:rPr>
          <w:sz w:val="24"/>
          <w:szCs w:val="24"/>
          <w:rtl/>
        </w:rPr>
        <w:t xml:space="preserve"> הגורל עושהו חטאת ואין השם עושהו חטאת</w:t>
      </w:r>
      <w:r>
        <w:rPr>
          <w:rFonts w:hint="cs"/>
          <w:sz w:val="24"/>
          <w:szCs w:val="24"/>
          <w:rtl/>
        </w:rPr>
        <w:t>.</w:t>
      </w:r>
      <w:r w:rsidR="0096770B">
        <w:rPr>
          <w:sz w:val="20"/>
          <w:szCs w:val="20"/>
          <w:rtl/>
        </w:rPr>
        <w:tab/>
      </w:r>
      <w:r w:rsidR="0096770B">
        <w:rPr>
          <w:sz w:val="20"/>
          <w:szCs w:val="20"/>
          <w:rtl/>
        </w:rPr>
        <w:tab/>
      </w:r>
      <w:r w:rsidR="0096770B">
        <w:rPr>
          <w:rFonts w:hint="cs"/>
          <w:sz w:val="20"/>
          <w:szCs w:val="20"/>
          <w:rtl/>
        </w:rPr>
        <w:t xml:space="preserve">        </w:t>
      </w:r>
      <w:r>
        <w:rPr>
          <w:rFonts w:hint="cs"/>
          <w:sz w:val="20"/>
          <w:szCs w:val="20"/>
          <w:rtl/>
        </w:rPr>
        <w:t>[</w:t>
      </w:r>
      <w:r w:rsidR="0096770B">
        <w:rPr>
          <w:rFonts w:hint="cs"/>
          <w:sz w:val="20"/>
          <w:szCs w:val="20"/>
          <w:rtl/>
        </w:rPr>
        <w:t xml:space="preserve">יומא </w:t>
      </w:r>
      <w:r>
        <w:rPr>
          <w:rFonts w:hint="cs"/>
          <w:sz w:val="20"/>
          <w:szCs w:val="20"/>
          <w:rtl/>
        </w:rPr>
        <w:t>מ:]</w:t>
      </w:r>
    </w:p>
    <w:p w:rsidR="00C26E1A" w:rsidRDefault="00C26E1A" w:rsidP="00C26E1A">
      <w:pPr>
        <w:spacing w:line="276" w:lineRule="auto"/>
        <w:rPr>
          <w:sz w:val="24"/>
          <w:szCs w:val="24"/>
          <w:rtl/>
        </w:rPr>
      </w:pPr>
      <w:r>
        <w:rPr>
          <w:rFonts w:hint="cs"/>
          <w:sz w:val="24"/>
          <w:szCs w:val="24"/>
          <w:rtl/>
        </w:rPr>
        <w:lastRenderedPageBreak/>
        <w:t xml:space="preserve">משמעות דברי הברייתא היא, שישנה דרישה שהגורל ייקבע את מעמד השעיר כשעיר חטאת לה', ולא הכהן הגדול. לכן, אף שההגרלה אינה מוגדרת כ'חוקה', היא מעכבת משום שהתורה הקפידה על כך שהגורל הוא זה שייקבע את מעמד השעירים. </w:t>
      </w:r>
    </w:p>
    <w:p w:rsidR="00C26E1A" w:rsidRDefault="00C26E1A" w:rsidP="00C26E1A">
      <w:pPr>
        <w:spacing w:line="276" w:lineRule="auto"/>
        <w:rPr>
          <w:sz w:val="24"/>
          <w:szCs w:val="24"/>
          <w:rtl/>
        </w:rPr>
      </w:pPr>
      <w:r>
        <w:rPr>
          <w:rFonts w:hint="cs"/>
          <w:sz w:val="24"/>
          <w:szCs w:val="24"/>
          <w:rtl/>
        </w:rPr>
        <w:t xml:space="preserve">יוצא אפוא, שקיימות שתי דרכים עקרוניות להבנת המחלוקת בשאלה האם הגרלה מעכבת. לפי האפשרות הראשונה, השאלה האם הגרלה מעכבת תלויה בשאלה האם ההגרלה היא חלק מה'חוקה'. לפי האפשרות השנייה, ההגרלה אינה חלק מה'חוקה', והשאלה היא האם התורה הקפידה על כך שמעמד השעיר ייקבע על פי הגורל בלבד. נראה שבין שתי הדרכים הללו להבנת המחלוקת, קיימת נפקא מינה מעשית. </w:t>
      </w:r>
    </w:p>
    <w:p w:rsidR="00C26E1A" w:rsidRDefault="00C26E1A" w:rsidP="00C26E1A">
      <w:pPr>
        <w:spacing w:line="276" w:lineRule="auto"/>
        <w:rPr>
          <w:sz w:val="24"/>
          <w:szCs w:val="24"/>
          <w:rtl/>
        </w:rPr>
      </w:pPr>
      <w:r>
        <w:rPr>
          <w:rFonts w:hint="cs"/>
          <w:sz w:val="24"/>
          <w:szCs w:val="24"/>
          <w:rtl/>
        </w:rPr>
        <w:t>החזון איש התלבט בשאלה, מה הדין במקרה בו הכהן הקדיש את השעירים לה' ולעזאזל ללא הגרלה למאן דאמר הגרלה מעכבת:</w:t>
      </w:r>
    </w:p>
    <w:p w:rsidR="00C26E1A" w:rsidRPr="003F1046" w:rsidRDefault="00C26E1A" w:rsidP="0096770B">
      <w:pPr>
        <w:spacing w:line="276" w:lineRule="auto"/>
        <w:ind w:left="720"/>
        <w:rPr>
          <w:sz w:val="20"/>
          <w:szCs w:val="20"/>
          <w:rtl/>
        </w:rPr>
      </w:pPr>
      <w:r>
        <w:rPr>
          <w:rFonts w:hint="cs"/>
          <w:sz w:val="24"/>
          <w:szCs w:val="24"/>
          <w:rtl/>
        </w:rPr>
        <w:t>יש לעיין אם העיכוב הוא מחמת חסרון מצות הגרלה אבל השעירים נתפשו בשם, וא"כ אינם ראוים עוד להגרלה ויביא אחרין, או דלמא דקריאת שם לא עשתה ולא כלום ויוכל להגריל עליהם עתה.</w:t>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rFonts w:hint="cs"/>
          <w:sz w:val="20"/>
          <w:szCs w:val="20"/>
          <w:rtl/>
        </w:rPr>
        <w:t xml:space="preserve">   </w:t>
      </w:r>
      <w:r>
        <w:rPr>
          <w:rFonts w:hint="cs"/>
          <w:sz w:val="20"/>
          <w:szCs w:val="20"/>
          <w:rtl/>
        </w:rPr>
        <w:t>[חזון איש או"ח קכו כה]</w:t>
      </w:r>
    </w:p>
    <w:p w:rsidR="00C26E1A" w:rsidRDefault="00C26E1A" w:rsidP="00C26E1A">
      <w:pPr>
        <w:spacing w:line="276" w:lineRule="auto"/>
        <w:rPr>
          <w:sz w:val="24"/>
          <w:szCs w:val="24"/>
          <w:rtl/>
        </w:rPr>
      </w:pPr>
      <w:r>
        <w:rPr>
          <w:rFonts w:hint="cs"/>
          <w:sz w:val="24"/>
          <w:szCs w:val="24"/>
          <w:rtl/>
        </w:rPr>
        <w:t>האפשרות הראשונה שהחזון איש מעלה היא שהקדשת הכהן הגדול אכן תקבע את מעמדם של השעירים, אך משום שהגרלה מעכבת, לא ניתן יהיה להשתמש בשעירים אלו, והכהן הגדול יאלץ לקחת שעירים נוספים ולערוך את ההגרלה עליהם. לפי האפשרות השנייה, הקביעה שהגרלה מעכבת  מורה שאין כל משמעות להקדשת הכהן. ולכן, במידה והכהן יקדיש את השעירים, לא ייקבע שמם כלל, ויהיה ניתן לערוך את ההגרלה על אותם שעירים</w:t>
      </w:r>
      <w:r>
        <w:rPr>
          <w:rStyle w:val="a7"/>
          <w:sz w:val="24"/>
          <w:szCs w:val="24"/>
          <w:rtl/>
        </w:rPr>
        <w:footnoteReference w:id="85"/>
      </w:r>
      <w:r>
        <w:rPr>
          <w:rFonts w:hint="cs"/>
          <w:sz w:val="24"/>
          <w:szCs w:val="24"/>
          <w:rtl/>
        </w:rPr>
        <w:t xml:space="preserve">.  </w:t>
      </w:r>
    </w:p>
    <w:p w:rsidR="00C26E1A" w:rsidRDefault="00C26E1A" w:rsidP="00C26E1A">
      <w:pPr>
        <w:spacing w:line="276" w:lineRule="auto"/>
        <w:rPr>
          <w:sz w:val="24"/>
          <w:szCs w:val="24"/>
          <w:rtl/>
        </w:rPr>
      </w:pPr>
      <w:r>
        <w:rPr>
          <w:rFonts w:hint="cs"/>
          <w:sz w:val="24"/>
          <w:szCs w:val="24"/>
          <w:rtl/>
        </w:rPr>
        <w:t>נראה שקיימת התלבטות מקבילה אף למאן דאמר הגרלה אינה מעכבת. מה יהיה הדין במקרה שלאחר שקבעה ההגרלה את זהות השעירים, הכהן הגדול רוצה לשנות את זהותם? בתוספתא קיימת התייחסות מפורשת לשאלה זו:</w:t>
      </w:r>
    </w:p>
    <w:p w:rsidR="00C26E1A" w:rsidRPr="0094354C" w:rsidRDefault="00C26E1A" w:rsidP="0096770B">
      <w:pPr>
        <w:spacing w:line="276" w:lineRule="auto"/>
        <w:ind w:left="720"/>
        <w:rPr>
          <w:sz w:val="20"/>
          <w:szCs w:val="20"/>
          <w:rtl/>
        </w:rPr>
      </w:pPr>
      <w:r w:rsidRPr="0094354C">
        <w:rPr>
          <w:sz w:val="24"/>
          <w:szCs w:val="24"/>
          <w:rtl/>
        </w:rPr>
        <w:t>שני שעירי יום הכפורים מצותן בהגריל</w:t>
      </w:r>
      <w:r>
        <w:rPr>
          <w:rFonts w:hint="cs"/>
          <w:sz w:val="24"/>
          <w:szCs w:val="24"/>
          <w:rtl/>
        </w:rPr>
        <w:t>.</w:t>
      </w:r>
      <w:r w:rsidRPr="0094354C">
        <w:rPr>
          <w:sz w:val="24"/>
          <w:szCs w:val="24"/>
          <w:rtl/>
        </w:rPr>
        <w:t xml:space="preserve"> לא הגריל עליו אפי' הכי כשרין</w:t>
      </w:r>
      <w:r>
        <w:rPr>
          <w:rFonts w:hint="cs"/>
          <w:sz w:val="24"/>
          <w:szCs w:val="24"/>
          <w:rtl/>
        </w:rPr>
        <w:t>.</w:t>
      </w:r>
      <w:r w:rsidRPr="0094354C">
        <w:rPr>
          <w:sz w:val="24"/>
          <w:szCs w:val="24"/>
          <w:rtl/>
        </w:rPr>
        <w:t xml:space="preserve"> הגרלן באהרן אפי' בכהן הדיוט כשרים</w:t>
      </w:r>
      <w:r>
        <w:rPr>
          <w:rFonts w:hint="cs"/>
          <w:sz w:val="24"/>
          <w:szCs w:val="24"/>
          <w:rtl/>
        </w:rPr>
        <w:t>.</w:t>
      </w:r>
      <w:r w:rsidRPr="0094354C">
        <w:rPr>
          <w:sz w:val="24"/>
          <w:szCs w:val="24"/>
          <w:rtl/>
        </w:rPr>
        <w:t xml:space="preserve"> שני שעירי יום הכפורים עד שלא הגריל עליהן רשיי לשנותן לדבר אחר</w:t>
      </w:r>
      <w:r>
        <w:rPr>
          <w:rFonts w:hint="cs"/>
          <w:sz w:val="24"/>
          <w:szCs w:val="24"/>
          <w:rtl/>
        </w:rPr>
        <w:t>,</w:t>
      </w:r>
      <w:r w:rsidRPr="0094354C">
        <w:rPr>
          <w:sz w:val="24"/>
          <w:szCs w:val="24"/>
          <w:rtl/>
        </w:rPr>
        <w:t xml:space="preserve"> משהגריל עליהן אין רשיי לשנותן לדבר אחר</w:t>
      </w:r>
      <w:r>
        <w:rPr>
          <w:rFonts w:hint="cs"/>
          <w:sz w:val="24"/>
          <w:szCs w:val="24"/>
          <w:rtl/>
        </w:rPr>
        <w:t>.</w:t>
      </w:r>
      <w:r w:rsidR="0096770B">
        <w:rPr>
          <w:sz w:val="20"/>
          <w:szCs w:val="20"/>
          <w:rtl/>
        </w:rPr>
        <w:tab/>
      </w:r>
      <w:r w:rsidR="0096770B">
        <w:rPr>
          <w:sz w:val="20"/>
          <w:szCs w:val="20"/>
          <w:rtl/>
        </w:rPr>
        <w:tab/>
      </w:r>
      <w:r w:rsidR="0096770B">
        <w:rPr>
          <w:sz w:val="20"/>
          <w:szCs w:val="20"/>
          <w:rtl/>
        </w:rPr>
        <w:tab/>
      </w:r>
      <w:r w:rsidR="0096770B">
        <w:rPr>
          <w:rFonts w:hint="cs"/>
          <w:sz w:val="20"/>
          <w:szCs w:val="20"/>
          <w:rtl/>
        </w:rPr>
        <w:t xml:space="preserve">          </w:t>
      </w:r>
      <w:r>
        <w:rPr>
          <w:rFonts w:hint="cs"/>
          <w:sz w:val="20"/>
          <w:szCs w:val="20"/>
          <w:rtl/>
        </w:rPr>
        <w:t>[תוספתא פ"ג ה"י]</w:t>
      </w:r>
    </w:p>
    <w:p w:rsidR="00C26E1A" w:rsidRDefault="00C26E1A" w:rsidP="00C26E1A">
      <w:pPr>
        <w:spacing w:line="276" w:lineRule="auto"/>
        <w:rPr>
          <w:sz w:val="24"/>
          <w:szCs w:val="24"/>
          <w:rtl/>
        </w:rPr>
      </w:pPr>
      <w:r>
        <w:rPr>
          <w:rFonts w:hint="cs"/>
          <w:sz w:val="24"/>
          <w:szCs w:val="24"/>
          <w:rtl/>
        </w:rPr>
        <w:t xml:space="preserve">מחד, בתחילת דברי התוספתא מבואר שהגרלה אינה מעכבת. מאידך, התוספתא מסיימת בכך שלאחר ההגרלה אין הכהן "רשאי לשנותן לדבר אחר". </w:t>
      </w:r>
    </w:p>
    <w:p w:rsidR="00C26E1A" w:rsidRDefault="00C26E1A" w:rsidP="00C26E1A">
      <w:pPr>
        <w:spacing w:line="276" w:lineRule="auto"/>
        <w:rPr>
          <w:sz w:val="24"/>
          <w:szCs w:val="24"/>
          <w:rtl/>
        </w:rPr>
      </w:pPr>
      <w:r>
        <w:rPr>
          <w:rFonts w:hint="cs"/>
          <w:sz w:val="24"/>
          <w:szCs w:val="24"/>
          <w:rtl/>
        </w:rPr>
        <w:t>לעומת זאת, מפשט דברי הגמרא עולה גישה הפוכה:</w:t>
      </w:r>
    </w:p>
    <w:p w:rsidR="00C26E1A" w:rsidRPr="003C284C" w:rsidRDefault="00C26E1A" w:rsidP="0096770B">
      <w:pPr>
        <w:spacing w:line="276" w:lineRule="auto"/>
        <w:ind w:left="720"/>
        <w:rPr>
          <w:sz w:val="20"/>
          <w:szCs w:val="20"/>
          <w:rtl/>
        </w:rPr>
      </w:pPr>
      <w:r w:rsidRPr="00BD2F3B">
        <w:rPr>
          <w:sz w:val="24"/>
          <w:szCs w:val="24"/>
          <w:rtl/>
        </w:rPr>
        <w:t>תא שמע</w:t>
      </w:r>
      <w:r>
        <w:rPr>
          <w:rFonts w:hint="cs"/>
          <w:sz w:val="24"/>
          <w:szCs w:val="24"/>
          <w:rtl/>
        </w:rPr>
        <w:t>,</w:t>
      </w:r>
      <w:r w:rsidRPr="00BD2F3B">
        <w:rPr>
          <w:sz w:val="24"/>
          <w:szCs w:val="24"/>
          <w:rtl/>
        </w:rPr>
        <w:t xml:space="preserve"> שאלו תלמידיו את רבי עקיבא</w:t>
      </w:r>
      <w:r>
        <w:rPr>
          <w:rFonts w:hint="cs"/>
          <w:sz w:val="24"/>
          <w:szCs w:val="24"/>
          <w:rtl/>
        </w:rPr>
        <w:t>:</w:t>
      </w:r>
      <w:r w:rsidRPr="00BD2F3B">
        <w:rPr>
          <w:sz w:val="24"/>
          <w:szCs w:val="24"/>
          <w:rtl/>
        </w:rPr>
        <w:t xml:space="preserve"> עלה בשמאל מהו שיחזור לימין</w:t>
      </w:r>
      <w:r>
        <w:rPr>
          <w:rFonts w:hint="cs"/>
          <w:sz w:val="24"/>
          <w:szCs w:val="24"/>
          <w:rtl/>
        </w:rPr>
        <w:t>?</w:t>
      </w:r>
      <w:r w:rsidRPr="00BD2F3B">
        <w:rPr>
          <w:sz w:val="24"/>
          <w:szCs w:val="24"/>
          <w:rtl/>
        </w:rPr>
        <w:t xml:space="preserve"> אמר להן</w:t>
      </w:r>
      <w:r>
        <w:rPr>
          <w:rFonts w:hint="cs"/>
          <w:sz w:val="24"/>
          <w:szCs w:val="24"/>
          <w:rtl/>
        </w:rPr>
        <w:t>:</w:t>
      </w:r>
      <w:r w:rsidRPr="00BD2F3B">
        <w:rPr>
          <w:sz w:val="24"/>
          <w:szCs w:val="24"/>
          <w:rtl/>
        </w:rPr>
        <w:t xml:space="preserve"> אל תתנו מקום לצדוקים</w:t>
      </w:r>
      <w:r>
        <w:rPr>
          <w:rFonts w:hint="cs"/>
          <w:sz w:val="24"/>
          <w:szCs w:val="24"/>
          <w:rtl/>
        </w:rPr>
        <w:t xml:space="preserve"> </w:t>
      </w:r>
      <w:r w:rsidRPr="00BD2F3B">
        <w:rPr>
          <w:sz w:val="24"/>
          <w:szCs w:val="24"/>
          <w:rtl/>
        </w:rPr>
        <w:t>לרדות</w:t>
      </w:r>
      <w:r>
        <w:rPr>
          <w:rFonts w:hint="cs"/>
          <w:sz w:val="24"/>
          <w:szCs w:val="24"/>
          <w:rtl/>
        </w:rPr>
        <w:t>.</w:t>
      </w:r>
      <w:r w:rsidRPr="00BD2F3B">
        <w:rPr>
          <w:sz w:val="24"/>
          <w:szCs w:val="24"/>
          <w:rtl/>
        </w:rPr>
        <w:t xml:space="preserve"> טעמא דאל תתנו מקום לצדוקים לרדות</w:t>
      </w:r>
      <w:r>
        <w:rPr>
          <w:rFonts w:hint="cs"/>
          <w:sz w:val="24"/>
          <w:szCs w:val="24"/>
          <w:rtl/>
        </w:rPr>
        <w:t>,</w:t>
      </w:r>
      <w:r w:rsidRPr="00BD2F3B">
        <w:rPr>
          <w:sz w:val="24"/>
          <w:szCs w:val="24"/>
          <w:rtl/>
        </w:rPr>
        <w:t xml:space="preserve"> הא לאו הכי מהדרינן ליה</w:t>
      </w:r>
      <w:r>
        <w:rPr>
          <w:rFonts w:hint="cs"/>
          <w:sz w:val="24"/>
          <w:szCs w:val="24"/>
          <w:rtl/>
        </w:rPr>
        <w:t>,</w:t>
      </w:r>
      <w:r w:rsidRPr="00BD2F3B">
        <w:rPr>
          <w:sz w:val="24"/>
          <w:szCs w:val="24"/>
          <w:rtl/>
        </w:rPr>
        <w:t xml:space="preserve"> והא אמרת הגרלה מעכבא</w:t>
      </w:r>
      <w:r>
        <w:rPr>
          <w:rFonts w:hint="cs"/>
          <w:sz w:val="24"/>
          <w:szCs w:val="24"/>
          <w:rtl/>
        </w:rPr>
        <w:t>,</w:t>
      </w:r>
      <w:r w:rsidRPr="00BD2F3B">
        <w:rPr>
          <w:sz w:val="24"/>
          <w:szCs w:val="24"/>
          <w:rtl/>
        </w:rPr>
        <w:t xml:space="preserve"> וכיון דקבעתיה שמאל היכי מהדרינן ליה</w:t>
      </w:r>
      <w:r>
        <w:rPr>
          <w:rFonts w:hint="cs"/>
          <w:sz w:val="24"/>
          <w:szCs w:val="24"/>
          <w:rtl/>
        </w:rPr>
        <w:t>?</w:t>
      </w:r>
      <w:r w:rsidR="0096770B">
        <w:rPr>
          <w:sz w:val="20"/>
          <w:szCs w:val="20"/>
          <w:rtl/>
        </w:rPr>
        <w:tab/>
      </w:r>
      <w:r w:rsidR="0096770B">
        <w:rPr>
          <w:rFonts w:hint="cs"/>
          <w:sz w:val="20"/>
          <w:szCs w:val="20"/>
          <w:rtl/>
        </w:rPr>
        <w:t xml:space="preserve">        </w:t>
      </w:r>
      <w:r>
        <w:rPr>
          <w:rFonts w:hint="cs"/>
          <w:sz w:val="20"/>
          <w:szCs w:val="20"/>
          <w:rtl/>
        </w:rPr>
        <w:t>[</w:t>
      </w:r>
      <w:r w:rsidR="0096770B">
        <w:rPr>
          <w:rFonts w:hint="cs"/>
          <w:sz w:val="20"/>
          <w:szCs w:val="20"/>
          <w:rtl/>
        </w:rPr>
        <w:t xml:space="preserve">יומא </w:t>
      </w:r>
      <w:r>
        <w:rPr>
          <w:rFonts w:hint="cs"/>
          <w:sz w:val="20"/>
          <w:szCs w:val="20"/>
          <w:rtl/>
        </w:rPr>
        <w:t>מ:]</w:t>
      </w:r>
    </w:p>
    <w:p w:rsidR="00C26E1A" w:rsidRDefault="00C26E1A" w:rsidP="00C26E1A">
      <w:pPr>
        <w:spacing w:line="276" w:lineRule="auto"/>
        <w:rPr>
          <w:sz w:val="24"/>
          <w:szCs w:val="24"/>
          <w:rtl/>
        </w:rPr>
      </w:pPr>
      <w:r>
        <w:rPr>
          <w:rFonts w:hint="cs"/>
          <w:sz w:val="24"/>
          <w:szCs w:val="24"/>
          <w:rtl/>
        </w:rPr>
        <w:t>על פי הבנת הגמרא את התוספתא עולה שהסיבה שהכהן לא רשאי לשנות את זהות השעירים לאחר ההגרלה היא רק משום "אל תתנו מקום לצדוקים לרדות". אך מעיקר הדין, למאן דאמר הגרלה אינה מעכבת, רשאי הכהן לשנות את מעמד השעירים אף לאחר שנעשתה הגרלה</w:t>
      </w:r>
      <w:r>
        <w:rPr>
          <w:rStyle w:val="a7"/>
          <w:sz w:val="24"/>
          <w:szCs w:val="24"/>
          <w:rtl/>
        </w:rPr>
        <w:footnoteReference w:id="86"/>
      </w:r>
      <w:r>
        <w:rPr>
          <w:rFonts w:hint="cs"/>
          <w:sz w:val="24"/>
          <w:szCs w:val="24"/>
          <w:rtl/>
        </w:rPr>
        <w:t xml:space="preserve">. נראה שלפי דברי הגמרא, למאן דאמר הגרלה אינה מעכבת, הכהן הגדול הוא זה שקובע בפועל את זהותם של השעירים, אלא שמצווה לכתחילה שקביעה זו תיעשה על פי מה שעלה בגורל. </w:t>
      </w:r>
    </w:p>
    <w:p w:rsidR="00C26E1A" w:rsidRDefault="00C26E1A" w:rsidP="00C26E1A">
      <w:pPr>
        <w:spacing w:line="276" w:lineRule="auto"/>
        <w:rPr>
          <w:sz w:val="24"/>
          <w:szCs w:val="24"/>
          <w:rtl/>
        </w:rPr>
      </w:pPr>
      <w:r>
        <w:rPr>
          <w:rFonts w:hint="cs"/>
          <w:sz w:val="24"/>
          <w:szCs w:val="24"/>
          <w:rtl/>
        </w:rPr>
        <w:t xml:space="preserve">נראה ששתי השאלות שהעלנו ביחס לגדר דין 'הגרלה מעכבת', תלויות בשני האופנים להבנת המחלוקת בדין זה. אם מבינים שהמחלוקת בשאלה האם הגרלה מעכבת תלויה בשאלה האם </w:t>
      </w:r>
      <w:r>
        <w:rPr>
          <w:rFonts w:hint="cs"/>
          <w:sz w:val="24"/>
          <w:szCs w:val="24"/>
          <w:rtl/>
        </w:rPr>
        <w:lastRenderedPageBreak/>
        <w:t xml:space="preserve">ההגרלה היא חלק מה'חוקה', מסתבר שבין האמוראים קיימת תמימות דעים בנוגע למעמד החלויות. בין למאן דאמר הגרלה מעכבת, ובין למאן דאמר הגרלה אינה מעכבת, גם הגורל וגם הכהן יכולים לקבוע את מעמד השעירים. המחלוקת בין האמוראים היא בשאלה האם יש הדרישה לכך שהשעירים שמהווים חלק מעבודת היום יהיו השעירים שקבע את מעמדם הגורל. אם ההגרלה הינה חלק מ'החוקה', היא חייבת להיות חלק מסדר עבודת היום. ואילו אם ההגרלה אינה חלק מה'חוקה', ניתן להשלים את מעמד קידוש השעירים גם בלעדיה. </w:t>
      </w:r>
    </w:p>
    <w:p w:rsidR="00C26E1A" w:rsidRDefault="00C26E1A" w:rsidP="00C26E1A">
      <w:pPr>
        <w:spacing w:line="276" w:lineRule="auto"/>
        <w:rPr>
          <w:sz w:val="24"/>
          <w:szCs w:val="24"/>
          <w:rtl/>
        </w:rPr>
      </w:pPr>
      <w:r>
        <w:rPr>
          <w:rFonts w:hint="cs"/>
          <w:sz w:val="24"/>
          <w:szCs w:val="24"/>
          <w:rtl/>
        </w:rPr>
        <w:t xml:space="preserve">ברם, אם מבינים כפי האפשרות השנייה, נראה שהמחלוקת נוגעת גם בשאלה בידי מי היכולת הבלעדית לקבוע את מעמד השעירים. למאן דאמר הגרלה מעכבת, למעשה, לכהן הגדול אין כל אפשרות לקבוע את מעמד השעירים. ולכן, אפילו אם הכהן עבר והקדיש את השעירים לה' ולעזאזל, אין בדבריו ממש, וניתן לחזור ולבצע את ההגרלה על אותם שעירים. מאן דאמר הגרלה אינה מעכבת סובר שגם אם הכהן ביצע את ההגרלה, בידו לשנות את זהות השעירים על פי רצונו. שכן לפי עמדה זו, דין 'ועשהו חטאת' מתייחס לכהן ולקריאת השם ולא לגורל. </w:t>
      </w:r>
    </w:p>
    <w:p w:rsidR="00C26E1A" w:rsidRDefault="00C26E1A" w:rsidP="00C26E1A">
      <w:pPr>
        <w:spacing w:line="276" w:lineRule="auto"/>
        <w:ind w:left="720"/>
        <w:rPr>
          <w:sz w:val="24"/>
          <w:szCs w:val="24"/>
          <w:rtl/>
        </w:rPr>
      </w:pPr>
    </w:p>
    <w:p w:rsidR="00C26E1A" w:rsidRDefault="00C26E1A" w:rsidP="00C26E1A">
      <w:pPr>
        <w:spacing w:line="276" w:lineRule="auto"/>
        <w:rPr>
          <w:sz w:val="24"/>
          <w:szCs w:val="24"/>
          <w:rtl/>
        </w:rPr>
      </w:pPr>
      <w:r>
        <w:rPr>
          <w:rFonts w:hint="cs"/>
          <w:sz w:val="24"/>
          <w:szCs w:val="24"/>
          <w:rtl/>
        </w:rPr>
        <w:t>נראה שניתן, אם כי אין בכך הכרח גמור, לחבר בין הדיון שערכנו בשיעור הנוכחי, ובין הדיון בו עסקנו בשיעור הקודם. ייתכן ששאלת מטרתה של ההגרלה, הקדשה או בירור גרידא, תלויה בשאלה איך מבינים את המחלוקת בדין 'הגרלה מעכבת'. לפי האפשרות הראשונה בהבנת המחלוקת, אם הגרלה היא חלק מה'חוקה' משום שהיא מוגדרת כעבודה וממילא מעכבת, ייתכן שאין לראות בה מעשה מקדש. זאת על פי דברי המאירי שראינו בשיעור הקודם שכותב בנוגע להגרלה שהיא "</w:t>
      </w:r>
      <w:r w:rsidRPr="00246957">
        <w:rPr>
          <w:rFonts w:ascii="Narkisim" w:hAnsi="Narkisim"/>
          <w:sz w:val="24"/>
          <w:szCs w:val="24"/>
          <w:rtl/>
        </w:rPr>
        <w:t>פסולה בכל אדם אף על פי שאינה עבודה גמורה</w:t>
      </w:r>
      <w:r>
        <w:rPr>
          <w:rFonts w:ascii="Narkisim" w:hAnsi="Narkisim" w:hint="cs"/>
          <w:sz w:val="24"/>
          <w:szCs w:val="24"/>
          <w:rtl/>
        </w:rPr>
        <w:t>,</w:t>
      </w:r>
      <w:r w:rsidRPr="00246957">
        <w:rPr>
          <w:rFonts w:ascii="Narkisim" w:hAnsi="Narkisim"/>
          <w:sz w:val="24"/>
          <w:szCs w:val="24"/>
          <w:rtl/>
        </w:rPr>
        <w:t xml:space="preserve"> שהרי </w:t>
      </w:r>
      <w:r w:rsidRPr="00D436DB">
        <w:rPr>
          <w:rFonts w:ascii="Narkisim" w:hAnsi="Narkisim"/>
          <w:sz w:val="24"/>
          <w:szCs w:val="24"/>
          <w:rtl/>
        </w:rPr>
        <w:t>אינה אלא כעין הקדש</w:t>
      </w:r>
      <w:r w:rsidRPr="00D436DB">
        <w:rPr>
          <w:rFonts w:hint="cs"/>
          <w:sz w:val="24"/>
          <w:szCs w:val="24"/>
          <w:rtl/>
        </w:rPr>
        <w:t>".</w:t>
      </w:r>
      <w:r>
        <w:rPr>
          <w:rFonts w:hint="cs"/>
          <w:sz w:val="24"/>
          <w:szCs w:val="24"/>
          <w:rtl/>
        </w:rPr>
        <w:t xml:space="preserve"> משמע מדבריו, שהאפשרות לראות בהגרלה מעשה מקדשת מבוססת על כך שהיא אינה עבודה, שכן פעולה מוגדרת כעבודה רק על דבר הקדוש בקדושתו השלמה. לעומת זאת, אם הגרלה אינה עבודה, וממילא אינה מוגדרת כחלק מה'חוקה' ואינה מעכבת, ניתן לומר שמעשה ההגרלה הוא מעשה מקדש. </w:t>
      </w:r>
    </w:p>
    <w:p w:rsidR="00C26E1A" w:rsidRDefault="00C26E1A" w:rsidP="00C26E1A">
      <w:pPr>
        <w:spacing w:line="276" w:lineRule="auto"/>
        <w:rPr>
          <w:sz w:val="24"/>
          <w:szCs w:val="24"/>
          <w:rtl/>
        </w:rPr>
      </w:pPr>
      <w:r>
        <w:rPr>
          <w:rFonts w:hint="cs"/>
          <w:sz w:val="24"/>
          <w:szCs w:val="24"/>
          <w:rtl/>
        </w:rPr>
        <w:t>לפי האפשרות השנייה בהבנת המחלוקת, אם מבינים שהגרלה אינה מעכבת, מסתבר שמטרת הגורל היא לברר מהו ייעודו של כל שעיר, אך ההקדשה נעשית על ידי הכהן עצמו. לעומת זאת, אם הגרלה מעכבת, מסתבר שאופי ההגרלה הוא שההגרלה גם מקדשת את השעירים, ומשמעות הכרזת הכהן היא מעין אשרור והכרה בקדושת השעירים שנקבעה על פי הגורלות</w:t>
      </w:r>
      <w:r>
        <w:rPr>
          <w:rStyle w:val="a7"/>
          <w:sz w:val="24"/>
          <w:szCs w:val="24"/>
          <w:rtl/>
        </w:rPr>
        <w:footnoteReference w:id="87"/>
      </w:r>
      <w:r>
        <w:rPr>
          <w:rFonts w:hint="cs"/>
          <w:sz w:val="24"/>
          <w:szCs w:val="24"/>
          <w:rtl/>
        </w:rPr>
        <w:t xml:space="preserve">. </w:t>
      </w:r>
    </w:p>
    <w:p w:rsidR="00C26E1A" w:rsidRDefault="00C26E1A" w:rsidP="00C26E1A">
      <w:pPr>
        <w:spacing w:line="276" w:lineRule="auto"/>
        <w:ind w:left="720"/>
        <w:rPr>
          <w:sz w:val="24"/>
          <w:szCs w:val="24"/>
          <w:rtl/>
        </w:rPr>
      </w:pPr>
    </w:p>
    <w:p w:rsidR="00C26E1A" w:rsidRDefault="00C26E1A" w:rsidP="00C26E1A">
      <w:pPr>
        <w:spacing w:line="276" w:lineRule="auto"/>
        <w:rPr>
          <w:sz w:val="24"/>
          <w:szCs w:val="24"/>
          <w:rtl/>
        </w:rPr>
      </w:pPr>
      <w:r>
        <w:rPr>
          <w:rFonts w:hint="cs"/>
          <w:sz w:val="24"/>
          <w:szCs w:val="24"/>
          <w:rtl/>
        </w:rPr>
        <w:t>בשולי הדברים, נציין לפסיקת הרמב"ם בסוגייתנו:</w:t>
      </w:r>
    </w:p>
    <w:p w:rsidR="00C26E1A" w:rsidRDefault="00C26E1A" w:rsidP="00C26E1A">
      <w:pPr>
        <w:spacing w:line="276" w:lineRule="auto"/>
        <w:ind w:left="720"/>
        <w:rPr>
          <w:sz w:val="24"/>
          <w:szCs w:val="24"/>
          <w:rtl/>
        </w:rPr>
      </w:pPr>
      <w:r w:rsidRPr="00973D62">
        <w:rPr>
          <w:sz w:val="24"/>
          <w:szCs w:val="24"/>
          <w:rtl/>
        </w:rPr>
        <w:t>ונותן שני הגורלות על שניהם, של ימין על ימין ושל שמאל על של שמאל, ואם לא נתן לא עיכב אלא שחיסר מצוה, שההנחה מצוה שאינה מעכבת וההגרלה מעכבת אף על פי שאינה עבודה, לפיכך ההנחה כשירה בזר והעליית הגורלות מן הקלפי פסולה בזר.</w:t>
      </w:r>
    </w:p>
    <w:p w:rsidR="00C26E1A" w:rsidRPr="00973D62" w:rsidRDefault="00C26E1A" w:rsidP="00C26E1A">
      <w:pPr>
        <w:spacing w:line="276" w:lineRule="auto"/>
        <w:ind w:left="1440"/>
        <w:jc w:val="right"/>
        <w:rPr>
          <w:sz w:val="20"/>
          <w:szCs w:val="20"/>
          <w:rtl/>
        </w:rPr>
      </w:pPr>
      <w:r>
        <w:rPr>
          <w:rFonts w:hint="cs"/>
          <w:sz w:val="20"/>
          <w:szCs w:val="20"/>
          <w:rtl/>
        </w:rPr>
        <w:t>[רמב"ם עבודת יום הכיפורים פ"ג ה"ג]</w:t>
      </w:r>
    </w:p>
    <w:p w:rsidR="00C26E1A" w:rsidRDefault="00C26E1A" w:rsidP="00C26E1A">
      <w:pPr>
        <w:spacing w:line="276" w:lineRule="auto"/>
        <w:rPr>
          <w:sz w:val="24"/>
          <w:szCs w:val="24"/>
          <w:rtl/>
        </w:rPr>
      </w:pPr>
      <w:r>
        <w:rPr>
          <w:rFonts w:hint="cs"/>
          <w:sz w:val="24"/>
          <w:szCs w:val="24"/>
          <w:rtl/>
        </w:rPr>
        <w:lastRenderedPageBreak/>
        <w:t xml:space="preserve">הרמב"ם פוסק שהגרלה מעכבת על אף שאינה עבודה, וכשיטת ר' ינאי בשיטת ר' יהודה בסוגייתנו. הרמב"ם מוסיף שמשום שההגרלה מעכבת </w:t>
      </w:r>
      <w:r>
        <w:rPr>
          <w:sz w:val="24"/>
          <w:szCs w:val="24"/>
          <w:rtl/>
        </w:rPr>
        <w:t>–</w:t>
      </w:r>
      <w:r>
        <w:rPr>
          <w:rFonts w:hint="cs"/>
          <w:sz w:val="24"/>
          <w:szCs w:val="24"/>
          <w:rtl/>
        </w:rPr>
        <w:t xml:space="preserve"> היא פסולה בזר</w:t>
      </w:r>
      <w:r>
        <w:rPr>
          <w:rStyle w:val="a7"/>
          <w:sz w:val="24"/>
          <w:szCs w:val="24"/>
          <w:rtl/>
        </w:rPr>
        <w:footnoteReference w:id="88"/>
      </w:r>
      <w:r>
        <w:rPr>
          <w:rFonts w:hint="cs"/>
          <w:sz w:val="24"/>
          <w:szCs w:val="24"/>
          <w:rtl/>
        </w:rPr>
        <w:t>. הלחם משנה על אתר התקשה במסקנה זו של הרמב"ם:</w:t>
      </w:r>
    </w:p>
    <w:p w:rsidR="00C26E1A" w:rsidRPr="005A2B36" w:rsidRDefault="00C26E1A" w:rsidP="0096770B">
      <w:pPr>
        <w:spacing w:line="276" w:lineRule="auto"/>
        <w:ind w:left="720"/>
        <w:rPr>
          <w:sz w:val="20"/>
          <w:szCs w:val="20"/>
          <w:rtl/>
        </w:rPr>
      </w:pPr>
      <w:r w:rsidRPr="005A2B36">
        <w:rPr>
          <w:sz w:val="24"/>
          <w:szCs w:val="24"/>
          <w:rtl/>
        </w:rPr>
        <w:t>וקשה דבפ</w:t>
      </w:r>
      <w:r>
        <w:rPr>
          <w:rFonts w:hint="cs"/>
          <w:sz w:val="24"/>
          <w:szCs w:val="24"/>
          <w:rtl/>
        </w:rPr>
        <w:t>רק</w:t>
      </w:r>
      <w:r w:rsidRPr="005A2B36">
        <w:rPr>
          <w:sz w:val="24"/>
          <w:szCs w:val="24"/>
          <w:rtl/>
        </w:rPr>
        <w:t xml:space="preserve"> טרף בקלפי אמרו בגמרא דשחיטת פרו לרב כשרה בזר</w:t>
      </w:r>
      <w:r>
        <w:rPr>
          <w:rFonts w:hint="cs"/>
          <w:sz w:val="24"/>
          <w:szCs w:val="24"/>
          <w:rtl/>
        </w:rPr>
        <w:t>,</w:t>
      </w:r>
      <w:r w:rsidRPr="005A2B36">
        <w:rPr>
          <w:sz w:val="24"/>
          <w:szCs w:val="24"/>
          <w:rtl/>
        </w:rPr>
        <w:t xml:space="preserve"> והקשה</w:t>
      </w:r>
      <w:r>
        <w:rPr>
          <w:rFonts w:hint="cs"/>
          <w:sz w:val="24"/>
          <w:szCs w:val="24"/>
          <w:rtl/>
        </w:rPr>
        <w:t>:</w:t>
      </w:r>
      <w:r w:rsidRPr="005A2B36">
        <w:rPr>
          <w:sz w:val="24"/>
          <w:szCs w:val="24"/>
          <w:rtl/>
        </w:rPr>
        <w:t xml:space="preserve"> הא כתיב אהרן וחוקה</w:t>
      </w:r>
      <w:r>
        <w:rPr>
          <w:rFonts w:hint="cs"/>
          <w:sz w:val="24"/>
          <w:szCs w:val="24"/>
          <w:rtl/>
        </w:rPr>
        <w:t>,</w:t>
      </w:r>
      <w:r w:rsidRPr="005A2B36">
        <w:rPr>
          <w:sz w:val="24"/>
          <w:szCs w:val="24"/>
          <w:rtl/>
        </w:rPr>
        <w:t xml:space="preserve"> ותירצו</w:t>
      </w:r>
      <w:r>
        <w:rPr>
          <w:rFonts w:hint="cs"/>
          <w:sz w:val="24"/>
          <w:szCs w:val="24"/>
          <w:rtl/>
        </w:rPr>
        <w:t>:</w:t>
      </w:r>
      <w:r w:rsidRPr="005A2B36">
        <w:rPr>
          <w:sz w:val="24"/>
          <w:szCs w:val="24"/>
          <w:rtl/>
        </w:rPr>
        <w:t xml:space="preserve"> שחיטה לאו עבודה היא</w:t>
      </w:r>
      <w:r>
        <w:rPr>
          <w:rFonts w:hint="cs"/>
          <w:sz w:val="24"/>
          <w:szCs w:val="24"/>
          <w:rtl/>
        </w:rPr>
        <w:t>.</w:t>
      </w:r>
      <w:r w:rsidRPr="005A2B36">
        <w:rPr>
          <w:sz w:val="24"/>
          <w:szCs w:val="24"/>
          <w:rtl/>
        </w:rPr>
        <w:t xml:space="preserve"> משמע דלדידן דקי"ל דשחיטת פרו כשרה בזר</w:t>
      </w:r>
      <w:r>
        <w:rPr>
          <w:rFonts w:hint="cs"/>
          <w:sz w:val="24"/>
          <w:szCs w:val="24"/>
          <w:rtl/>
        </w:rPr>
        <w:t>,</w:t>
      </w:r>
      <w:r w:rsidRPr="005A2B36">
        <w:rPr>
          <w:sz w:val="24"/>
          <w:szCs w:val="24"/>
          <w:rtl/>
        </w:rPr>
        <w:t xml:space="preserve"> וכדכתב רבינו ז"ל בריש פ"א מה' פסולי המוקדשין</w:t>
      </w:r>
      <w:r>
        <w:rPr>
          <w:rFonts w:hint="cs"/>
          <w:sz w:val="24"/>
          <w:szCs w:val="24"/>
          <w:rtl/>
        </w:rPr>
        <w:t>,</w:t>
      </w:r>
      <w:r w:rsidRPr="005A2B36">
        <w:rPr>
          <w:sz w:val="24"/>
          <w:szCs w:val="24"/>
          <w:rtl/>
        </w:rPr>
        <w:t xml:space="preserve"> אית לן לומר דאע"ג דשחיטה מעכבא כיון דלאו עבודה היא כשרה בזר</w:t>
      </w:r>
      <w:r>
        <w:rPr>
          <w:rFonts w:hint="cs"/>
          <w:sz w:val="24"/>
          <w:szCs w:val="24"/>
          <w:rtl/>
        </w:rPr>
        <w:t>,</w:t>
      </w:r>
      <w:r w:rsidRPr="005A2B36">
        <w:rPr>
          <w:sz w:val="24"/>
          <w:szCs w:val="24"/>
          <w:rtl/>
        </w:rPr>
        <w:t xml:space="preserve"> הכי נמי בהגרלה </w:t>
      </w:r>
      <w:r>
        <w:rPr>
          <w:rFonts w:hint="cs"/>
          <w:sz w:val="24"/>
          <w:szCs w:val="24"/>
          <w:rtl/>
        </w:rPr>
        <w:t>,</w:t>
      </w:r>
      <w:r w:rsidRPr="005A2B36">
        <w:rPr>
          <w:sz w:val="24"/>
          <w:szCs w:val="24"/>
          <w:rtl/>
        </w:rPr>
        <w:t xml:space="preserve">כיון שכתב רבינו ז"ל דלאו עבודה היא אף על גב דמעכבא ליתכשרה בזר. </w:t>
      </w:r>
      <w:r w:rsidR="0096770B">
        <w:rPr>
          <w:sz w:val="20"/>
          <w:szCs w:val="20"/>
          <w:rtl/>
        </w:rPr>
        <w:tab/>
      </w:r>
      <w:r w:rsidR="0096770B">
        <w:rPr>
          <w:sz w:val="20"/>
          <w:szCs w:val="20"/>
          <w:rtl/>
        </w:rPr>
        <w:tab/>
      </w:r>
      <w:r w:rsidR="0096770B">
        <w:rPr>
          <w:rFonts w:hint="cs"/>
          <w:sz w:val="20"/>
          <w:szCs w:val="20"/>
          <w:rtl/>
        </w:rPr>
        <w:t xml:space="preserve">        </w:t>
      </w:r>
      <w:r>
        <w:rPr>
          <w:rFonts w:hint="cs"/>
          <w:sz w:val="20"/>
          <w:szCs w:val="20"/>
          <w:rtl/>
        </w:rPr>
        <w:t>[לחם משנה שם ד"ה והעליית]</w:t>
      </w:r>
    </w:p>
    <w:p w:rsidR="00C26E1A" w:rsidRDefault="00C26E1A" w:rsidP="00C26E1A">
      <w:pPr>
        <w:spacing w:line="276" w:lineRule="auto"/>
        <w:rPr>
          <w:sz w:val="24"/>
          <w:szCs w:val="24"/>
          <w:rtl/>
        </w:rPr>
      </w:pPr>
      <w:r>
        <w:rPr>
          <w:rFonts w:hint="cs"/>
          <w:sz w:val="24"/>
          <w:szCs w:val="24"/>
          <w:rtl/>
        </w:rPr>
        <w:t xml:space="preserve">הלחם משנה מוכיח מדברי הגמרא לגבי שחיטה בזר שהקריטריון הקובע האם פעולה מסוימת כשרה בזר הוא האם הפעולה מוגדרת כעבודה, ולא האם היא מעכבת. שכן שחיטה אמנם אינה מוגדרת כעבודה, ולכן היא כשרה בזר, וזאת אף על פי שהיא בוודאי מעכבת. </w:t>
      </w:r>
    </w:p>
    <w:p w:rsidR="00C26E1A" w:rsidRDefault="00C26E1A" w:rsidP="00C26E1A">
      <w:pPr>
        <w:spacing w:line="276" w:lineRule="auto"/>
        <w:rPr>
          <w:sz w:val="24"/>
          <w:szCs w:val="24"/>
          <w:rtl/>
        </w:rPr>
      </w:pPr>
      <w:r>
        <w:rPr>
          <w:rFonts w:hint="cs"/>
          <w:sz w:val="24"/>
          <w:szCs w:val="24"/>
          <w:rtl/>
        </w:rPr>
        <w:t>המקדש דוד מיישב את קושיית הלחם משנה, על פי האופן שביארנו לעיל את השיטה שהגרלה אינה מעכבת:</w:t>
      </w:r>
    </w:p>
    <w:p w:rsidR="00C26E1A" w:rsidRPr="001D144B" w:rsidRDefault="00C26E1A" w:rsidP="0096770B">
      <w:pPr>
        <w:spacing w:line="276" w:lineRule="auto"/>
        <w:ind w:left="720"/>
        <w:rPr>
          <w:sz w:val="20"/>
          <w:szCs w:val="20"/>
          <w:rtl/>
        </w:rPr>
      </w:pPr>
      <w:r w:rsidRPr="00200A79">
        <w:rPr>
          <w:sz w:val="24"/>
          <w:szCs w:val="24"/>
          <w:rtl/>
        </w:rPr>
        <w:t>ונראה טעמו של הרמב"ם ז"ל</w:t>
      </w:r>
      <w:r>
        <w:rPr>
          <w:rFonts w:hint="cs"/>
          <w:sz w:val="24"/>
          <w:szCs w:val="24"/>
          <w:rtl/>
        </w:rPr>
        <w:t>,</w:t>
      </w:r>
      <w:r w:rsidRPr="00200A79">
        <w:rPr>
          <w:sz w:val="24"/>
          <w:szCs w:val="24"/>
          <w:rtl/>
        </w:rPr>
        <w:t xml:space="preserve"> דזה דבהגרלה בעינן כ</w:t>
      </w:r>
      <w:r>
        <w:rPr>
          <w:rFonts w:hint="cs"/>
          <w:sz w:val="24"/>
          <w:szCs w:val="24"/>
          <w:rtl/>
        </w:rPr>
        <w:t>הן גדול</w:t>
      </w:r>
      <w:r w:rsidRPr="00200A79">
        <w:rPr>
          <w:sz w:val="24"/>
          <w:szCs w:val="24"/>
          <w:rtl/>
        </w:rPr>
        <w:t xml:space="preserve"> איכא תרתי, ולבד מדין עבודה דצריכה כ</w:t>
      </w:r>
      <w:r>
        <w:rPr>
          <w:rFonts w:hint="cs"/>
          <w:sz w:val="24"/>
          <w:szCs w:val="24"/>
          <w:rtl/>
        </w:rPr>
        <w:t>הן גדול</w:t>
      </w:r>
      <w:r w:rsidRPr="00200A79">
        <w:rPr>
          <w:sz w:val="24"/>
          <w:szCs w:val="24"/>
          <w:rtl/>
        </w:rPr>
        <w:t>, רק כיון דע</w:t>
      </w:r>
      <w:r>
        <w:rPr>
          <w:rFonts w:hint="cs"/>
          <w:sz w:val="24"/>
          <w:szCs w:val="24"/>
          <w:rtl/>
        </w:rPr>
        <w:t>ל ידי</w:t>
      </w:r>
      <w:r w:rsidRPr="00200A79">
        <w:rPr>
          <w:sz w:val="24"/>
          <w:szCs w:val="24"/>
          <w:rtl/>
        </w:rPr>
        <w:t xml:space="preserve"> ההגרלה נקבעין השעירים איזה לשם ואיזה לעזאזל וקביעות השעירים תלוי בכ</w:t>
      </w:r>
      <w:r>
        <w:rPr>
          <w:rFonts w:hint="cs"/>
          <w:sz w:val="24"/>
          <w:szCs w:val="24"/>
          <w:rtl/>
        </w:rPr>
        <w:t>הן גדול</w:t>
      </w:r>
      <w:r w:rsidRPr="00200A79">
        <w:rPr>
          <w:sz w:val="24"/>
          <w:szCs w:val="24"/>
          <w:rtl/>
        </w:rPr>
        <w:t xml:space="preserve"> דכתיב </w:t>
      </w:r>
      <w:r>
        <w:rPr>
          <w:rFonts w:hint="cs"/>
          <w:sz w:val="24"/>
          <w:szCs w:val="24"/>
          <w:rtl/>
        </w:rPr>
        <w:t>'</w:t>
      </w:r>
      <w:r w:rsidRPr="00200A79">
        <w:rPr>
          <w:sz w:val="24"/>
          <w:szCs w:val="24"/>
          <w:rtl/>
        </w:rPr>
        <w:t>ונתן אהרן על שני השעירים גורלות</w:t>
      </w:r>
      <w:r>
        <w:rPr>
          <w:rFonts w:hint="cs"/>
          <w:sz w:val="24"/>
          <w:szCs w:val="24"/>
          <w:rtl/>
        </w:rPr>
        <w:t>'</w:t>
      </w:r>
      <w:r w:rsidRPr="00200A79">
        <w:rPr>
          <w:sz w:val="24"/>
          <w:szCs w:val="24"/>
          <w:rtl/>
        </w:rPr>
        <w:t xml:space="preserve"> ואחר אינו בעלים לקבוע אותן, ואם בא זר וקבע אותן איזה לשם ואיזה לעזאזל ודאי לא מהני, דאיזה כח יש לו לעשות הקביעות, מיהו אי הגרלה אינה מעכבת והשעירים נקבעים ע</w:t>
      </w:r>
      <w:r>
        <w:rPr>
          <w:rFonts w:hint="cs"/>
          <w:sz w:val="24"/>
          <w:szCs w:val="24"/>
          <w:rtl/>
        </w:rPr>
        <w:t>ל ידי</w:t>
      </w:r>
      <w:r w:rsidRPr="00200A79">
        <w:rPr>
          <w:sz w:val="24"/>
          <w:szCs w:val="24"/>
          <w:rtl/>
        </w:rPr>
        <w:t xml:space="preserve"> קריאת שם שהכ</w:t>
      </w:r>
      <w:r>
        <w:rPr>
          <w:rFonts w:hint="cs"/>
          <w:sz w:val="24"/>
          <w:szCs w:val="24"/>
          <w:rtl/>
        </w:rPr>
        <w:t>הן גדול</w:t>
      </w:r>
      <w:r w:rsidRPr="00200A79">
        <w:rPr>
          <w:sz w:val="24"/>
          <w:szCs w:val="24"/>
          <w:rtl/>
        </w:rPr>
        <w:t xml:space="preserve"> אומר לה' חטאת, דאף במקום שמגריל למ</w:t>
      </w:r>
      <w:r>
        <w:rPr>
          <w:rFonts w:hint="cs"/>
          <w:sz w:val="24"/>
          <w:szCs w:val="24"/>
          <w:rtl/>
        </w:rPr>
        <w:t>אן דאמר</w:t>
      </w:r>
      <w:r w:rsidRPr="00200A79">
        <w:rPr>
          <w:sz w:val="24"/>
          <w:szCs w:val="24"/>
          <w:rtl/>
        </w:rPr>
        <w:t xml:space="preserve"> הגרלה אינה מעכבת אין הקביעות נעשה ע"י ההגרלה כי אם </w:t>
      </w:r>
      <w:r>
        <w:rPr>
          <w:rFonts w:hint="cs"/>
          <w:sz w:val="24"/>
          <w:szCs w:val="24"/>
          <w:rtl/>
        </w:rPr>
        <w:t>על ידי</w:t>
      </w:r>
      <w:r w:rsidRPr="00200A79">
        <w:rPr>
          <w:sz w:val="24"/>
          <w:szCs w:val="24"/>
          <w:rtl/>
        </w:rPr>
        <w:t xml:space="preserve"> קריאת שם</w:t>
      </w:r>
      <w:r>
        <w:rPr>
          <w:rFonts w:hint="cs"/>
          <w:sz w:val="24"/>
          <w:szCs w:val="24"/>
          <w:rtl/>
        </w:rPr>
        <w:t>...</w:t>
      </w:r>
      <w:r w:rsidRPr="00200A79">
        <w:rPr>
          <w:sz w:val="24"/>
          <w:szCs w:val="24"/>
          <w:rtl/>
        </w:rPr>
        <w:t xml:space="preserve"> א</w:t>
      </w:r>
      <w:r>
        <w:rPr>
          <w:rFonts w:hint="cs"/>
          <w:sz w:val="24"/>
          <w:szCs w:val="24"/>
          <w:rtl/>
        </w:rPr>
        <w:t>ם כן</w:t>
      </w:r>
      <w:r w:rsidRPr="00200A79">
        <w:rPr>
          <w:sz w:val="24"/>
          <w:szCs w:val="24"/>
          <w:rtl/>
        </w:rPr>
        <w:t xml:space="preserve"> אי היתה הגרלה אינה מעכבת ואינה רק למצוה היתה כשרה בזר כיון דלאו עבודה היא, והקביעות נעשה ע</w:t>
      </w:r>
      <w:r>
        <w:rPr>
          <w:rFonts w:hint="cs"/>
          <w:sz w:val="24"/>
          <w:szCs w:val="24"/>
          <w:rtl/>
        </w:rPr>
        <w:t>ל ידי כהן גדול</w:t>
      </w:r>
      <w:r w:rsidRPr="00200A79">
        <w:rPr>
          <w:sz w:val="24"/>
          <w:szCs w:val="24"/>
          <w:rtl/>
        </w:rPr>
        <w:t xml:space="preserve"> במה שקורא את השם, אבל כיון דפסק הרמב"ם ז"ל דהגרלה מעכבת והקביעות נעשית ע"י ההגרלה, א</w:t>
      </w:r>
      <w:r>
        <w:rPr>
          <w:rFonts w:hint="cs"/>
          <w:sz w:val="24"/>
          <w:szCs w:val="24"/>
          <w:rtl/>
        </w:rPr>
        <w:t>ם כן</w:t>
      </w:r>
      <w:r w:rsidRPr="00200A79">
        <w:rPr>
          <w:sz w:val="24"/>
          <w:szCs w:val="24"/>
          <w:rtl/>
        </w:rPr>
        <w:t xml:space="preserve"> אף על גב דלאו עבודה היא פסולה בזר</w:t>
      </w:r>
      <w:r>
        <w:rPr>
          <w:rFonts w:hint="cs"/>
          <w:sz w:val="24"/>
          <w:szCs w:val="24"/>
          <w:rtl/>
        </w:rPr>
        <w:t>,</w:t>
      </w:r>
      <w:r w:rsidRPr="00200A79">
        <w:rPr>
          <w:sz w:val="24"/>
          <w:szCs w:val="24"/>
          <w:rtl/>
        </w:rPr>
        <w:t xml:space="preserve"> דאין כח לזר לעשות הקביעות על השעירים.</w:t>
      </w:r>
      <w:r w:rsidR="0096770B">
        <w:rPr>
          <w:sz w:val="20"/>
          <w:szCs w:val="20"/>
          <w:rtl/>
        </w:rPr>
        <w:tab/>
      </w:r>
      <w:r w:rsidR="0096770B">
        <w:rPr>
          <w:rFonts w:hint="cs"/>
          <w:sz w:val="20"/>
          <w:szCs w:val="20"/>
          <w:rtl/>
        </w:rPr>
        <w:t xml:space="preserve"> </w:t>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sz w:val="20"/>
          <w:szCs w:val="20"/>
          <w:rtl/>
        </w:rPr>
        <w:tab/>
      </w:r>
      <w:r w:rsidR="0096770B">
        <w:rPr>
          <w:rFonts w:hint="cs"/>
          <w:sz w:val="20"/>
          <w:szCs w:val="20"/>
          <w:rtl/>
        </w:rPr>
        <w:t xml:space="preserve">  </w:t>
      </w:r>
      <w:r>
        <w:rPr>
          <w:rFonts w:hint="cs"/>
          <w:sz w:val="20"/>
          <w:szCs w:val="20"/>
          <w:rtl/>
        </w:rPr>
        <w:t>[מקדש דוד קדשים כד ג]</w:t>
      </w:r>
    </w:p>
    <w:p w:rsidR="00C26E1A" w:rsidRDefault="00C26E1A" w:rsidP="00C26E1A">
      <w:pPr>
        <w:spacing w:line="276" w:lineRule="auto"/>
        <w:rPr>
          <w:sz w:val="24"/>
          <w:szCs w:val="24"/>
          <w:rtl/>
        </w:rPr>
      </w:pPr>
      <w:r>
        <w:rPr>
          <w:rFonts w:hint="cs"/>
          <w:sz w:val="24"/>
          <w:szCs w:val="24"/>
          <w:rtl/>
        </w:rPr>
        <w:t>המקדש דוד סובר שבין למאן דאמר הגרלה מעכבת, ובין למאן דאמר הגרלה אינה מעכבת, הכהן צריך להיות זה שגורם לקביעת מעמדם של השעירים. אלא שלמאן דאמר הגרלה מעכבת, הכהן נדרש לקבוע את מעמד השעירים על ידי ההגרלה, ואילו למאן דאמר הגרלה אינה מעכבת, קביעת מעמד השעירים נעשית על ידי הכרזת הכהן הגדול, וזאת גם כאשר ההגרלה מתבצעת. לכן, אם הגרלה מעכבת, נמצא שהגורלות הם אלו שקובעים את מעמד השעירים, ובכדי לקיים את הדרישה העקרונית לפיה הכהן הגדול מעורב בקביעת מעמד השעירים, ההגרלה חייבת להיעשות על ידו והיא פסולה בזר. ברם, אם הגרלה אינה מעכבת, יוצא שהכהן קובע את מעמד השעירים בהכרזתו, ולכן, גם אם יבצע את ההגרלה זר, אין בכך פגיעה בעיקרון שהכהן הגדול הוא זה שצריך להיות מעורב בקביעת מעמדם של השעירים</w:t>
      </w:r>
      <w:r>
        <w:rPr>
          <w:rStyle w:val="a7"/>
          <w:sz w:val="24"/>
          <w:szCs w:val="24"/>
          <w:rtl/>
        </w:rPr>
        <w:footnoteReference w:id="89"/>
      </w:r>
      <w:r>
        <w:rPr>
          <w:rFonts w:hint="cs"/>
          <w:sz w:val="24"/>
          <w:szCs w:val="24"/>
          <w:rtl/>
        </w:rPr>
        <w:t>.</w:t>
      </w:r>
    </w:p>
    <w:p w:rsidR="00C26E1A" w:rsidRDefault="00C26E1A" w:rsidP="00C26E1A">
      <w:pPr>
        <w:spacing w:line="276" w:lineRule="auto"/>
        <w:ind w:left="720"/>
        <w:rPr>
          <w:rFonts w:hint="cs"/>
          <w:sz w:val="24"/>
          <w:szCs w:val="24"/>
          <w:rtl/>
        </w:rPr>
      </w:pPr>
    </w:p>
    <w:p w:rsidR="00C26E1A" w:rsidRPr="00217B5B" w:rsidRDefault="00C26E1A" w:rsidP="00C26E1A">
      <w:pPr>
        <w:spacing w:line="276" w:lineRule="auto"/>
        <w:rPr>
          <w:sz w:val="20"/>
          <w:szCs w:val="20"/>
          <w:rtl/>
        </w:rPr>
      </w:pPr>
      <w:r>
        <w:rPr>
          <w:sz w:val="24"/>
          <w:szCs w:val="24"/>
          <w:rtl/>
        </w:rPr>
        <w:t xml:space="preserve">בשיעור הבא נעסוק בעז"ה </w:t>
      </w:r>
      <w:r>
        <w:rPr>
          <w:rFonts w:hint="cs"/>
          <w:sz w:val="24"/>
          <w:szCs w:val="24"/>
          <w:rtl/>
        </w:rPr>
        <w:t>בהקטרת הקטורת לפני ולפנים.</w:t>
      </w:r>
    </w:p>
    <w:p w:rsidR="00C26E1A" w:rsidRDefault="00C26E1A" w:rsidP="00C26E1A">
      <w:pPr>
        <w:spacing w:line="276" w:lineRule="auto"/>
        <w:ind w:firstLine="266"/>
        <w:jc w:val="right"/>
        <w:rPr>
          <w:sz w:val="24"/>
          <w:szCs w:val="24"/>
          <w:rtl/>
        </w:rPr>
      </w:pPr>
      <w:r>
        <w:rPr>
          <w:sz w:val="24"/>
          <w:szCs w:val="24"/>
          <w:u w:val="single"/>
          <w:rtl/>
        </w:rPr>
        <w:t>להערות ולתגובות</w:t>
      </w:r>
      <w:r>
        <w:rPr>
          <w:sz w:val="24"/>
          <w:szCs w:val="24"/>
          <w:rtl/>
        </w:rPr>
        <w:t>: איציק וולטרס</w:t>
      </w:r>
    </w:p>
    <w:p w:rsidR="00C26E1A" w:rsidRDefault="00C26E1A" w:rsidP="00C26E1A">
      <w:pPr>
        <w:spacing w:line="276" w:lineRule="auto"/>
        <w:ind w:firstLine="227"/>
        <w:jc w:val="right"/>
      </w:pPr>
      <w:hyperlink r:id="rId18" w:history="1">
        <w:r>
          <w:rPr>
            <w:rStyle w:val="Hyperlink"/>
            <w:sz w:val="24"/>
            <w:szCs w:val="24"/>
          </w:rPr>
          <w:t>Itzikw7@gmail.com</w:t>
        </w:r>
      </w:hyperlink>
    </w:p>
    <w:p w:rsidR="00C26E1A" w:rsidRPr="0096770B" w:rsidRDefault="00C26E1A" w:rsidP="0096770B">
      <w:pPr>
        <w:spacing w:after="0" w:line="240" w:lineRule="auto"/>
        <w:rPr>
          <w:rtl/>
        </w:rPr>
      </w:pPr>
    </w:p>
    <w:p w:rsidR="00C26E1A" w:rsidRPr="00F428A3" w:rsidRDefault="00C26E1A" w:rsidP="00C26E1A">
      <w:pPr>
        <w:keepNext/>
        <w:keepLines/>
        <w:spacing w:before="240" w:after="0" w:line="276" w:lineRule="exact"/>
        <w:jc w:val="center"/>
        <w:outlineLvl w:val="0"/>
        <w:rPr>
          <w:rFonts w:asciiTheme="majorHAnsi" w:eastAsiaTheme="majorEastAsia" w:hAnsiTheme="majorHAnsi"/>
          <w:bCs/>
          <w:sz w:val="36"/>
          <w:szCs w:val="36"/>
          <w:rtl/>
        </w:rPr>
      </w:pPr>
      <w:bookmarkStart w:id="76" w:name="_Toc76718831"/>
      <w:bookmarkStart w:id="77" w:name="_Toc76719171"/>
      <w:r>
        <w:rPr>
          <w:rFonts w:asciiTheme="majorHAnsi" w:eastAsiaTheme="majorEastAsia" w:hAnsiTheme="majorHAnsi" w:hint="cs"/>
          <w:bCs/>
          <w:sz w:val="40"/>
          <w:szCs w:val="40"/>
          <w:rtl/>
        </w:rPr>
        <w:lastRenderedPageBreak/>
        <w:t>יסודות יומא</w:t>
      </w:r>
      <w:bookmarkEnd w:id="76"/>
      <w:bookmarkEnd w:id="77"/>
    </w:p>
    <w:p w:rsidR="00C26E1A" w:rsidRPr="00F428A3" w:rsidRDefault="00C26E1A" w:rsidP="00C26E1A">
      <w:pPr>
        <w:keepNext/>
        <w:keepLines/>
        <w:spacing w:before="240" w:after="0" w:line="276" w:lineRule="exact"/>
        <w:jc w:val="center"/>
        <w:outlineLvl w:val="0"/>
        <w:rPr>
          <w:rFonts w:asciiTheme="majorHAnsi" w:eastAsiaTheme="majorEastAsia" w:hAnsiTheme="majorHAnsi"/>
          <w:b/>
          <w:sz w:val="32"/>
          <w:szCs w:val="32"/>
          <w:rtl/>
        </w:rPr>
      </w:pPr>
      <w:bookmarkStart w:id="78" w:name="_Toc76719172"/>
      <w:r w:rsidRPr="00F428A3">
        <w:rPr>
          <w:rFonts w:asciiTheme="majorHAnsi" w:eastAsiaTheme="majorEastAsia" w:hAnsiTheme="majorHAnsi" w:hint="cs"/>
          <w:b/>
          <w:sz w:val="32"/>
          <w:szCs w:val="32"/>
          <w:rtl/>
        </w:rPr>
        <w:t xml:space="preserve">שיעור </w:t>
      </w:r>
      <w:r>
        <w:rPr>
          <w:rFonts w:asciiTheme="majorHAnsi" w:eastAsiaTheme="majorEastAsia" w:hAnsiTheme="majorHAnsi" w:hint="cs"/>
          <w:b/>
          <w:sz w:val="32"/>
          <w:szCs w:val="32"/>
          <w:rtl/>
        </w:rPr>
        <w:t>שנים עשר</w:t>
      </w:r>
      <w:bookmarkEnd w:id="78"/>
    </w:p>
    <w:p w:rsidR="00C26E1A" w:rsidRPr="00F428A3" w:rsidRDefault="00C26E1A" w:rsidP="00C26E1A">
      <w:pPr>
        <w:keepNext/>
        <w:keepLines/>
        <w:spacing w:before="240" w:after="0" w:line="276" w:lineRule="exact"/>
        <w:jc w:val="center"/>
        <w:outlineLvl w:val="0"/>
        <w:rPr>
          <w:rFonts w:asciiTheme="majorHAnsi" w:eastAsiaTheme="majorEastAsia" w:hAnsiTheme="majorHAnsi"/>
          <w:bCs/>
          <w:sz w:val="32"/>
          <w:szCs w:val="32"/>
          <w:rtl/>
        </w:rPr>
      </w:pPr>
      <w:bookmarkStart w:id="79" w:name="_Toc76718833"/>
      <w:bookmarkStart w:id="80" w:name="_Toc76719173"/>
      <w:r>
        <w:rPr>
          <w:rFonts w:asciiTheme="majorHAnsi" w:eastAsiaTheme="majorEastAsia" w:hAnsiTheme="majorHAnsi" w:hint="cs"/>
          <w:bCs/>
          <w:sz w:val="36"/>
          <w:szCs w:val="36"/>
          <w:rtl/>
        </w:rPr>
        <w:t>הכניסה לקודש הקדשים</w:t>
      </w:r>
      <w:bookmarkEnd w:id="79"/>
      <w:bookmarkEnd w:id="80"/>
    </w:p>
    <w:p w:rsidR="00C26E1A" w:rsidRPr="00F428A3" w:rsidRDefault="00C26E1A" w:rsidP="00C26E1A">
      <w:pPr>
        <w:spacing w:line="276" w:lineRule="exact"/>
        <w:rPr>
          <w:highlight w:val="green"/>
          <w:rtl/>
        </w:rPr>
      </w:pPr>
      <w:r w:rsidRPr="00F428A3">
        <w:rPr>
          <w:noProof/>
          <w:highlight w:val="green"/>
          <w:rtl/>
        </w:rPr>
        <mc:AlternateContent>
          <mc:Choice Requires="wps">
            <w:drawing>
              <wp:anchor distT="0" distB="0" distL="114300" distR="114300" simplePos="0" relativeHeight="251691008" behindDoc="1" locked="0" layoutInCell="1" allowOverlap="1" wp14:anchorId="30691B84" wp14:editId="4B517031">
                <wp:simplePos x="0" y="0"/>
                <wp:positionH relativeFrom="column">
                  <wp:posOffset>-213360</wp:posOffset>
                </wp:positionH>
                <wp:positionV relativeFrom="paragraph">
                  <wp:posOffset>281940</wp:posOffset>
                </wp:positionV>
                <wp:extent cx="5765800" cy="7802880"/>
                <wp:effectExtent l="0" t="0" r="25400" b="26670"/>
                <wp:wrapNone/>
                <wp:docPr id="20" name="מלבן 20"/>
                <wp:cNvGraphicFramePr/>
                <a:graphic xmlns:a="http://schemas.openxmlformats.org/drawingml/2006/main">
                  <a:graphicData uri="http://schemas.microsoft.com/office/word/2010/wordprocessingShape">
                    <wps:wsp>
                      <wps:cNvSpPr/>
                      <wps:spPr>
                        <a:xfrm>
                          <a:off x="0" y="0"/>
                          <a:ext cx="5765800" cy="780288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FD17" id="מלבן 20" o:spid="_x0000_s1026" style="position:absolute;left:0;text-align:left;margin-left:-16.8pt;margin-top:22.2pt;width:454pt;height:614.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28hwIAAAMFAAAOAAAAZHJzL2Uyb0RvYy54bWysVMtuGjEU3VfqP1jeNwMIAkEZIkREVSlK&#10;IpEqa+PxMCP5Vdsw0L/ovmo/i9/psWdCHs2qKgtzX76P43Pn8mqvJNkJ52ujc9o/61EiNDdFrTc5&#10;/fqw/DShxAemCyaNFjk9CE+vZh8/XDZ2KgamMrIQjiCJ9tPG5rQKwU6zzPNKKObPjBUaztI4xQJU&#10;t8kKxxpkVzIb9HrnWWNcYZ3hwntYr1snnaX8ZSl4uCtLLwKROUVvIZ0unet4ZrNLNt04Zquad22w&#10;f+hCsVqj6CnVNQuMbF39VypVc2e8KcMZNyozZVlzkWbANP3em2lWFbMizQJwvD3B5P9fWn67u3ek&#10;LnI6ADyaKbzR8dfx5/HH8TeBCfg01k8RtrL3rtM8xDjsvnQq/mMMsk+YHk6Yin0gHMbR+Hw06SE3&#10;h2886Q0mk5Q1e75unQ+fhVEkCjl1eLSEJdvd+ICSCH0KidW8kXWxrKVMysEvpCM7hvcFLQrTUCKZ&#10;DzDmdJl+cQakeHVNatKArhe9UeyMgXilZAGisoDC6w0lTG7AaB5c6uXVbe8261PV4XA8WAzfKxKb&#10;vma+artLGWIYm6o6gPSyVjkFNPh1t6WOXpFo240ewW/hjtLaFAc8lzMtj73lyxpFbjDwPXMgLqbB&#10;MoY7HKU0GNF0EiWVcd/fs8d48AleShosAsb/tmVOAMcvGky76A+HSBuSMhyNI0/cS8/6pUdv1cLg&#10;LfpYe8uTGOODfLKWzqhH7Ow8VoWLaY7aLdCdsgjtgmLruZjPUxi2xbJwo1eWx+QRpwjvw/6ROdsR&#10;J4Bzt+Zpadj0DX/a2HhTm/k2mLJO5HrGFTSJCjYtEab7KsRVfqmnqOdv1+wPAAAA//8DAFBLAwQU&#10;AAYACAAAACEARj7XJeEAAAALAQAADwAAAGRycy9kb3ducmV2LnhtbEyPwU7DMAyG70i8Q2Qkbluy&#10;tuqm0nRiSAg4gNhAnLPGpBWNU5ps7d5+2Qlutvzp9/eX68l27IiDbx1JWMwFMKTa6ZaMhM+Px9kK&#10;mA+KtOocoYQTelhX11elKrQbaYvHXTAshpAvlIQmhL7g3NcNWuXnrkeKt283WBXiOhiuBzXGcNvx&#10;RIicW9VS/NCoHh8arH92ByvhZWN+v57NYpvb7n3c0JN4e3VCytub6f4OWMAp/MFw0Y/qUEWnvTuQ&#10;9qyTMEvTPKISsiwDFoHV8jLsI5ks0wR4VfL/HaozAAAA//8DAFBLAQItABQABgAIAAAAIQC2gziS&#10;/gAAAOEBAAATAAAAAAAAAAAAAAAAAAAAAABbQ29udGVudF9UeXBlc10ueG1sUEsBAi0AFAAGAAgA&#10;AAAhADj9If/WAAAAlAEAAAsAAAAAAAAAAAAAAAAALwEAAF9yZWxzLy5yZWxzUEsBAi0AFAAGAAgA&#10;AAAhAE7fHbyHAgAAAwUAAA4AAAAAAAAAAAAAAAAALgIAAGRycy9lMm9Eb2MueG1sUEsBAi0AFAAG&#10;AAgAAAAhAEY+1yXhAAAACwEAAA8AAAAAAAAAAAAAAAAA4QQAAGRycy9kb3ducmV2LnhtbFBLBQYA&#10;AAAABAAEAPMAAADvBQAAAAA=&#10;" fillcolor="window" strokecolor="#4472c4" strokeweight="1.5pt"/>
            </w:pict>
          </mc:Fallback>
        </mc:AlternateContent>
      </w:r>
    </w:p>
    <w:p w:rsidR="00C26E1A" w:rsidRPr="00F428A3" w:rsidRDefault="00C26E1A" w:rsidP="00C26E1A">
      <w:pPr>
        <w:spacing w:line="276" w:lineRule="exact"/>
        <w:jc w:val="center"/>
        <w:rPr>
          <w:b/>
          <w:bCs/>
          <w:sz w:val="24"/>
          <w:szCs w:val="24"/>
          <w:rtl/>
        </w:rPr>
      </w:pPr>
      <w:r w:rsidRPr="00F428A3">
        <w:rPr>
          <w:rFonts w:hint="cs"/>
          <w:b/>
          <w:bCs/>
          <w:sz w:val="24"/>
          <w:szCs w:val="24"/>
          <w:rtl/>
        </w:rPr>
        <w:t>מקורות</w:t>
      </w:r>
    </w:p>
    <w:p w:rsidR="00C26E1A" w:rsidRDefault="00C26E1A" w:rsidP="00C26E1A">
      <w:pPr>
        <w:spacing w:line="276" w:lineRule="exact"/>
        <w:rPr>
          <w:sz w:val="24"/>
          <w:szCs w:val="24"/>
          <w:rtl/>
        </w:rPr>
      </w:pPr>
      <w:r w:rsidRPr="00F428A3">
        <w:rPr>
          <w:rFonts w:hint="cs"/>
          <w:sz w:val="24"/>
          <w:szCs w:val="24"/>
          <w:rtl/>
        </w:rPr>
        <w:t xml:space="preserve">א. </w:t>
      </w:r>
      <w:r>
        <w:rPr>
          <w:rFonts w:hint="cs"/>
          <w:sz w:val="24"/>
          <w:szCs w:val="24"/>
          <w:rtl/>
        </w:rPr>
        <w:t>ויקרא פרק טז פס' א-ג ופס' יב-יג</w:t>
      </w:r>
    </w:p>
    <w:p w:rsidR="00C26E1A" w:rsidRDefault="00C26E1A" w:rsidP="00C26E1A">
      <w:pPr>
        <w:spacing w:line="276" w:lineRule="exact"/>
        <w:rPr>
          <w:sz w:val="24"/>
          <w:szCs w:val="24"/>
          <w:rtl/>
        </w:rPr>
      </w:pPr>
      <w:r>
        <w:rPr>
          <w:rFonts w:hint="cs"/>
          <w:sz w:val="24"/>
          <w:szCs w:val="24"/>
          <w:rtl/>
        </w:rPr>
        <w:t>ב. משנה כלים פ"א מ"ט</w:t>
      </w:r>
    </w:p>
    <w:p w:rsidR="00C26E1A" w:rsidRDefault="00C26E1A" w:rsidP="00C26E1A">
      <w:pPr>
        <w:spacing w:line="276" w:lineRule="exact"/>
        <w:rPr>
          <w:sz w:val="24"/>
          <w:szCs w:val="24"/>
          <w:rtl/>
        </w:rPr>
      </w:pPr>
      <w:r>
        <w:rPr>
          <w:rFonts w:hint="cs"/>
          <w:sz w:val="24"/>
          <w:szCs w:val="24"/>
          <w:rtl/>
        </w:rPr>
        <w:t>ג. ספרא פרשת אחרי מות פרשה א הל' י</w:t>
      </w:r>
    </w:p>
    <w:p w:rsidR="00C26E1A" w:rsidRDefault="00C26E1A" w:rsidP="00C26E1A">
      <w:pPr>
        <w:spacing w:line="276" w:lineRule="exact"/>
        <w:rPr>
          <w:sz w:val="24"/>
          <w:szCs w:val="24"/>
          <w:rtl/>
        </w:rPr>
      </w:pPr>
      <w:r>
        <w:rPr>
          <w:rFonts w:hint="cs"/>
          <w:sz w:val="24"/>
          <w:szCs w:val="24"/>
          <w:rtl/>
        </w:rPr>
        <w:t>ד. גמ' מנחות כז: "מחוסרי כפרה... אל לאו דוקא"</w:t>
      </w:r>
    </w:p>
    <w:p w:rsidR="00C26E1A" w:rsidRDefault="00C26E1A" w:rsidP="00C26E1A">
      <w:pPr>
        <w:spacing w:line="276" w:lineRule="exact"/>
        <w:rPr>
          <w:sz w:val="24"/>
          <w:szCs w:val="24"/>
          <w:rtl/>
        </w:rPr>
      </w:pPr>
      <w:r>
        <w:rPr>
          <w:rFonts w:hint="cs"/>
          <w:sz w:val="24"/>
          <w:szCs w:val="24"/>
          <w:rtl/>
        </w:rPr>
        <w:t>ה. רמב"ם הל' ביאת המקדש פ"ב ה"א-ד</w:t>
      </w:r>
    </w:p>
    <w:p w:rsidR="00C26E1A" w:rsidRDefault="00C26E1A" w:rsidP="00C26E1A">
      <w:pPr>
        <w:spacing w:line="276" w:lineRule="exact"/>
        <w:rPr>
          <w:sz w:val="24"/>
          <w:szCs w:val="24"/>
          <w:rtl/>
        </w:rPr>
      </w:pPr>
      <w:r>
        <w:rPr>
          <w:rFonts w:hint="cs"/>
          <w:sz w:val="24"/>
          <w:szCs w:val="24"/>
          <w:rtl/>
        </w:rPr>
        <w:t>ו. תוס' מנחות כז: ד"ה להיכל</w:t>
      </w:r>
    </w:p>
    <w:p w:rsidR="00C26E1A" w:rsidRDefault="00C26E1A" w:rsidP="00C26E1A">
      <w:pPr>
        <w:spacing w:line="276" w:lineRule="exact"/>
        <w:rPr>
          <w:sz w:val="24"/>
          <w:szCs w:val="24"/>
          <w:rtl/>
        </w:rPr>
      </w:pPr>
      <w:r>
        <w:rPr>
          <w:rFonts w:hint="cs"/>
          <w:sz w:val="24"/>
          <w:szCs w:val="24"/>
          <w:rtl/>
        </w:rPr>
        <w:t>ז. סמ"ג לאוין סי' שג "והנכנס להיכל... עבודה מדבר"</w:t>
      </w:r>
    </w:p>
    <w:p w:rsidR="00C26E1A" w:rsidRDefault="00C26E1A" w:rsidP="00C26E1A">
      <w:pPr>
        <w:spacing w:line="276" w:lineRule="exact"/>
        <w:rPr>
          <w:sz w:val="24"/>
          <w:szCs w:val="24"/>
          <w:rtl/>
        </w:rPr>
      </w:pPr>
      <w:r>
        <w:rPr>
          <w:rFonts w:hint="cs"/>
          <w:sz w:val="24"/>
          <w:szCs w:val="24"/>
          <w:rtl/>
        </w:rPr>
        <w:t>ח. קרן אורה מנחות כז: תוספות בד"ה להיכל</w:t>
      </w:r>
    </w:p>
    <w:p w:rsidR="00C26E1A" w:rsidRDefault="00C26E1A" w:rsidP="00C26E1A">
      <w:pPr>
        <w:spacing w:line="276" w:lineRule="exact"/>
        <w:rPr>
          <w:sz w:val="24"/>
          <w:szCs w:val="24"/>
          <w:rtl/>
        </w:rPr>
      </w:pPr>
      <w:r>
        <w:rPr>
          <w:rFonts w:hint="cs"/>
          <w:sz w:val="24"/>
          <w:szCs w:val="24"/>
          <w:rtl/>
        </w:rPr>
        <w:t>ט. חידושי הגר"מ והגרי"ד הל' עבודת יום הכיפורים פ"ה הכ"ה</w:t>
      </w:r>
    </w:p>
    <w:p w:rsidR="00C26E1A" w:rsidRDefault="00C26E1A" w:rsidP="00C26E1A">
      <w:pPr>
        <w:spacing w:line="276" w:lineRule="exact"/>
        <w:rPr>
          <w:sz w:val="24"/>
          <w:szCs w:val="24"/>
          <w:rtl/>
        </w:rPr>
      </w:pPr>
      <w:r>
        <w:rPr>
          <w:rFonts w:hint="cs"/>
          <w:sz w:val="24"/>
          <w:szCs w:val="24"/>
          <w:rtl/>
        </w:rPr>
        <w:t>י. מורה הנבוכים חלק ג פרק מה</w:t>
      </w:r>
    </w:p>
    <w:p w:rsidR="00C26E1A" w:rsidRDefault="00C26E1A" w:rsidP="00C26E1A">
      <w:pPr>
        <w:spacing w:line="276" w:lineRule="exact"/>
        <w:rPr>
          <w:sz w:val="24"/>
          <w:szCs w:val="24"/>
          <w:rtl/>
        </w:rPr>
      </w:pPr>
      <w:r>
        <w:rPr>
          <w:rFonts w:hint="cs"/>
          <w:sz w:val="24"/>
          <w:szCs w:val="24"/>
          <w:rtl/>
        </w:rPr>
        <w:t>יא. ספר החינוך מצוה קפד</w:t>
      </w:r>
    </w:p>
    <w:p w:rsidR="00C26E1A" w:rsidRDefault="00C26E1A" w:rsidP="00C26E1A">
      <w:pPr>
        <w:spacing w:line="276" w:lineRule="exact"/>
        <w:rPr>
          <w:sz w:val="24"/>
          <w:szCs w:val="24"/>
          <w:rtl/>
        </w:rPr>
      </w:pPr>
    </w:p>
    <w:p w:rsidR="00C26E1A" w:rsidRPr="00F428A3"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ספרא פרשת אחרי מות פרשה א הל' י</w:t>
      </w:r>
    </w:p>
    <w:p w:rsidR="00C26E1A" w:rsidRDefault="00C26E1A" w:rsidP="00C26E1A">
      <w:pPr>
        <w:spacing w:line="276" w:lineRule="exact"/>
        <w:rPr>
          <w:rFonts w:ascii="FrankRuehl" w:hAnsi="FrankRuehl" w:cs="FrankRuehl"/>
          <w:sz w:val="24"/>
          <w:szCs w:val="24"/>
          <w:highlight w:val="green"/>
          <w:rtl/>
        </w:rPr>
      </w:pPr>
      <w:r w:rsidRPr="00F428A3">
        <w:rPr>
          <w:rFonts w:ascii="FrankRuehl" w:hAnsi="FrankRuehl" w:cs="FrankRuehl"/>
          <w:sz w:val="24"/>
          <w:szCs w:val="24"/>
          <w:rtl/>
        </w:rPr>
        <w:t xml:space="preserve">מבית לפרוכת </w:t>
      </w:r>
      <w:r>
        <w:rPr>
          <w:rFonts w:ascii="FrankRuehl" w:hAnsi="FrankRuehl" w:cs="FrankRuehl" w:hint="cs"/>
          <w:sz w:val="24"/>
          <w:szCs w:val="24"/>
          <w:rtl/>
        </w:rPr>
        <w:t xml:space="preserve">- </w:t>
      </w:r>
      <w:r>
        <w:rPr>
          <w:rFonts w:ascii="FrankRuehl" w:hAnsi="FrankRuehl" w:cs="FrankRuehl"/>
          <w:sz w:val="24"/>
          <w:szCs w:val="24"/>
          <w:rtl/>
        </w:rPr>
        <w:t>להזהיר על כל הבית</w:t>
      </w:r>
      <w:r>
        <w:rPr>
          <w:rFonts w:ascii="FrankRuehl" w:hAnsi="FrankRuehl" w:cs="FrankRuehl" w:hint="cs"/>
          <w:sz w:val="24"/>
          <w:szCs w:val="24"/>
          <w:rtl/>
        </w:rPr>
        <w:t>.</w:t>
      </w:r>
      <w:r w:rsidRPr="00F428A3">
        <w:rPr>
          <w:rFonts w:ascii="FrankRuehl" w:hAnsi="FrankRuehl" w:cs="FrankRuehl"/>
          <w:sz w:val="24"/>
          <w:szCs w:val="24"/>
          <w:rtl/>
        </w:rPr>
        <w:t xml:space="preserve"> יכול על כל הבית במיתה</w:t>
      </w:r>
      <w:r>
        <w:rPr>
          <w:rFonts w:ascii="FrankRuehl" w:hAnsi="FrankRuehl" w:cs="FrankRuehl" w:hint="cs"/>
          <w:sz w:val="24"/>
          <w:szCs w:val="24"/>
          <w:rtl/>
        </w:rPr>
        <w:t>?</w:t>
      </w:r>
      <w:r w:rsidRPr="00F428A3">
        <w:rPr>
          <w:rFonts w:ascii="FrankRuehl" w:hAnsi="FrankRuehl" w:cs="FrankRuehl"/>
          <w:sz w:val="24"/>
          <w:szCs w:val="24"/>
          <w:rtl/>
        </w:rPr>
        <w:t xml:space="preserve"> תלמוד לומר </w:t>
      </w:r>
      <w:r>
        <w:rPr>
          <w:rFonts w:ascii="FrankRuehl" w:hAnsi="FrankRuehl" w:cs="FrankRuehl" w:hint="cs"/>
          <w:sz w:val="24"/>
          <w:szCs w:val="24"/>
          <w:rtl/>
        </w:rPr>
        <w:t>'</w:t>
      </w:r>
      <w:r w:rsidRPr="00F428A3">
        <w:rPr>
          <w:rFonts w:ascii="FrankRuehl" w:hAnsi="FrankRuehl" w:cs="FrankRuehl"/>
          <w:sz w:val="24"/>
          <w:szCs w:val="24"/>
          <w:rtl/>
        </w:rPr>
        <w:t>אל פני הכפורת אשר על הארון ולא ימות</w:t>
      </w:r>
      <w:r>
        <w:rPr>
          <w:rFonts w:ascii="FrankRuehl" w:hAnsi="FrankRuehl" w:cs="FrankRuehl" w:hint="cs"/>
          <w:sz w:val="24"/>
          <w:szCs w:val="24"/>
          <w:rtl/>
        </w:rPr>
        <w:t>'</w:t>
      </w:r>
      <w:r w:rsidRPr="00F428A3">
        <w:rPr>
          <w:rFonts w:ascii="FrankRuehl" w:hAnsi="FrankRuehl" w:cs="FrankRuehl"/>
          <w:sz w:val="24"/>
          <w:szCs w:val="24"/>
          <w:rtl/>
        </w:rPr>
        <w:t>, הא כיצד</w:t>
      </w:r>
      <w:r>
        <w:rPr>
          <w:rFonts w:ascii="FrankRuehl" w:hAnsi="FrankRuehl" w:cs="FrankRuehl" w:hint="cs"/>
          <w:sz w:val="24"/>
          <w:szCs w:val="24"/>
          <w:rtl/>
        </w:rPr>
        <w:t>?</w:t>
      </w:r>
      <w:r w:rsidRPr="00F428A3">
        <w:rPr>
          <w:rFonts w:ascii="FrankRuehl" w:hAnsi="FrankRuehl" w:cs="FrankRuehl"/>
          <w:sz w:val="24"/>
          <w:szCs w:val="24"/>
          <w:rtl/>
        </w:rPr>
        <w:t xml:space="preserve"> אל פני הכפורת במיתה, ושאר כל הבית באזהרה.</w:t>
      </w:r>
    </w:p>
    <w:p w:rsidR="00C26E1A" w:rsidRDefault="00C26E1A" w:rsidP="00C26E1A">
      <w:pPr>
        <w:spacing w:line="276" w:lineRule="exact"/>
        <w:rPr>
          <w:rFonts w:ascii="FrankRuehl" w:hAnsi="FrankRuehl" w:cs="FrankRuehl"/>
          <w:sz w:val="24"/>
          <w:szCs w:val="24"/>
          <w:highlight w:val="green"/>
          <w:rtl/>
        </w:rPr>
      </w:pPr>
    </w:p>
    <w:p w:rsidR="00C26E1A" w:rsidRPr="00ED0F0F"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סמ"ג לאוין סי' שג</w:t>
      </w:r>
    </w:p>
    <w:p w:rsidR="00C26E1A" w:rsidRDefault="00C26E1A" w:rsidP="00C26E1A">
      <w:pPr>
        <w:spacing w:line="276" w:lineRule="exact"/>
        <w:rPr>
          <w:rFonts w:ascii="FrankRuehl" w:hAnsi="FrankRuehl" w:cs="FrankRuehl"/>
          <w:sz w:val="24"/>
          <w:szCs w:val="24"/>
          <w:rtl/>
        </w:rPr>
      </w:pPr>
      <w:r w:rsidRPr="00ED0F0F">
        <w:rPr>
          <w:rFonts w:ascii="FrankRuehl" w:hAnsi="FrankRuehl" w:cs="FrankRuehl"/>
          <w:sz w:val="24"/>
          <w:szCs w:val="24"/>
          <w:rtl/>
        </w:rPr>
        <w:t xml:space="preserve">והנכנס להיכל חוץ לקדש הקדשים שלא לעבודה או להשתחוייה בין גדול בין הדיוט לוקה ואינו חייב מיתה שנאמר </w:t>
      </w:r>
      <w:r>
        <w:rPr>
          <w:rFonts w:ascii="FrankRuehl" w:hAnsi="FrankRuehl" w:cs="FrankRuehl" w:hint="cs"/>
          <w:sz w:val="24"/>
          <w:szCs w:val="24"/>
          <w:rtl/>
        </w:rPr>
        <w:t>'</w:t>
      </w:r>
      <w:r w:rsidRPr="00ED0F0F">
        <w:rPr>
          <w:rFonts w:ascii="FrankRuehl" w:hAnsi="FrankRuehl" w:cs="FrankRuehl"/>
          <w:sz w:val="24"/>
          <w:szCs w:val="24"/>
          <w:rtl/>
        </w:rPr>
        <w:t>אל פני הכפרת ולא ימות</w:t>
      </w:r>
      <w:r>
        <w:rPr>
          <w:rFonts w:ascii="FrankRuehl" w:hAnsi="FrankRuehl" w:cs="FrankRuehl" w:hint="cs"/>
          <w:sz w:val="24"/>
          <w:szCs w:val="24"/>
          <w:rtl/>
        </w:rPr>
        <w:t>' -</w:t>
      </w:r>
      <w:r w:rsidRPr="00ED0F0F">
        <w:rPr>
          <w:rFonts w:ascii="FrankRuehl" w:hAnsi="FrankRuehl" w:cs="FrankRuehl"/>
          <w:sz w:val="24"/>
          <w:szCs w:val="24"/>
          <w:rtl/>
        </w:rPr>
        <w:t xml:space="preserve"> על קדש הקדשים</w:t>
      </w:r>
      <w:r>
        <w:rPr>
          <w:rFonts w:ascii="FrankRuehl" w:hAnsi="FrankRuehl" w:cs="FrankRuehl"/>
          <w:sz w:val="24"/>
          <w:szCs w:val="24"/>
          <w:rtl/>
        </w:rPr>
        <w:t xml:space="preserve"> במיתה ועל שאר הבית בלאו ולוקה </w:t>
      </w:r>
      <w:r w:rsidRPr="00ED0F0F">
        <w:rPr>
          <w:rFonts w:ascii="FrankRuehl" w:hAnsi="FrankRuehl" w:cs="FrankRuehl"/>
          <w:sz w:val="24"/>
          <w:szCs w:val="24"/>
          <w:rtl/>
        </w:rPr>
        <w:t>אליבא דר</w:t>
      </w:r>
      <w:r>
        <w:rPr>
          <w:rFonts w:ascii="FrankRuehl" w:hAnsi="FrankRuehl" w:cs="FrankRuehl"/>
          <w:sz w:val="24"/>
          <w:szCs w:val="24"/>
          <w:rtl/>
        </w:rPr>
        <w:t>בנן בפרק הקומץ רבה</w:t>
      </w:r>
      <w:r>
        <w:rPr>
          <w:rFonts w:ascii="FrankRuehl" w:hAnsi="FrankRuehl" w:cs="FrankRuehl" w:hint="cs"/>
          <w:sz w:val="24"/>
          <w:szCs w:val="24"/>
          <w:rtl/>
        </w:rPr>
        <w:t>.</w:t>
      </w:r>
      <w:r>
        <w:rPr>
          <w:rFonts w:ascii="FrankRuehl" w:hAnsi="FrankRuehl" w:cs="FrankRuehl"/>
          <w:sz w:val="24"/>
          <w:szCs w:val="24"/>
          <w:rtl/>
        </w:rPr>
        <w:t xml:space="preserve"> ומה ששנינו במסכת תמיד</w:t>
      </w:r>
      <w:r w:rsidRPr="00ED0F0F">
        <w:rPr>
          <w:rFonts w:ascii="FrankRuehl" w:hAnsi="FrankRuehl" w:cs="FrankRuehl"/>
          <w:sz w:val="24"/>
          <w:szCs w:val="24"/>
          <w:rtl/>
        </w:rPr>
        <w:t xml:space="preserve"> </w:t>
      </w:r>
      <w:r>
        <w:rPr>
          <w:rFonts w:ascii="FrankRuehl" w:hAnsi="FrankRuehl" w:cs="FrankRuehl" w:hint="cs"/>
          <w:sz w:val="24"/>
          <w:szCs w:val="24"/>
          <w:rtl/>
        </w:rPr>
        <w:t>'</w:t>
      </w:r>
      <w:r w:rsidRPr="00ED0F0F">
        <w:rPr>
          <w:rFonts w:ascii="FrankRuehl" w:hAnsi="FrankRuehl" w:cs="FrankRuehl"/>
          <w:sz w:val="24"/>
          <w:szCs w:val="24"/>
          <w:rtl/>
        </w:rPr>
        <w:t>בזמן שכהן גדול נכנס להשתחוות</w:t>
      </w:r>
      <w:r>
        <w:rPr>
          <w:rFonts w:ascii="FrankRuehl" w:hAnsi="FrankRuehl" w:cs="FrankRuehl" w:hint="cs"/>
          <w:sz w:val="24"/>
          <w:szCs w:val="24"/>
          <w:rtl/>
        </w:rPr>
        <w:t>'</w:t>
      </w:r>
      <w:r w:rsidRPr="00ED0F0F">
        <w:rPr>
          <w:rFonts w:ascii="FrankRuehl" w:hAnsi="FrankRuehl" w:cs="FrankRuehl"/>
          <w:sz w:val="24"/>
          <w:szCs w:val="24"/>
          <w:rtl/>
        </w:rPr>
        <w:t xml:space="preserve"> כו'</w:t>
      </w:r>
      <w:r>
        <w:rPr>
          <w:rFonts w:ascii="FrankRuehl" w:hAnsi="FrankRuehl" w:cs="FrankRuehl" w:hint="cs"/>
          <w:sz w:val="24"/>
          <w:szCs w:val="24"/>
          <w:rtl/>
        </w:rPr>
        <w:t>,</w:t>
      </w:r>
      <w:r>
        <w:rPr>
          <w:rFonts w:ascii="FrankRuehl" w:hAnsi="FrankRuehl" w:cs="FrankRuehl"/>
          <w:sz w:val="24"/>
          <w:szCs w:val="24"/>
          <w:rtl/>
        </w:rPr>
        <w:t xml:space="preserve"> בגמר עבודה מדבר</w:t>
      </w:r>
      <w:r>
        <w:rPr>
          <w:rFonts w:ascii="FrankRuehl" w:hAnsi="FrankRuehl" w:cs="FrankRuehl" w:hint="cs"/>
          <w:sz w:val="24"/>
          <w:szCs w:val="24"/>
          <w:rtl/>
        </w:rPr>
        <w:t>.</w:t>
      </w:r>
    </w:p>
    <w:p w:rsidR="00C26E1A" w:rsidRDefault="00C26E1A" w:rsidP="00C26E1A">
      <w:pPr>
        <w:spacing w:line="276" w:lineRule="exact"/>
        <w:rPr>
          <w:rFonts w:ascii="FrankRuehl" w:hAnsi="FrankRuehl" w:cs="FrankRuehl"/>
          <w:sz w:val="24"/>
          <w:szCs w:val="24"/>
          <w:rtl/>
        </w:rPr>
      </w:pPr>
    </w:p>
    <w:p w:rsidR="00C26E1A"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קרן אורה מנחות כז: תוספות בד"ה להיכל</w:t>
      </w:r>
    </w:p>
    <w:p w:rsidR="00C26E1A" w:rsidRPr="009009B2" w:rsidRDefault="00C26E1A" w:rsidP="00C26E1A">
      <w:pPr>
        <w:spacing w:line="276" w:lineRule="exact"/>
        <w:rPr>
          <w:rFonts w:ascii="FrankRuehl" w:hAnsi="FrankRuehl" w:cs="FrankRuehl"/>
          <w:sz w:val="24"/>
          <w:szCs w:val="24"/>
          <w:highlight w:val="green"/>
          <w:rtl/>
        </w:rPr>
      </w:pPr>
      <w:r w:rsidRPr="009009B2">
        <w:rPr>
          <w:rFonts w:ascii="FrankRuehl" w:hAnsi="FrankRuehl" w:cs="FrankRuehl"/>
          <w:sz w:val="24"/>
          <w:szCs w:val="24"/>
          <w:rtl/>
        </w:rPr>
        <w:t xml:space="preserve">שם תוספות בד"ה להיכל כולו כו'. ותי' ר"ת דהשתחוואה צורך עבודה היא, עיין תוסי"ט ז"ל בפ"ז דתמיד במשנה הנ"ל דברי הסמ"ג דלא הותר השתחואה בהיכל אלא בגמר עבודה, ומסיק שם דמסתברא דכל השתחואה מותר, מהא דתנן סוף חגיגה (כ"ו ע"ב) דמטבילין הכלים השולחן ומנורה משום כהנים ע"ה שנכנסין להשתחות ע"ש. ובירושלמי סוף חגיגה (פ"ג ה"ח) משמע דלאו משום כהנים ע"ה הוא דמטבילין, אלא שמא כהן אחד נטמא באיזה טומאה ע"ש. ולפ"ז לא שמענו היתר להשתחואה גרידא, ועוד דא"כ לקה"ק ג"כ מותר ליכנס להשתחות, וזו לא מצינו, ובדברי הרמב"ם ז"ל (ה' ביאת מקדש פ"ב ה"ג) מבואר דכהן שנכנס לקה"ק אפילו ביוה"כ כניסה חמישית חייב מיתה, ואי בעינן דוקא עבודה א"ש, דליכא עבודה אלא ד' פעמים ביוה"כ, אבל אם השתחואה בכלל עבודה היא אף על גב דאינה מחוייבת, א"כ כי היכי דהותר בהיכל הכניסה להשתחות ה"נ תותר בקה"ק, כיון דבחד לאו כתיבי, ועוד מאי קאמרי רבנן לא ליכתוב מבית לפרוכת ונילף ק"ו מהיכל, הא לא דמי כניסה דהיכל דמותר אפילו </w:t>
      </w:r>
      <w:r w:rsidR="0096770B" w:rsidRPr="00F428A3">
        <w:rPr>
          <w:noProof/>
          <w:highlight w:val="green"/>
          <w:rtl/>
        </w:rPr>
        <w:lastRenderedPageBreak/>
        <mc:AlternateContent>
          <mc:Choice Requires="wps">
            <w:drawing>
              <wp:anchor distT="0" distB="0" distL="114300" distR="114300" simplePos="0" relativeHeight="251747328" behindDoc="1" locked="0" layoutInCell="1" allowOverlap="1" wp14:anchorId="6D88BC56" wp14:editId="31AE0F9A">
                <wp:simplePos x="0" y="0"/>
                <wp:positionH relativeFrom="margin">
                  <wp:align>center</wp:align>
                </wp:positionH>
                <wp:positionV relativeFrom="paragraph">
                  <wp:posOffset>-198120</wp:posOffset>
                </wp:positionV>
                <wp:extent cx="5765800" cy="7322820"/>
                <wp:effectExtent l="0" t="0" r="25400" b="11430"/>
                <wp:wrapNone/>
                <wp:docPr id="21" name="מלבן 21"/>
                <wp:cNvGraphicFramePr/>
                <a:graphic xmlns:a="http://schemas.openxmlformats.org/drawingml/2006/main">
                  <a:graphicData uri="http://schemas.microsoft.com/office/word/2010/wordprocessingShape">
                    <wps:wsp>
                      <wps:cNvSpPr/>
                      <wps:spPr>
                        <a:xfrm>
                          <a:off x="0" y="0"/>
                          <a:ext cx="5765800" cy="732282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ED0E3" id="מלבן 21" o:spid="_x0000_s1026" style="position:absolute;left:0;text-align:left;margin-left:0;margin-top:-15.6pt;width:454pt;height:576.6pt;z-index:-251569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RiQIAAAMFAAAOAAAAZHJzL2Uyb0RvYy54bWysVMtuGjEU3VfqP1jeNwNTCAnKECEiqkpR&#10;GimpsjYeDzOSX7UNA/2L7qv2s/idHnsm5NGsqrIwvg/fx7nnzsXlTkmyFc43Rhd0eDKgRGhuykav&#10;C/r1fvnhjBIfmC6ZNFoUdC88vZy9f3fR2qnITW1kKRxBEO2nrS1oHYKdZpnntVDMnxgrNIyVcYoF&#10;iG6dlY61iK5klg8Gp1lrXGmd4cJ7aK86I52l+FUlePhSVV4EIguK2kI6XTpX8cxmF2y6dszWDe/L&#10;YP9QhWKNRtJjqCsWGNm45q9QquHOeFOFE25UZqqq4SL1gG6Gg1fd3NXMitQLwPH2CJP/f2H5zfbW&#10;kaYsaD6kRDOFGR1+HX4efhx+E6iAT2v9FG539tb1ksc1NrurnIr/aIPsEqb7I6ZiFwiHcjw5HZ8N&#10;AD2HbfIxz8/yhHr29Nw6Hz4Jo0i8FNRhaAlLtr32ASnh+ugSs3kjm3LZSJmEvV9IR7YM8wUtStNS&#10;IpkPUBZ0mX6xB4R48Uxq0oKu54NxrIyBeJVkAVdlAYXXa0qYXIPRPLhUy4vX3q1Xx6yj0SRfjN5K&#10;Eou+Yr7uqksRohubqiaA9LJRBQU0+PWvpY5WkWjbtx7B7+COt5Up9xiXMx2PveXLBkmu0fAtcyAu&#10;usEyhi84KmnQoulvlNTGfX9LH/3BJ1gpabEIaP/bhjkBHD9rMO18OBrFzUnCaDzB+Ih7blk9t+iN&#10;WhjMAmRCdeka/YN81FbOqAfs7DxmhYlpjtwd0L2wCN2CYuu5mM+TG7bFsnCt7yyPwSNOEd773QNz&#10;tidOAOduzOPSsOkr/nS+8aU2800wVZPI9YQraBIFbFoiTP9ViKv8XE5eT9+u2R8AAAD//wMAUEsD&#10;BBQABgAIAAAAIQAqfxec3gAAAAkBAAAPAAAAZHJzL2Rvd25yZXYueG1sTI/BTsMwEETvSPyDtUjc&#10;WjtBqkoap6JICDiA2oJ6dpPFibDXIXab8PcsJzjuzGj2TbmevBNnHGIXSEM2VyCQ6tB0ZDW8vz3M&#10;liBiMtQYFwg1fGOEdXV5UZqiCSPt8LxPVnAJxcJoaFPqCylj3aI3cR56JPY+wuBN4nOwshnMyOXe&#10;yVyphfSmI/7Qmh7vW6w/9yev4Xljvw5PNtstvNuOG3pUry9BaX19Nd2tQCSc0l8YfvEZHSpmOoYT&#10;NVE4DTwkaZjdZDkItm/VkpUj57I8VyCrUv5fUP0AAAD//wMAUEsBAi0AFAAGAAgAAAAhALaDOJL+&#10;AAAA4QEAABMAAAAAAAAAAAAAAAAAAAAAAFtDb250ZW50X1R5cGVzXS54bWxQSwECLQAUAAYACAAA&#10;ACEAOP0h/9YAAACUAQAACwAAAAAAAAAAAAAAAAAvAQAAX3JlbHMvLnJlbHNQSwECLQAUAAYACAAA&#10;ACEAYYSfkYkCAAADBQAADgAAAAAAAAAAAAAAAAAuAgAAZHJzL2Uyb0RvYy54bWxQSwECLQAUAAYA&#10;CAAAACEAKn8XnN4AAAAJAQAADwAAAAAAAAAAAAAAAADjBAAAZHJzL2Rvd25yZXYueG1sUEsFBgAA&#10;AAAEAAQA8wAAAO4FAAAAAA==&#10;" fillcolor="window" strokecolor="#4472c4" strokeweight="1.5pt">
                <w10:wrap anchorx="margin"/>
              </v:rect>
            </w:pict>
          </mc:Fallback>
        </mc:AlternateContent>
      </w:r>
      <w:r w:rsidRPr="009009B2">
        <w:rPr>
          <w:rFonts w:ascii="FrankRuehl" w:hAnsi="FrankRuehl" w:cs="FrankRuehl"/>
          <w:sz w:val="24"/>
          <w:szCs w:val="24"/>
          <w:rtl/>
        </w:rPr>
        <w:t>להשתחואה לחוד, ומבית לפרוכת לא הותר אלא ביוה"כ לעבודה, ע"כ נראין דברי הסמ"ג ז"ל דלא הותר השתחואה אלא בגמר עבודה, ודו"ק, ועי' בה"ז ז"ל.</w:t>
      </w:r>
    </w:p>
    <w:p w:rsidR="00C26E1A" w:rsidRDefault="00C26E1A" w:rsidP="00C26E1A">
      <w:pPr>
        <w:spacing w:line="276" w:lineRule="exact"/>
        <w:rPr>
          <w:rFonts w:ascii="FrankRuehl" w:hAnsi="FrankRuehl" w:cs="FrankRuehl"/>
          <w:sz w:val="24"/>
          <w:szCs w:val="24"/>
          <w:rtl/>
        </w:rPr>
      </w:pPr>
    </w:p>
    <w:p w:rsidR="00C26E1A" w:rsidRPr="009009B2" w:rsidRDefault="00C26E1A" w:rsidP="00C26E1A">
      <w:pPr>
        <w:spacing w:line="276" w:lineRule="exact"/>
        <w:rPr>
          <w:rFonts w:ascii="FrankRuehl" w:hAnsi="FrankRuehl" w:cs="FrankRuehl"/>
          <w:b/>
          <w:bCs/>
          <w:sz w:val="24"/>
          <w:szCs w:val="24"/>
          <w:highlight w:val="green"/>
          <w:rtl/>
        </w:rPr>
      </w:pPr>
      <w:r w:rsidRPr="009009B2">
        <w:rPr>
          <w:rFonts w:ascii="FrankRuehl" w:hAnsi="FrankRuehl" w:cs="FrankRuehl"/>
          <w:b/>
          <w:bCs/>
          <w:sz w:val="24"/>
          <w:szCs w:val="24"/>
          <w:rtl/>
        </w:rPr>
        <w:t>חידושי הגר"מ והגרי"ד הל' עבודת יום הכיפורים פ"ה הכ"ה</w:t>
      </w:r>
    </w:p>
    <w:p w:rsidR="00C26E1A" w:rsidRDefault="00C26E1A" w:rsidP="00C26E1A">
      <w:pPr>
        <w:spacing w:line="276" w:lineRule="exact"/>
        <w:rPr>
          <w:rFonts w:ascii="FrankRuehl" w:hAnsi="FrankRuehl" w:cs="FrankRuehl"/>
          <w:sz w:val="24"/>
          <w:szCs w:val="24"/>
          <w:rtl/>
        </w:rPr>
      </w:pPr>
      <w:r w:rsidRPr="009009B2">
        <w:rPr>
          <w:rFonts w:ascii="FrankRuehl" w:hAnsi="FrankRuehl" w:cs="FrankRuehl" w:hint="cs"/>
          <w:sz w:val="24"/>
          <w:szCs w:val="24"/>
          <w:rtl/>
        </w:rPr>
        <w:t>ה</w:t>
      </w:r>
      <w:r>
        <w:rPr>
          <w:rFonts w:ascii="FrankRuehl" w:hAnsi="FrankRuehl" w:cs="FrankRuehl" w:hint="cs"/>
          <w:sz w:val="24"/>
          <w:szCs w:val="24"/>
          <w:rtl/>
        </w:rPr>
        <w:t>אור שמח בהלכות עבודות יוה"כ (פ"ה הכ"ה) נסתפק אם מותר להכנס לקדש הקדשים בתורת ספק כגון שאינו יודע אם כבר קיים איזה עבודה או לא. ויסוד הספק הוא די"ל דגם ספק הוי מתיר ביאה ריקנית והוי ביאה לצורך... אמנם נראה כי היתר כניסה וביאה לקדש הקדשים אינו תלוי כלל בחלות שם צורך, דצורך בתורת חלות היתר ביאה נאמר רק באיסור ביאה להיכל, אבל לא לקדש הקדשים, דשם אפילו ביאה לצורך אינה מותרת. והא ראיה, דהרי פסק הרמב"ם (פ"ב מה' ביאת המקדש ה"ד) דהשתחואה מתרת כניסה להיכל... ומ"מ מבואר שם (ה"ג) דבקדש הקדשים הנכנס אפילו להשתחוות חייב, ולכאורה צ"ע מאי שנא. אכן התירוץ הוא דהיכל חלוק הוא מקדש הקדשים ביסוד איסורו והיתירו. דבהיכל חלות שם ביאה ריקנית תלוי בשלא לצורך, וצורך הוא המפקיע של שם ביאה ריקנית. משא"כ בקדש הקדשים דחלות שם ביאה ריקנית לא נאמרה כלל כי אם ביאה שלא לצורך עבודה. והיינו דהמתיר של ביאת כהן גדול ביוה"כ לקדש הקדשים אינו חלות שם צורך, כי אם חלות שם עבודה... וא"כ בכניסה ע"י השתחואה אף דהויא צורך, כיון שאינה עבודה מתרת כניסה. אשר לפי זה נראה לי דבהיכל שיש חלות מתיר של ביאה בתורת צורך, ספק צורך נמי הוי מתיר של ביאה בתורת ודאי, שהספק גופא הוי הצורך, אבל להתיר ביאה לקדש הקדשים, צורך אינו חלות שם, ובעינן דוקא היתר עבודה של ביאה בתורת עבודה להתיר הביאה שם. ובספק הרי גם היתר זה נשאר רק בתורת ספק, ומה יתירו להכנס. והא דע"י מניעת ביאתו יתבטלו שאר העבודות בתורת ודאי, אין זה מתיר את איסור כניסתו לפני ולפנים, דהוי רק לצורך ולא יותר.</w:t>
      </w:r>
    </w:p>
    <w:p w:rsidR="00C26E1A" w:rsidRDefault="00C26E1A" w:rsidP="00C26E1A">
      <w:pPr>
        <w:spacing w:line="276" w:lineRule="exact"/>
        <w:rPr>
          <w:rFonts w:ascii="FrankRuehl" w:hAnsi="FrankRuehl" w:cs="FrankRuehl"/>
          <w:sz w:val="24"/>
          <w:szCs w:val="24"/>
          <w:rtl/>
        </w:rPr>
      </w:pPr>
    </w:p>
    <w:p w:rsidR="00C26E1A"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מורה הנבוכים חלק ג פרק מה</w:t>
      </w:r>
    </w:p>
    <w:p w:rsidR="00C26E1A" w:rsidRDefault="00C26E1A" w:rsidP="00C26E1A">
      <w:pPr>
        <w:spacing w:line="276" w:lineRule="exact"/>
        <w:rPr>
          <w:rFonts w:ascii="FrankRuehl" w:hAnsi="FrankRuehl" w:cs="FrankRuehl"/>
          <w:sz w:val="24"/>
          <w:szCs w:val="24"/>
          <w:rtl/>
        </w:rPr>
      </w:pPr>
      <w:r w:rsidRPr="009009B2">
        <w:rPr>
          <w:rFonts w:ascii="FrankRuehl" w:hAnsi="FrankRuehl" w:cs="FrankRuehl"/>
          <w:sz w:val="24"/>
          <w:szCs w:val="24"/>
          <w:rtl/>
        </w:rPr>
        <w:t>ומכלל הדברים המביאים להגדיל המקדש ולפארו עד שיגיע לנו יראה ממנו, שלא יבא אליו לא שכור ולא טמא ולא מי שלא רחץ ראשו רצוני לומר פרוע ראש וקרוע בגדים, ושכל עובד יקדש ידיו ורגליו</w:t>
      </w:r>
      <w:r>
        <w:rPr>
          <w:rFonts w:ascii="FrankRuehl" w:hAnsi="FrankRuehl" w:cs="FrankRuehl" w:hint="cs"/>
          <w:sz w:val="24"/>
          <w:szCs w:val="24"/>
          <w:rtl/>
        </w:rPr>
        <w:t>...</w:t>
      </w:r>
      <w:r w:rsidRPr="009009B2">
        <w:rPr>
          <w:rFonts w:ascii="FrankRuehl" w:hAnsi="FrankRuehl" w:cs="FrankRuehl"/>
          <w:sz w:val="24"/>
          <w:szCs w:val="24"/>
          <w:rtl/>
        </w:rPr>
        <w:t xml:space="preserve"> ואפילו הכהנים ג"כ הכשרים העומדים במקדש מוזהרים משבת בו ומהכנס אל ההיכל בכל עת, ומהכנס לקדשי הקדשים כלל אלא כהן גדול ביום הכפורים ד' פעמים ולא יותר, כל זה להגדיל המקדש.</w:t>
      </w:r>
      <w:r>
        <w:rPr>
          <w:rFonts w:ascii="FrankRuehl" w:hAnsi="FrankRuehl" w:cs="FrankRuehl" w:hint="cs"/>
          <w:sz w:val="24"/>
          <w:szCs w:val="24"/>
          <w:rtl/>
        </w:rPr>
        <w:t xml:space="preserve"> </w:t>
      </w:r>
    </w:p>
    <w:p w:rsidR="00C26E1A" w:rsidRDefault="00C26E1A" w:rsidP="00C26E1A">
      <w:pPr>
        <w:spacing w:line="276" w:lineRule="exact"/>
        <w:rPr>
          <w:rFonts w:ascii="FrankRuehl" w:hAnsi="FrankRuehl" w:cs="FrankRuehl"/>
          <w:sz w:val="24"/>
          <w:szCs w:val="24"/>
          <w:rtl/>
        </w:rPr>
      </w:pPr>
    </w:p>
    <w:p w:rsidR="00C26E1A"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ספר החינוך מצוה קפד</w:t>
      </w:r>
    </w:p>
    <w:p w:rsidR="00C26E1A" w:rsidRPr="0011647C" w:rsidRDefault="00C26E1A" w:rsidP="00C26E1A">
      <w:pPr>
        <w:spacing w:line="276" w:lineRule="exact"/>
        <w:rPr>
          <w:rFonts w:ascii="FrankRuehl" w:hAnsi="FrankRuehl" w:cs="FrankRuehl"/>
          <w:sz w:val="24"/>
          <w:szCs w:val="24"/>
          <w:rtl/>
        </w:rPr>
      </w:pPr>
      <w:r w:rsidRPr="0011647C">
        <w:rPr>
          <w:rFonts w:ascii="FrankRuehl" w:hAnsi="FrankRuehl" w:cs="FrankRuehl"/>
          <w:sz w:val="24"/>
          <w:szCs w:val="24"/>
          <w:rtl/>
        </w:rPr>
        <w:t xml:space="preserve">שלא יכנסו הכהנים בכל עת אל המקדש, אלא בעת העבודה, שנאמר ואל יבא בכל עת. ויזהיר בכאן כהן גדול מהכנס בבית קדש הקדשים, ואפילו ביום הכיפורים, אלא בזמן העבודה, וכן יכנס באזהרה כהן הדיוט מהכנס בהיכל כל השנה אלא בזמן העבודה. ויהיה ביאור ענין המניעה לומר שכל כהן לא יכנס במקום שהוא ראוי אלא בזמן שהוא ראוי להכנס בו, דהיינו בשעת עבודה. ולשון ספרא, ואל יבא בכל עת, זה יום הכיפורים, אל הקדש לרבות שאר ימות השנה. מבית לפרוכת להזהיר על כל הבית, יכול כל הבית במיתה, תלמוד לומר אל פני הכפורת אשר על הארון ולא ימות, הא כיצד, אל פני הכפורת במיתה, ועל שאר כל הבית באזהרה. ובגמרא מנחות אמרו זכרונם לברכה על ההיכל בארבעים. משרשי המצוה, שיקבעו המשרתים בנפשותם גדולת המקום ומעלתו, ותהיה יראתו תמיד על פניהם. </w:t>
      </w:r>
    </w:p>
    <w:p w:rsidR="00C26E1A" w:rsidRPr="0011647C" w:rsidRDefault="00C26E1A" w:rsidP="00C26E1A">
      <w:pPr>
        <w:spacing w:line="276" w:lineRule="exact"/>
        <w:rPr>
          <w:rFonts w:ascii="FrankRuehl" w:hAnsi="FrankRuehl" w:cs="FrankRuehl"/>
          <w:sz w:val="24"/>
          <w:szCs w:val="24"/>
          <w:rtl/>
        </w:rPr>
      </w:pPr>
    </w:p>
    <w:p w:rsidR="00C26E1A" w:rsidRPr="00F428A3" w:rsidRDefault="00C26E1A" w:rsidP="00C26E1A">
      <w:pPr>
        <w:spacing w:line="276" w:lineRule="exact"/>
        <w:rPr>
          <w:rFonts w:ascii="FrankRuehl" w:hAnsi="FrankRuehl" w:cs="FrankRuehl"/>
          <w:b/>
          <w:bCs/>
          <w:sz w:val="24"/>
          <w:szCs w:val="24"/>
          <w:highlight w:val="green"/>
          <w:rtl/>
        </w:rPr>
      </w:pPr>
    </w:p>
    <w:p w:rsidR="00C26E1A" w:rsidRDefault="00C26E1A" w:rsidP="00C26E1A">
      <w:pPr>
        <w:spacing w:before="200" w:line="276" w:lineRule="exact"/>
        <w:ind w:firstLine="227"/>
        <w:rPr>
          <w:sz w:val="24"/>
          <w:szCs w:val="24"/>
          <w:rtl/>
        </w:rPr>
      </w:pPr>
      <w:r>
        <w:rPr>
          <w:rFonts w:hint="cs"/>
          <w:sz w:val="24"/>
          <w:szCs w:val="24"/>
          <w:rtl/>
        </w:rPr>
        <w:t>בשיעורים הקודמים עסקנו בגורל הנעשה על שני השעירים. בשיעורים הבאים נעסוק בכניסת הכהן הגדול לקודש הקדשים. כהקדמה לכך נעסוק באיסור הכניסה לקודש הקדשים, וביחס בין איסור זה לאיסור 'ביאה ריקנית' להיכל.</w:t>
      </w:r>
    </w:p>
    <w:p w:rsidR="00C26E1A" w:rsidRDefault="00C26E1A" w:rsidP="00C26E1A">
      <w:pPr>
        <w:spacing w:before="200" w:line="276" w:lineRule="exact"/>
        <w:ind w:firstLine="227"/>
        <w:rPr>
          <w:sz w:val="24"/>
          <w:szCs w:val="24"/>
          <w:rtl/>
        </w:rPr>
      </w:pPr>
      <w:r w:rsidRPr="00F428A3">
        <w:rPr>
          <w:rFonts w:hint="cs"/>
          <w:sz w:val="24"/>
          <w:szCs w:val="24"/>
          <w:rtl/>
        </w:rPr>
        <w:t>ב</w:t>
      </w:r>
      <w:r>
        <w:rPr>
          <w:rFonts w:hint="cs"/>
          <w:sz w:val="24"/>
          <w:szCs w:val="24"/>
          <w:rtl/>
        </w:rPr>
        <w:t>פרשת אחרי מות מזהירה התורה:</w:t>
      </w:r>
    </w:p>
    <w:p w:rsidR="00C26E1A" w:rsidRDefault="00C26E1A" w:rsidP="00C26E1A">
      <w:pPr>
        <w:spacing w:before="200" w:line="276" w:lineRule="exact"/>
        <w:ind w:left="720"/>
        <w:rPr>
          <w:sz w:val="24"/>
          <w:szCs w:val="24"/>
          <w:rtl/>
        </w:rPr>
      </w:pPr>
      <w:r w:rsidRPr="00F428A3">
        <w:rPr>
          <w:sz w:val="24"/>
          <w:szCs w:val="24"/>
          <w:rtl/>
        </w:rPr>
        <w:t>ויאמר ה' אל משה דבר אל אהרן אחיך ואל יבא בכל עת אל הקדש מבית לפרכת</w:t>
      </w:r>
      <w:r>
        <w:rPr>
          <w:rFonts w:hint="cs"/>
          <w:sz w:val="24"/>
          <w:szCs w:val="24"/>
          <w:rtl/>
        </w:rPr>
        <w:t>,</w:t>
      </w:r>
      <w:r w:rsidRPr="00F428A3">
        <w:rPr>
          <w:sz w:val="24"/>
          <w:szCs w:val="24"/>
          <w:rtl/>
        </w:rPr>
        <w:t xml:space="preserve"> אל פני הכפרת אשר על הארן</w:t>
      </w:r>
      <w:r>
        <w:rPr>
          <w:sz w:val="24"/>
          <w:szCs w:val="24"/>
          <w:rtl/>
        </w:rPr>
        <w:t xml:space="preserve"> ולא ימות כי בענן אראה על הכפרת</w:t>
      </w:r>
      <w:r>
        <w:rPr>
          <w:rFonts w:hint="cs"/>
          <w:sz w:val="24"/>
          <w:szCs w:val="24"/>
          <w:rtl/>
        </w:rPr>
        <w:t>.</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[ויקרא טז, ב]</w:t>
      </w:r>
    </w:p>
    <w:p w:rsidR="00C26E1A" w:rsidRDefault="00C26E1A" w:rsidP="00C26E1A">
      <w:pPr>
        <w:spacing w:before="200" w:line="276" w:lineRule="exact"/>
        <w:ind w:firstLine="227"/>
        <w:rPr>
          <w:sz w:val="24"/>
          <w:szCs w:val="24"/>
          <w:rtl/>
        </w:rPr>
      </w:pPr>
      <w:r>
        <w:rPr>
          <w:rFonts w:hint="cs"/>
          <w:sz w:val="24"/>
          <w:szCs w:val="24"/>
          <w:rtl/>
        </w:rPr>
        <w:lastRenderedPageBreak/>
        <w:t>בפשטות, אזהרה זו אמורה על קודש הקדשים לבדו: במקום זה שורה השכינה, ובשל כך אסורה הכניסה לשם</w:t>
      </w:r>
      <w:r>
        <w:rPr>
          <w:rStyle w:val="a7"/>
          <w:sz w:val="24"/>
          <w:szCs w:val="24"/>
          <w:rtl/>
        </w:rPr>
        <w:footnoteReference w:id="90"/>
      </w:r>
      <w:r>
        <w:rPr>
          <w:rFonts w:hint="cs"/>
          <w:sz w:val="24"/>
          <w:szCs w:val="24"/>
          <w:rtl/>
        </w:rPr>
        <w:t>.</w:t>
      </w:r>
    </w:p>
    <w:p w:rsidR="00C26E1A" w:rsidRDefault="00C26E1A" w:rsidP="00C26E1A">
      <w:pPr>
        <w:spacing w:before="200" w:line="276" w:lineRule="exact"/>
        <w:ind w:firstLine="227"/>
        <w:rPr>
          <w:sz w:val="24"/>
          <w:szCs w:val="24"/>
          <w:rtl/>
        </w:rPr>
      </w:pPr>
      <w:r>
        <w:rPr>
          <w:rFonts w:hint="cs"/>
          <w:sz w:val="24"/>
          <w:szCs w:val="24"/>
          <w:rtl/>
        </w:rPr>
        <w:t>הבנה זו משתמעת מדברי המשנה במסכת כלים:</w:t>
      </w:r>
    </w:p>
    <w:p w:rsidR="00C26E1A" w:rsidRDefault="00C26E1A" w:rsidP="00C26E1A">
      <w:pPr>
        <w:spacing w:before="200" w:line="276" w:lineRule="exact"/>
        <w:ind w:firstLine="720"/>
        <w:rPr>
          <w:sz w:val="24"/>
          <w:szCs w:val="24"/>
          <w:rtl/>
        </w:rPr>
      </w:pPr>
      <w:r w:rsidRPr="006D2916">
        <w:rPr>
          <w:sz w:val="24"/>
          <w:szCs w:val="24"/>
          <w:rtl/>
        </w:rPr>
        <w:t>קדש הקדשים מקודש מהם</w:t>
      </w:r>
      <w:r>
        <w:rPr>
          <w:rFonts w:hint="cs"/>
          <w:sz w:val="24"/>
          <w:szCs w:val="24"/>
          <w:rtl/>
        </w:rPr>
        <w:t>,</w:t>
      </w:r>
      <w:r w:rsidRPr="006D2916">
        <w:rPr>
          <w:sz w:val="24"/>
          <w:szCs w:val="24"/>
          <w:rtl/>
        </w:rPr>
        <w:t xml:space="preserve"> שאין נכנס לשם אלא כהן גדול ביום הכפורים בשעת העבודה</w:t>
      </w:r>
      <w:r>
        <w:rPr>
          <w:rFonts w:hint="cs"/>
          <w:sz w:val="24"/>
          <w:szCs w:val="24"/>
          <w:rtl/>
        </w:rPr>
        <w:t>.</w:t>
      </w:r>
    </w:p>
    <w:p w:rsidR="00C26E1A" w:rsidRDefault="00C26E1A" w:rsidP="00C26E1A">
      <w:pPr>
        <w:spacing w:before="200" w:line="276" w:lineRule="exact"/>
        <w:ind w:firstLine="720"/>
        <w:jc w:val="right"/>
        <w:rPr>
          <w:sz w:val="24"/>
          <w:szCs w:val="24"/>
          <w:rtl/>
        </w:rPr>
      </w:pPr>
      <w:r>
        <w:rPr>
          <w:rFonts w:hint="cs"/>
          <w:sz w:val="20"/>
          <w:szCs w:val="20"/>
          <w:rtl/>
        </w:rPr>
        <w:t>[משנה כלים פ"א מ"ט]</w:t>
      </w:r>
    </w:p>
    <w:p w:rsidR="00C26E1A" w:rsidRDefault="00C26E1A" w:rsidP="00C26E1A">
      <w:pPr>
        <w:spacing w:before="200" w:line="276" w:lineRule="exact"/>
        <w:ind w:firstLine="227"/>
        <w:rPr>
          <w:sz w:val="24"/>
          <w:szCs w:val="24"/>
          <w:rtl/>
        </w:rPr>
      </w:pPr>
      <w:r>
        <w:rPr>
          <w:rFonts w:hint="cs"/>
          <w:sz w:val="24"/>
          <w:szCs w:val="24"/>
          <w:rtl/>
        </w:rPr>
        <w:t>אולם, בספרא מבואר כי הכתוב דלעיל אינו מתייחס לקודש הקדשים לבדו, והוא מלמד על איסור 'ביאה ריקנית' גם להיכל:</w:t>
      </w:r>
    </w:p>
    <w:p w:rsidR="00C26E1A" w:rsidRDefault="00C26E1A" w:rsidP="00C26E1A">
      <w:pPr>
        <w:spacing w:before="200" w:line="276" w:lineRule="exact"/>
        <w:ind w:left="720"/>
        <w:rPr>
          <w:sz w:val="24"/>
          <w:szCs w:val="24"/>
          <w:rtl/>
        </w:rPr>
      </w:pPr>
      <w:r>
        <w:rPr>
          <w:sz w:val="24"/>
          <w:szCs w:val="24"/>
          <w:rtl/>
        </w:rPr>
        <w:t>מבית לפרוכת –</w:t>
      </w:r>
      <w:r>
        <w:rPr>
          <w:rFonts w:hint="cs"/>
          <w:sz w:val="24"/>
          <w:szCs w:val="24"/>
          <w:rtl/>
        </w:rPr>
        <w:t xml:space="preserve"> </w:t>
      </w:r>
      <w:r w:rsidRPr="001E7ED0">
        <w:rPr>
          <w:sz w:val="24"/>
          <w:szCs w:val="24"/>
          <w:rtl/>
        </w:rPr>
        <w:t>להזהיר על כל הבית. יכול על כל הבית במיתה? תלמוד לומר 'אל פני הכפורת אשר על הארון ולא ימות', הא כיצד? אל פני הכפורת במיתה, ושאר כל הבית באזהרה.</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[ספרא פרשת אחרי מות פרשה א הל' י]</w:t>
      </w:r>
    </w:p>
    <w:p w:rsidR="00C26E1A" w:rsidRDefault="00C26E1A" w:rsidP="00C26E1A">
      <w:pPr>
        <w:spacing w:before="200" w:line="276" w:lineRule="exact"/>
        <w:ind w:firstLine="227"/>
        <w:rPr>
          <w:sz w:val="24"/>
          <w:szCs w:val="24"/>
          <w:rtl/>
        </w:rPr>
      </w:pPr>
      <w:r>
        <w:rPr>
          <w:rFonts w:hint="cs"/>
          <w:sz w:val="24"/>
          <w:szCs w:val="24"/>
          <w:rtl/>
        </w:rPr>
        <w:t xml:space="preserve">לפי דרשה זו, הכתוב מדבר על שלושה מקומות: "הקודש" </w:t>
      </w:r>
      <w:r>
        <w:rPr>
          <w:sz w:val="24"/>
          <w:szCs w:val="24"/>
          <w:rtl/>
        </w:rPr>
        <w:t>–</w:t>
      </w:r>
      <w:r>
        <w:rPr>
          <w:rFonts w:hint="cs"/>
          <w:sz w:val="24"/>
          <w:szCs w:val="24"/>
          <w:rtl/>
        </w:rPr>
        <w:t xml:space="preserve"> ההיכל, "מבית לפרוכת" </w:t>
      </w:r>
      <w:r>
        <w:rPr>
          <w:sz w:val="24"/>
          <w:szCs w:val="24"/>
          <w:rtl/>
        </w:rPr>
        <w:t>–</w:t>
      </w:r>
      <w:r>
        <w:rPr>
          <w:rFonts w:hint="cs"/>
          <w:sz w:val="24"/>
          <w:szCs w:val="24"/>
          <w:rtl/>
        </w:rPr>
        <w:t xml:space="preserve"> קודש הקדשים, ו"אל פני הכפורת אשר על הארון" </w:t>
      </w:r>
      <w:r>
        <w:rPr>
          <w:sz w:val="24"/>
          <w:szCs w:val="24"/>
          <w:rtl/>
        </w:rPr>
        <w:t>–</w:t>
      </w:r>
      <w:r>
        <w:rPr>
          <w:rFonts w:hint="cs"/>
          <w:sz w:val="24"/>
          <w:szCs w:val="24"/>
          <w:rtl/>
        </w:rPr>
        <w:t xml:space="preserve"> מקום הארון. בהתאם לכך, דרשה זו מחלקת כתוב זה לשני חלקים:</w:t>
      </w:r>
    </w:p>
    <w:p w:rsidR="00C26E1A" w:rsidRDefault="00C26E1A" w:rsidP="00C26E1A">
      <w:pPr>
        <w:pStyle w:val="a8"/>
        <w:numPr>
          <w:ilvl w:val="0"/>
          <w:numId w:val="5"/>
        </w:numPr>
        <w:spacing w:before="200" w:line="276" w:lineRule="exact"/>
        <w:rPr>
          <w:sz w:val="24"/>
          <w:szCs w:val="24"/>
        </w:rPr>
      </w:pPr>
      <w:r w:rsidRPr="00F32F50">
        <w:rPr>
          <w:rFonts w:hint="cs"/>
          <w:sz w:val="24"/>
          <w:szCs w:val="24"/>
          <w:rtl/>
        </w:rPr>
        <w:t>"ואל יבא בכל עת אל הקדש מבית לפרכת"</w:t>
      </w:r>
      <w:r>
        <w:rPr>
          <w:rFonts w:hint="cs"/>
          <w:sz w:val="24"/>
          <w:szCs w:val="24"/>
          <w:rtl/>
        </w:rPr>
        <w:t xml:space="preserve"> </w:t>
      </w:r>
      <w:r>
        <w:rPr>
          <w:sz w:val="24"/>
          <w:szCs w:val="24"/>
          <w:rtl/>
        </w:rPr>
        <w:t>–</w:t>
      </w:r>
      <w:r>
        <w:rPr>
          <w:rFonts w:hint="cs"/>
          <w:sz w:val="24"/>
          <w:szCs w:val="24"/>
          <w:rtl/>
        </w:rPr>
        <w:t xml:space="preserve"> איסור כניסה לקודש ולקודש הקדשים</w:t>
      </w:r>
      <w:r w:rsidRPr="00F32F50">
        <w:rPr>
          <w:rFonts w:hint="cs"/>
          <w:sz w:val="24"/>
          <w:szCs w:val="24"/>
          <w:rtl/>
        </w:rPr>
        <w:t>.</w:t>
      </w:r>
    </w:p>
    <w:p w:rsidR="00C26E1A" w:rsidRDefault="00C26E1A" w:rsidP="00C26E1A">
      <w:pPr>
        <w:pStyle w:val="a8"/>
        <w:numPr>
          <w:ilvl w:val="0"/>
          <w:numId w:val="5"/>
        </w:numPr>
        <w:spacing w:before="200" w:line="276" w:lineRule="exact"/>
        <w:rPr>
          <w:sz w:val="24"/>
          <w:szCs w:val="24"/>
        </w:rPr>
      </w:pPr>
      <w:r>
        <w:rPr>
          <w:rFonts w:hint="cs"/>
          <w:sz w:val="24"/>
          <w:szCs w:val="24"/>
          <w:rtl/>
        </w:rPr>
        <w:t xml:space="preserve">"אל פני הכפורת אשר על הארון ולא ימות" </w:t>
      </w:r>
      <w:r>
        <w:rPr>
          <w:sz w:val="24"/>
          <w:szCs w:val="24"/>
          <w:rtl/>
        </w:rPr>
        <w:t>–</w:t>
      </w:r>
      <w:r>
        <w:rPr>
          <w:rFonts w:hint="cs"/>
          <w:sz w:val="24"/>
          <w:szCs w:val="24"/>
          <w:rtl/>
        </w:rPr>
        <w:t xml:space="preserve"> חיוב מיתה על הכניסה למקום הארון</w:t>
      </w:r>
      <w:r>
        <w:rPr>
          <w:rStyle w:val="a7"/>
          <w:sz w:val="24"/>
          <w:szCs w:val="24"/>
          <w:rtl/>
        </w:rPr>
        <w:footnoteReference w:id="91"/>
      </w:r>
      <w:r>
        <w:rPr>
          <w:rFonts w:hint="cs"/>
          <w:sz w:val="24"/>
          <w:szCs w:val="24"/>
          <w:rtl/>
        </w:rPr>
        <w:t>.</w:t>
      </w:r>
    </w:p>
    <w:p w:rsidR="00C26E1A" w:rsidRDefault="00C26E1A" w:rsidP="00C26E1A">
      <w:pPr>
        <w:spacing w:before="200" w:line="276" w:lineRule="exact"/>
        <w:ind w:firstLine="227"/>
        <w:rPr>
          <w:sz w:val="24"/>
          <w:szCs w:val="24"/>
          <w:rtl/>
        </w:rPr>
      </w:pPr>
      <w:r>
        <w:rPr>
          <w:rFonts w:hint="cs"/>
          <w:sz w:val="24"/>
          <w:szCs w:val="24"/>
          <w:rtl/>
        </w:rPr>
        <w:t>הגמרא</w:t>
      </w:r>
      <w:r w:rsidRPr="003D283B">
        <w:rPr>
          <w:rFonts w:hint="cs"/>
          <w:sz w:val="24"/>
          <w:szCs w:val="24"/>
          <w:rtl/>
        </w:rPr>
        <w:t xml:space="preserve"> במסכת מנחות מביאה </w:t>
      </w:r>
      <w:r>
        <w:rPr>
          <w:rFonts w:hint="cs"/>
          <w:sz w:val="24"/>
          <w:szCs w:val="24"/>
          <w:rtl/>
        </w:rPr>
        <w:t>בעניין זה מחלוקת תנאים:</w:t>
      </w:r>
    </w:p>
    <w:p w:rsidR="00C26E1A" w:rsidRDefault="00C26E1A" w:rsidP="00C26E1A">
      <w:pPr>
        <w:spacing w:before="200" w:line="276" w:lineRule="exact"/>
        <w:ind w:left="720"/>
        <w:rPr>
          <w:sz w:val="24"/>
          <w:szCs w:val="24"/>
          <w:rtl/>
        </w:rPr>
      </w:pPr>
      <w:r w:rsidRPr="003D283B">
        <w:rPr>
          <w:sz w:val="24"/>
          <w:szCs w:val="24"/>
          <w:rtl/>
        </w:rPr>
        <w:t>וטהורים שנכנסו לפנים ממחיצתן להיכל כולו בארבעים</w:t>
      </w:r>
      <w:r>
        <w:rPr>
          <w:rFonts w:hint="cs"/>
          <w:sz w:val="24"/>
          <w:szCs w:val="24"/>
          <w:rtl/>
        </w:rPr>
        <w:t>,</w:t>
      </w:r>
      <w:r w:rsidRPr="003D283B">
        <w:rPr>
          <w:sz w:val="24"/>
          <w:szCs w:val="24"/>
          <w:rtl/>
        </w:rPr>
        <w:t xml:space="preserve"> מבית לפרכת אל פני הכפרת במיתה</w:t>
      </w:r>
      <w:r>
        <w:rPr>
          <w:rFonts w:hint="cs"/>
          <w:sz w:val="24"/>
          <w:szCs w:val="24"/>
          <w:rtl/>
        </w:rPr>
        <w:t>.</w:t>
      </w:r>
      <w:r w:rsidRPr="003D283B">
        <w:rPr>
          <w:sz w:val="24"/>
          <w:szCs w:val="24"/>
          <w:rtl/>
        </w:rPr>
        <w:t xml:space="preserve"> רבי יהודה אומ</w:t>
      </w:r>
      <w:r>
        <w:rPr>
          <w:rFonts w:hint="cs"/>
          <w:sz w:val="24"/>
          <w:szCs w:val="24"/>
          <w:rtl/>
        </w:rPr>
        <w:t>ר:</w:t>
      </w:r>
      <w:r w:rsidRPr="003D283B">
        <w:rPr>
          <w:sz w:val="24"/>
          <w:szCs w:val="24"/>
          <w:rtl/>
        </w:rPr>
        <w:t xml:space="preserve"> כל היכל כולו ומבית לפרכת בארבעים</w:t>
      </w:r>
      <w:r>
        <w:rPr>
          <w:rFonts w:hint="cs"/>
          <w:sz w:val="24"/>
          <w:szCs w:val="24"/>
          <w:rtl/>
        </w:rPr>
        <w:t>,</w:t>
      </w:r>
      <w:r w:rsidRPr="003D283B">
        <w:rPr>
          <w:sz w:val="24"/>
          <w:szCs w:val="24"/>
          <w:rtl/>
        </w:rPr>
        <w:t xml:space="preserve"> ואל פני הכפרת במיתה</w:t>
      </w:r>
      <w:r>
        <w:rPr>
          <w:rFonts w:hint="cs"/>
          <w:sz w:val="24"/>
          <w:szCs w:val="24"/>
          <w:rtl/>
        </w:rPr>
        <w:t>.</w:t>
      </w:r>
    </w:p>
    <w:p w:rsidR="00C26E1A" w:rsidRPr="003D283B" w:rsidRDefault="00C26E1A" w:rsidP="00C26E1A">
      <w:pPr>
        <w:spacing w:before="200" w:line="276" w:lineRule="exact"/>
        <w:ind w:left="720"/>
        <w:jc w:val="right"/>
        <w:rPr>
          <w:sz w:val="20"/>
          <w:szCs w:val="20"/>
          <w:rtl/>
        </w:rPr>
      </w:pPr>
      <w:r>
        <w:rPr>
          <w:rFonts w:hint="cs"/>
          <w:sz w:val="20"/>
          <w:szCs w:val="20"/>
          <w:rtl/>
        </w:rPr>
        <w:t>[מנחות כז:]</w:t>
      </w:r>
    </w:p>
    <w:p w:rsidR="00C26E1A" w:rsidRDefault="00C26E1A" w:rsidP="00C26E1A">
      <w:pPr>
        <w:spacing w:before="200" w:line="276" w:lineRule="exact"/>
        <w:ind w:firstLine="227"/>
        <w:rPr>
          <w:sz w:val="24"/>
          <w:szCs w:val="24"/>
          <w:rtl/>
        </w:rPr>
      </w:pPr>
      <w:r>
        <w:rPr>
          <w:rFonts w:hint="cs"/>
          <w:sz w:val="24"/>
          <w:szCs w:val="24"/>
          <w:rtl/>
        </w:rPr>
        <w:t>דרשת הספרא זהה לשיטת רבי יהודה, ועל פיה רק כניסה "אל פני הכפרת" גורמת למיתה. לעומת זאת, לשיטת רבנן, גם כניסה לקודש הקדשים גורמת למיתה</w:t>
      </w:r>
      <w:r>
        <w:rPr>
          <w:rStyle w:val="a7"/>
          <w:sz w:val="24"/>
          <w:szCs w:val="24"/>
          <w:rtl/>
        </w:rPr>
        <w:footnoteReference w:id="92"/>
      </w:r>
      <w:r>
        <w:rPr>
          <w:rFonts w:hint="cs"/>
          <w:sz w:val="24"/>
          <w:szCs w:val="24"/>
          <w:rtl/>
        </w:rPr>
        <w:t xml:space="preserve">. </w:t>
      </w:r>
    </w:p>
    <w:p w:rsidR="00C26E1A" w:rsidRDefault="00C26E1A" w:rsidP="00C26E1A">
      <w:pPr>
        <w:spacing w:before="200" w:line="276" w:lineRule="exact"/>
        <w:ind w:firstLine="227"/>
        <w:rPr>
          <w:sz w:val="24"/>
          <w:szCs w:val="24"/>
          <w:rtl/>
        </w:rPr>
      </w:pPr>
      <w:r>
        <w:rPr>
          <w:rFonts w:hint="cs"/>
          <w:sz w:val="24"/>
          <w:szCs w:val="24"/>
          <w:rtl/>
        </w:rPr>
        <w:t>על כל פנים, לכל דעות התנאים, לא רק הכניסה לקודש הקדשים אסורה, אלא אסורה כל כניסה אל ההיכל שלא לשם עבודה.</w:t>
      </w:r>
    </w:p>
    <w:p w:rsidR="00C26E1A" w:rsidRDefault="00C26E1A" w:rsidP="00C26E1A">
      <w:pPr>
        <w:spacing w:before="200" w:line="276" w:lineRule="exact"/>
        <w:ind w:firstLine="227"/>
        <w:rPr>
          <w:sz w:val="24"/>
          <w:szCs w:val="24"/>
          <w:rtl/>
        </w:rPr>
      </w:pPr>
    </w:p>
    <w:p w:rsidR="00C26E1A" w:rsidRDefault="00C26E1A" w:rsidP="00C26E1A">
      <w:pPr>
        <w:spacing w:before="200" w:line="276" w:lineRule="exact"/>
        <w:ind w:firstLine="227"/>
        <w:rPr>
          <w:sz w:val="24"/>
          <w:szCs w:val="24"/>
          <w:rtl/>
        </w:rPr>
      </w:pPr>
      <w:r>
        <w:rPr>
          <w:rFonts w:hint="cs"/>
          <w:sz w:val="24"/>
          <w:szCs w:val="24"/>
          <w:rtl/>
        </w:rPr>
        <w:t xml:space="preserve">הראשונים נחלקו האם מותרת הכניסה להיכל לצורך השתחוויה. תוספות מביאים את קושיית רבנו יום טוב מלפנצו על איסור 'ביאה ריקנית' להיכל מהמשנה במסכת תמיד </w:t>
      </w:r>
      <w:r>
        <w:rPr>
          <w:rFonts w:hint="cs"/>
          <w:sz w:val="20"/>
          <w:szCs w:val="20"/>
          <w:rtl/>
        </w:rPr>
        <w:t>[פ"ז מ"א]</w:t>
      </w:r>
      <w:r>
        <w:rPr>
          <w:rFonts w:hint="cs"/>
          <w:sz w:val="24"/>
          <w:szCs w:val="24"/>
          <w:rtl/>
        </w:rPr>
        <w:t>, בה מבואר שהכהן הגדול היה נכנס להיכל כדי להשתחוות:</w:t>
      </w:r>
    </w:p>
    <w:p w:rsidR="00C26E1A" w:rsidRDefault="00C26E1A" w:rsidP="00C26E1A">
      <w:pPr>
        <w:spacing w:before="200" w:line="276" w:lineRule="exact"/>
        <w:ind w:left="720"/>
        <w:rPr>
          <w:sz w:val="24"/>
          <w:szCs w:val="24"/>
          <w:rtl/>
        </w:rPr>
      </w:pPr>
      <w:r>
        <w:rPr>
          <w:sz w:val="24"/>
          <w:szCs w:val="24"/>
          <w:rtl/>
        </w:rPr>
        <w:t>הקשה ה"ר י</w:t>
      </w:r>
      <w:r>
        <w:rPr>
          <w:rFonts w:hint="cs"/>
          <w:sz w:val="24"/>
          <w:szCs w:val="24"/>
          <w:rtl/>
        </w:rPr>
        <w:t>ום טוב</w:t>
      </w:r>
      <w:r w:rsidRPr="00B33738">
        <w:rPr>
          <w:sz w:val="24"/>
          <w:szCs w:val="24"/>
          <w:rtl/>
        </w:rPr>
        <w:t xml:space="preserve"> מלפנצו מה</w:t>
      </w:r>
      <w:r>
        <w:rPr>
          <w:sz w:val="24"/>
          <w:szCs w:val="24"/>
          <w:rtl/>
        </w:rPr>
        <w:t xml:space="preserve">א דתנן בפרק בתרא דתמיד </w:t>
      </w:r>
      <w:r>
        <w:rPr>
          <w:rFonts w:hint="cs"/>
          <w:sz w:val="24"/>
          <w:szCs w:val="24"/>
          <w:rtl/>
        </w:rPr>
        <w:t>'</w:t>
      </w:r>
      <w:r>
        <w:rPr>
          <w:sz w:val="24"/>
          <w:szCs w:val="24"/>
          <w:rtl/>
        </w:rPr>
        <w:t>בזמן ש</w:t>
      </w:r>
      <w:r>
        <w:rPr>
          <w:rFonts w:hint="cs"/>
          <w:sz w:val="24"/>
          <w:szCs w:val="24"/>
          <w:rtl/>
        </w:rPr>
        <w:t>כהן גדול</w:t>
      </w:r>
      <w:r w:rsidRPr="00B33738">
        <w:rPr>
          <w:sz w:val="24"/>
          <w:szCs w:val="24"/>
          <w:rtl/>
        </w:rPr>
        <w:t xml:space="preserve"> נכנס להשתח</w:t>
      </w:r>
      <w:r>
        <w:rPr>
          <w:rFonts w:hint="cs"/>
          <w:sz w:val="24"/>
          <w:szCs w:val="24"/>
          <w:rtl/>
        </w:rPr>
        <w:t>ו</w:t>
      </w:r>
      <w:r>
        <w:rPr>
          <w:sz w:val="24"/>
          <w:szCs w:val="24"/>
          <w:rtl/>
        </w:rPr>
        <w:t>ות לשם</w:t>
      </w:r>
      <w:r>
        <w:rPr>
          <w:rFonts w:hint="cs"/>
          <w:sz w:val="24"/>
          <w:szCs w:val="24"/>
          <w:rtl/>
        </w:rPr>
        <w:t>,</w:t>
      </w:r>
      <w:r>
        <w:rPr>
          <w:sz w:val="24"/>
          <w:szCs w:val="24"/>
          <w:rtl/>
        </w:rPr>
        <w:t xml:space="preserve"> שלשה</w:t>
      </w:r>
      <w:r w:rsidRPr="00B33738">
        <w:rPr>
          <w:sz w:val="24"/>
          <w:szCs w:val="24"/>
          <w:rtl/>
        </w:rPr>
        <w:t xml:space="preserve"> אוחזין בו א</w:t>
      </w:r>
      <w:r>
        <w:rPr>
          <w:rFonts w:hint="cs"/>
          <w:sz w:val="24"/>
          <w:szCs w:val="24"/>
          <w:rtl/>
        </w:rPr>
        <w:t>חד</w:t>
      </w:r>
      <w:r>
        <w:rPr>
          <w:sz w:val="24"/>
          <w:szCs w:val="24"/>
          <w:rtl/>
        </w:rPr>
        <w:t xml:space="preserve"> מימינו וא</w:t>
      </w:r>
      <w:r>
        <w:rPr>
          <w:rFonts w:hint="cs"/>
          <w:sz w:val="24"/>
          <w:szCs w:val="24"/>
          <w:rtl/>
        </w:rPr>
        <w:t>חד</w:t>
      </w:r>
      <w:r w:rsidRPr="00B33738">
        <w:rPr>
          <w:sz w:val="24"/>
          <w:szCs w:val="24"/>
          <w:rtl/>
        </w:rPr>
        <w:t xml:space="preserve"> משמאלו ואחד באבנים טובות כו'</w:t>
      </w:r>
      <w:r>
        <w:rPr>
          <w:rFonts w:hint="cs"/>
          <w:sz w:val="24"/>
          <w:szCs w:val="24"/>
          <w:rtl/>
        </w:rPr>
        <w:t>,</w:t>
      </w:r>
      <w:r w:rsidRPr="00B33738">
        <w:rPr>
          <w:sz w:val="24"/>
          <w:szCs w:val="24"/>
          <w:rtl/>
        </w:rPr>
        <w:t xml:space="preserve"> הגביה לו הפרוכת נכנס והשתחווה ויצא</w:t>
      </w:r>
      <w:r>
        <w:rPr>
          <w:rFonts w:hint="cs"/>
          <w:sz w:val="24"/>
          <w:szCs w:val="24"/>
          <w:rtl/>
        </w:rPr>
        <w:t>,</w:t>
      </w:r>
      <w:r w:rsidRPr="00B33738">
        <w:rPr>
          <w:sz w:val="24"/>
          <w:szCs w:val="24"/>
          <w:rtl/>
        </w:rPr>
        <w:t xml:space="preserve"> נכנסו אחיו הכהנים והשתחוו ויצאו</w:t>
      </w:r>
      <w:r>
        <w:rPr>
          <w:rFonts w:hint="cs"/>
          <w:sz w:val="24"/>
          <w:szCs w:val="24"/>
          <w:rtl/>
        </w:rPr>
        <w:t>'.</w:t>
      </w:r>
      <w:r w:rsidRPr="00B33738">
        <w:rPr>
          <w:sz w:val="24"/>
          <w:szCs w:val="24"/>
          <w:rtl/>
        </w:rPr>
        <w:t xml:space="preserve"> אלמא </w:t>
      </w:r>
      <w:r>
        <w:rPr>
          <w:rFonts w:hint="cs"/>
          <w:sz w:val="24"/>
          <w:szCs w:val="24"/>
          <w:rtl/>
        </w:rPr>
        <w:t>להיכל</w:t>
      </w:r>
      <w:r w:rsidRPr="00B33738">
        <w:rPr>
          <w:sz w:val="24"/>
          <w:szCs w:val="24"/>
          <w:rtl/>
        </w:rPr>
        <w:t xml:space="preserve"> שרו</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[תוס' מנחות כז: ד"ה להיכל]</w:t>
      </w:r>
    </w:p>
    <w:p w:rsidR="00C26E1A" w:rsidRDefault="00C26E1A" w:rsidP="00C26E1A">
      <w:pPr>
        <w:spacing w:before="200" w:line="276" w:lineRule="exact"/>
        <w:ind w:firstLine="227"/>
        <w:rPr>
          <w:sz w:val="24"/>
          <w:szCs w:val="24"/>
          <w:rtl/>
        </w:rPr>
      </w:pPr>
      <w:r>
        <w:rPr>
          <w:rFonts w:hint="cs"/>
          <w:sz w:val="24"/>
          <w:szCs w:val="24"/>
          <w:rtl/>
        </w:rPr>
        <w:lastRenderedPageBreak/>
        <w:t>תוספות מביאים את תירוצו של רבנו תם:</w:t>
      </w:r>
    </w:p>
    <w:p w:rsidR="00C26E1A" w:rsidRDefault="00C26E1A" w:rsidP="00C26E1A">
      <w:pPr>
        <w:spacing w:before="200" w:line="276" w:lineRule="exact"/>
        <w:ind w:firstLine="720"/>
        <w:rPr>
          <w:sz w:val="24"/>
          <w:szCs w:val="24"/>
          <w:rtl/>
        </w:rPr>
      </w:pPr>
      <w:r>
        <w:rPr>
          <w:sz w:val="24"/>
          <w:szCs w:val="24"/>
          <w:rtl/>
        </w:rPr>
        <w:t>ותירץ ר</w:t>
      </w:r>
      <w:r>
        <w:rPr>
          <w:rFonts w:hint="cs"/>
          <w:sz w:val="24"/>
          <w:szCs w:val="24"/>
          <w:rtl/>
        </w:rPr>
        <w:t>בנו תם,</w:t>
      </w:r>
      <w:r w:rsidRPr="00B33738">
        <w:rPr>
          <w:sz w:val="24"/>
          <w:szCs w:val="24"/>
          <w:rtl/>
        </w:rPr>
        <w:t xml:space="preserve"> דהשתחוואה </w:t>
      </w:r>
      <w:r>
        <w:rPr>
          <w:sz w:val="24"/>
          <w:szCs w:val="24"/>
          <w:rtl/>
        </w:rPr>
        <w:t>צורך עבודה היא</w:t>
      </w:r>
      <w:r>
        <w:rPr>
          <w:rFonts w:hint="cs"/>
          <w:sz w:val="24"/>
          <w:szCs w:val="24"/>
          <w:rtl/>
        </w:rPr>
        <w:t xml:space="preserve">. </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[שם]</w:t>
      </w:r>
    </w:p>
    <w:p w:rsidR="00C26E1A" w:rsidRDefault="00C26E1A" w:rsidP="00C26E1A">
      <w:pPr>
        <w:spacing w:before="200" w:line="276" w:lineRule="exact"/>
        <w:ind w:firstLine="266"/>
        <w:rPr>
          <w:sz w:val="24"/>
          <w:szCs w:val="24"/>
          <w:rtl/>
        </w:rPr>
      </w:pPr>
      <w:r>
        <w:rPr>
          <w:rFonts w:hint="cs"/>
          <w:sz w:val="24"/>
          <w:szCs w:val="24"/>
          <w:rtl/>
        </w:rPr>
        <w:t>לדברי רבנו תם, מותרת כניסה להיכל לצורך השתחוויה, הואיל "דהשתחוואה צורך עבודה היא".</w:t>
      </w:r>
    </w:p>
    <w:p w:rsidR="00C26E1A" w:rsidRDefault="00C26E1A" w:rsidP="00C26E1A">
      <w:pPr>
        <w:spacing w:before="200" w:line="276" w:lineRule="exact"/>
        <w:ind w:firstLine="266"/>
        <w:rPr>
          <w:sz w:val="24"/>
          <w:szCs w:val="24"/>
          <w:rtl/>
        </w:rPr>
      </w:pPr>
      <w:r>
        <w:rPr>
          <w:rFonts w:hint="cs"/>
          <w:sz w:val="24"/>
          <w:szCs w:val="24"/>
          <w:rtl/>
        </w:rPr>
        <w:t>הסמ"ג חולק וסובר כי הכניסה להיכל לצורך השתחוויה אסורה:</w:t>
      </w:r>
    </w:p>
    <w:p w:rsidR="00C26E1A" w:rsidRDefault="00C26E1A" w:rsidP="00C26E1A">
      <w:pPr>
        <w:spacing w:before="200" w:line="276" w:lineRule="exact"/>
        <w:ind w:left="720"/>
        <w:rPr>
          <w:sz w:val="24"/>
          <w:szCs w:val="24"/>
          <w:rtl/>
        </w:rPr>
      </w:pPr>
      <w:r>
        <w:rPr>
          <w:sz w:val="24"/>
          <w:szCs w:val="24"/>
          <w:rtl/>
        </w:rPr>
        <w:t xml:space="preserve">ומה ששנינו במסכת תמיד </w:t>
      </w:r>
      <w:r>
        <w:rPr>
          <w:rFonts w:hint="cs"/>
          <w:sz w:val="24"/>
          <w:szCs w:val="24"/>
          <w:rtl/>
        </w:rPr>
        <w:t>'</w:t>
      </w:r>
      <w:r w:rsidRPr="00DC32A1">
        <w:rPr>
          <w:sz w:val="24"/>
          <w:szCs w:val="24"/>
          <w:rtl/>
        </w:rPr>
        <w:t>בזמן שכהן גדול נכנס להשתחוות</w:t>
      </w:r>
      <w:r>
        <w:rPr>
          <w:rFonts w:hint="cs"/>
          <w:sz w:val="24"/>
          <w:szCs w:val="24"/>
          <w:rtl/>
        </w:rPr>
        <w:t>'</w:t>
      </w:r>
      <w:r w:rsidRPr="00DC32A1">
        <w:rPr>
          <w:sz w:val="24"/>
          <w:szCs w:val="24"/>
          <w:rtl/>
        </w:rPr>
        <w:t xml:space="preserve"> כו'</w:t>
      </w:r>
      <w:r>
        <w:rPr>
          <w:rFonts w:hint="cs"/>
          <w:sz w:val="24"/>
          <w:szCs w:val="24"/>
          <w:rtl/>
        </w:rPr>
        <w:t>,</w:t>
      </w:r>
      <w:r w:rsidRPr="00DC32A1">
        <w:rPr>
          <w:sz w:val="24"/>
          <w:szCs w:val="24"/>
          <w:rtl/>
        </w:rPr>
        <w:t xml:space="preserve"> בגמר עבודה מדבר</w:t>
      </w:r>
      <w:r>
        <w:rPr>
          <w:rFonts w:hint="cs"/>
          <w:sz w:val="24"/>
          <w:szCs w:val="24"/>
          <w:rtl/>
        </w:rPr>
        <w:t xml:space="preserve">. </w:t>
      </w:r>
    </w:p>
    <w:p w:rsidR="00C26E1A" w:rsidRDefault="00C26E1A" w:rsidP="00C26E1A">
      <w:pPr>
        <w:spacing w:before="200" w:line="276" w:lineRule="exact"/>
        <w:ind w:left="720"/>
        <w:jc w:val="right"/>
        <w:rPr>
          <w:sz w:val="24"/>
          <w:szCs w:val="24"/>
          <w:rtl/>
        </w:rPr>
      </w:pPr>
      <w:r>
        <w:rPr>
          <w:rFonts w:hint="cs"/>
          <w:sz w:val="20"/>
          <w:szCs w:val="20"/>
          <w:rtl/>
        </w:rPr>
        <w:t>[סמ"ג לאוין סי' שג]</w:t>
      </w:r>
    </w:p>
    <w:p w:rsidR="00C26E1A" w:rsidRDefault="00C26E1A" w:rsidP="00C26E1A">
      <w:pPr>
        <w:spacing w:before="200" w:line="276" w:lineRule="exact"/>
        <w:ind w:firstLine="266"/>
        <w:rPr>
          <w:sz w:val="24"/>
          <w:szCs w:val="24"/>
          <w:rtl/>
        </w:rPr>
      </w:pPr>
      <w:r>
        <w:rPr>
          <w:rFonts w:hint="cs"/>
          <w:sz w:val="24"/>
          <w:szCs w:val="24"/>
          <w:rtl/>
        </w:rPr>
        <w:t xml:space="preserve">הקרן אורה מקשה על שיטת רבנו תם המתיר להיכנס לקודש הקדשים לצורך השתחוויה: </w:t>
      </w:r>
    </w:p>
    <w:p w:rsidR="00C26E1A" w:rsidRDefault="00C26E1A" w:rsidP="00C26E1A">
      <w:pPr>
        <w:spacing w:before="200" w:line="276" w:lineRule="exact"/>
        <w:ind w:left="720"/>
        <w:rPr>
          <w:sz w:val="24"/>
          <w:szCs w:val="24"/>
          <w:rtl/>
        </w:rPr>
      </w:pPr>
      <w:r w:rsidRPr="00856384">
        <w:rPr>
          <w:sz w:val="24"/>
          <w:szCs w:val="24"/>
          <w:rtl/>
        </w:rPr>
        <w:t>דא</w:t>
      </w:r>
      <w:r>
        <w:rPr>
          <w:rFonts w:hint="cs"/>
          <w:sz w:val="24"/>
          <w:szCs w:val="24"/>
          <w:rtl/>
        </w:rPr>
        <w:t xml:space="preserve">ם כן לקודש הקדשים גם כן </w:t>
      </w:r>
      <w:r w:rsidRPr="00856384">
        <w:rPr>
          <w:sz w:val="24"/>
          <w:szCs w:val="24"/>
          <w:rtl/>
        </w:rPr>
        <w:t>מותר ליכנס להשתחות, וזו לא מצינו, ובדברי הרמב"ם ז"ל (ה</w:t>
      </w:r>
      <w:r>
        <w:rPr>
          <w:rFonts w:hint="cs"/>
          <w:sz w:val="24"/>
          <w:szCs w:val="24"/>
          <w:rtl/>
        </w:rPr>
        <w:t>ל</w:t>
      </w:r>
      <w:r w:rsidRPr="00856384">
        <w:rPr>
          <w:sz w:val="24"/>
          <w:szCs w:val="24"/>
          <w:rtl/>
        </w:rPr>
        <w:t>' ביאת מקדש פ"ב ה"ג) מבואר דכהן שנכנס לק</w:t>
      </w:r>
      <w:r>
        <w:rPr>
          <w:rFonts w:hint="cs"/>
          <w:sz w:val="24"/>
          <w:szCs w:val="24"/>
          <w:rtl/>
        </w:rPr>
        <w:t xml:space="preserve">ודש הקדשים </w:t>
      </w:r>
      <w:r>
        <w:rPr>
          <w:sz w:val="24"/>
          <w:szCs w:val="24"/>
          <w:rtl/>
        </w:rPr>
        <w:t>אפילו ביו</w:t>
      </w:r>
      <w:r>
        <w:rPr>
          <w:rFonts w:hint="cs"/>
          <w:sz w:val="24"/>
          <w:szCs w:val="24"/>
          <w:rtl/>
        </w:rPr>
        <w:t>ם הכיפורים</w:t>
      </w:r>
      <w:r>
        <w:rPr>
          <w:sz w:val="24"/>
          <w:szCs w:val="24"/>
          <w:rtl/>
        </w:rPr>
        <w:t xml:space="preserve"> כניסה חמישית חייב מיתה</w:t>
      </w:r>
      <w:r>
        <w:rPr>
          <w:rFonts w:hint="cs"/>
          <w:sz w:val="24"/>
          <w:szCs w:val="24"/>
          <w:rtl/>
        </w:rPr>
        <w:t>.</w:t>
      </w:r>
      <w:r w:rsidRPr="00856384">
        <w:rPr>
          <w:sz w:val="24"/>
          <w:szCs w:val="24"/>
          <w:rtl/>
        </w:rPr>
        <w:t xml:space="preserve"> ואי בעי</w:t>
      </w:r>
      <w:r>
        <w:rPr>
          <w:sz w:val="24"/>
          <w:szCs w:val="24"/>
          <w:rtl/>
        </w:rPr>
        <w:t>נן דוקא עבודה א</w:t>
      </w:r>
      <w:r>
        <w:rPr>
          <w:rFonts w:hint="cs"/>
          <w:sz w:val="24"/>
          <w:szCs w:val="24"/>
          <w:rtl/>
        </w:rPr>
        <w:t>תי שפיר</w:t>
      </w:r>
      <w:r w:rsidRPr="00856384">
        <w:rPr>
          <w:sz w:val="24"/>
          <w:szCs w:val="24"/>
          <w:rtl/>
        </w:rPr>
        <w:t>,</w:t>
      </w:r>
      <w:r>
        <w:rPr>
          <w:sz w:val="24"/>
          <w:szCs w:val="24"/>
          <w:rtl/>
        </w:rPr>
        <w:t xml:space="preserve"> דליכא עבודה אלא ד' פעמים ביו</w:t>
      </w:r>
      <w:r>
        <w:rPr>
          <w:rFonts w:hint="cs"/>
          <w:sz w:val="24"/>
          <w:szCs w:val="24"/>
          <w:rtl/>
        </w:rPr>
        <w:t>ם הכיפורים</w:t>
      </w:r>
      <w:r w:rsidRPr="00856384">
        <w:rPr>
          <w:sz w:val="24"/>
          <w:szCs w:val="24"/>
          <w:rtl/>
        </w:rPr>
        <w:t>, אבל אם השתחואה בכלל עבודה</w:t>
      </w:r>
      <w:r>
        <w:rPr>
          <w:sz w:val="24"/>
          <w:szCs w:val="24"/>
          <w:rtl/>
        </w:rPr>
        <w:t xml:space="preserve"> היא אף על גב דאינה מחוייבת, א</w:t>
      </w:r>
      <w:r>
        <w:rPr>
          <w:rFonts w:hint="cs"/>
          <w:sz w:val="24"/>
          <w:szCs w:val="24"/>
          <w:rtl/>
        </w:rPr>
        <w:t>ם כן</w:t>
      </w:r>
      <w:r w:rsidRPr="00856384">
        <w:rPr>
          <w:sz w:val="24"/>
          <w:szCs w:val="24"/>
          <w:rtl/>
        </w:rPr>
        <w:t xml:space="preserve"> כי הי</w:t>
      </w:r>
      <w:r>
        <w:rPr>
          <w:sz w:val="24"/>
          <w:szCs w:val="24"/>
          <w:rtl/>
        </w:rPr>
        <w:t>כי דהותר בהיכל הכניסה להשתח</w:t>
      </w:r>
      <w:r>
        <w:rPr>
          <w:rFonts w:hint="cs"/>
          <w:sz w:val="24"/>
          <w:szCs w:val="24"/>
          <w:rtl/>
        </w:rPr>
        <w:t>ו</w:t>
      </w:r>
      <w:r>
        <w:rPr>
          <w:sz w:val="24"/>
          <w:szCs w:val="24"/>
          <w:rtl/>
        </w:rPr>
        <w:t>ות ה</w:t>
      </w:r>
      <w:r>
        <w:rPr>
          <w:rFonts w:hint="cs"/>
          <w:sz w:val="24"/>
          <w:szCs w:val="24"/>
          <w:rtl/>
        </w:rPr>
        <w:t>כא נמי</w:t>
      </w:r>
      <w:r>
        <w:rPr>
          <w:sz w:val="24"/>
          <w:szCs w:val="24"/>
          <w:rtl/>
        </w:rPr>
        <w:t xml:space="preserve"> תותר בק</w:t>
      </w:r>
      <w:r>
        <w:rPr>
          <w:rFonts w:hint="cs"/>
          <w:sz w:val="24"/>
          <w:szCs w:val="24"/>
          <w:rtl/>
        </w:rPr>
        <w:t>ודש הקדשים</w:t>
      </w:r>
      <w:r w:rsidRPr="00856384">
        <w:rPr>
          <w:sz w:val="24"/>
          <w:szCs w:val="24"/>
          <w:rtl/>
        </w:rPr>
        <w:t>, כיון דבחד לאו כתיבי</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[קרן אורה מנחות כז: תוס' בד"ה להיכל]</w:t>
      </w:r>
    </w:p>
    <w:p w:rsidR="00C26E1A" w:rsidRDefault="00C26E1A" w:rsidP="00C26E1A">
      <w:pPr>
        <w:spacing w:before="200" w:line="276" w:lineRule="exact"/>
        <w:ind w:firstLine="266"/>
        <w:rPr>
          <w:sz w:val="24"/>
          <w:szCs w:val="24"/>
          <w:rtl/>
        </w:rPr>
      </w:pPr>
      <w:r>
        <w:rPr>
          <w:rFonts w:hint="cs"/>
          <w:sz w:val="24"/>
          <w:szCs w:val="24"/>
          <w:rtl/>
        </w:rPr>
        <w:t xml:space="preserve">לטענת הקרן אורה, הואיל ודבר ברור הוא שאסורה הכניסה לצורך השתחוויה לקודש הקדשים, בהכרח אסורה הכניסה לצורך השתחוויה גם להיכל </w:t>
      </w:r>
      <w:r>
        <w:rPr>
          <w:sz w:val="24"/>
          <w:szCs w:val="24"/>
          <w:rtl/>
        </w:rPr>
        <w:t>–</w:t>
      </w:r>
      <w:r>
        <w:rPr>
          <w:rFonts w:hint="cs"/>
          <w:sz w:val="24"/>
          <w:szCs w:val="24"/>
          <w:rtl/>
        </w:rPr>
        <w:t xml:space="preserve"> "כיון דבחד לאו כתיבי". </w:t>
      </w:r>
    </w:p>
    <w:p w:rsidR="00C26E1A" w:rsidRDefault="00C26E1A" w:rsidP="00C26E1A">
      <w:pPr>
        <w:spacing w:before="200" w:line="276" w:lineRule="exact"/>
        <w:ind w:firstLine="266"/>
        <w:rPr>
          <w:sz w:val="24"/>
          <w:szCs w:val="24"/>
          <w:rtl/>
        </w:rPr>
      </w:pPr>
      <w:r>
        <w:rPr>
          <w:rFonts w:hint="cs"/>
          <w:sz w:val="24"/>
          <w:szCs w:val="24"/>
          <w:rtl/>
        </w:rPr>
        <w:t>דברי הקרן אורה מבוססים על הנחה כי איסור 'ביאה ריקנית' להיכל זהה במהותו לאיסור 'ביאה ריקנית' לקודש הקדשים, והחילוק ביניהם הוא בחומרת האיסור בלבד. הגרי"ד סולוביצ'יק חולק על הנחה זו מעיקרה:</w:t>
      </w:r>
    </w:p>
    <w:p w:rsidR="00C26E1A" w:rsidRDefault="00C26E1A" w:rsidP="00C26E1A">
      <w:pPr>
        <w:spacing w:before="200" w:line="276" w:lineRule="exact"/>
        <w:ind w:left="720"/>
        <w:rPr>
          <w:sz w:val="20"/>
          <w:szCs w:val="20"/>
          <w:rtl/>
        </w:rPr>
      </w:pPr>
      <w:r>
        <w:rPr>
          <w:rFonts w:hint="cs"/>
          <w:sz w:val="24"/>
          <w:szCs w:val="24"/>
          <w:rtl/>
        </w:rPr>
        <w:t>דהיכל חלוק הוא מקודש הקדשים ביסוד איסורו והיתירו. דבהיכל חלות שם ביאה ריקנית תלויה בשלא לצורך, וצורך הוא המפקיע של שם ביאה ריקנית. מה שאין כן בקודש הקדשים דחלות שם ביאה ריקנית לא נאמרה כלל כי אם ביאה שלא לשם עבודה. והיינו דהמתיר של ביאת כהן גדול ביום הכיפורים לקודש הקדשים אינו חלות שם צורך, כי אם חלות שם עבודה, דגם הביאה עצמה היא מעבודת היום... ואם כן בכניסה על ידי השתחוואה, אף דהויא צורך, כיון שאינה עבודה אינה מתרת כניסה.</w:t>
      </w:r>
      <w:r>
        <w:rPr>
          <w:sz w:val="24"/>
          <w:szCs w:val="24"/>
          <w:rtl/>
        </w:rPr>
        <w:tab/>
      </w:r>
      <w:r>
        <w:rPr>
          <w:sz w:val="24"/>
          <w:szCs w:val="24"/>
          <w:rtl/>
        </w:rPr>
        <w:tab/>
      </w:r>
      <w:r>
        <w:rPr>
          <w:rFonts w:hint="cs"/>
          <w:sz w:val="24"/>
          <w:szCs w:val="24"/>
          <w:rtl/>
        </w:rPr>
        <w:t xml:space="preserve">  </w:t>
      </w:r>
    </w:p>
    <w:p w:rsidR="00C26E1A" w:rsidRDefault="00C26E1A" w:rsidP="00C26E1A">
      <w:pPr>
        <w:spacing w:before="200" w:line="276" w:lineRule="exact"/>
        <w:ind w:left="720"/>
        <w:jc w:val="right"/>
        <w:rPr>
          <w:sz w:val="24"/>
          <w:szCs w:val="24"/>
          <w:rtl/>
        </w:rPr>
      </w:pPr>
      <w:r>
        <w:rPr>
          <w:rFonts w:hint="cs"/>
          <w:sz w:val="20"/>
          <w:szCs w:val="20"/>
          <w:rtl/>
        </w:rPr>
        <w:t>[חידושי הגר"מ והגרי"ד הל' עבודת הכיפורים פ"ה הכ"ה]</w:t>
      </w:r>
    </w:p>
    <w:p w:rsidR="00C26E1A" w:rsidRDefault="00C26E1A" w:rsidP="00C26E1A">
      <w:pPr>
        <w:spacing w:before="200" w:line="276" w:lineRule="exact"/>
        <w:ind w:firstLine="266"/>
        <w:rPr>
          <w:sz w:val="24"/>
          <w:szCs w:val="24"/>
          <w:rtl/>
        </w:rPr>
      </w:pPr>
      <w:r>
        <w:rPr>
          <w:rFonts w:hint="cs"/>
          <w:sz w:val="24"/>
          <w:szCs w:val="24"/>
          <w:rtl/>
        </w:rPr>
        <w:t>הגרי"ד טוען כי איסור 'ביאה ריקנית' להיכל אוסר על ביאה שלא לצורך, וכל צורך מתיר את הכניסה להיכל. לעומת זאת, איסור 'ביאה ריקנית' לקודש הקדשים אוסר על כל ביאה שאינה במסגרת עבודה. מטעם זה, השתחוויה, שאינה עבודה אך אינה ביאה שלא לצורך, מותרת בהיכל ואסורה בקודש הקדשים</w:t>
      </w:r>
      <w:r>
        <w:rPr>
          <w:rStyle w:val="a7"/>
          <w:sz w:val="24"/>
          <w:szCs w:val="24"/>
          <w:rtl/>
        </w:rPr>
        <w:footnoteReference w:id="93"/>
      </w:r>
      <w:r>
        <w:rPr>
          <w:rFonts w:hint="cs"/>
          <w:sz w:val="24"/>
          <w:szCs w:val="24"/>
          <w:rtl/>
        </w:rPr>
        <w:t xml:space="preserve">. </w:t>
      </w:r>
    </w:p>
    <w:p w:rsidR="00C26E1A" w:rsidRDefault="00C26E1A" w:rsidP="00C26E1A">
      <w:pPr>
        <w:spacing w:before="200" w:line="276" w:lineRule="exact"/>
        <w:ind w:firstLine="266"/>
        <w:rPr>
          <w:sz w:val="24"/>
          <w:szCs w:val="24"/>
          <w:rtl/>
        </w:rPr>
      </w:pPr>
      <w:r>
        <w:rPr>
          <w:rFonts w:hint="cs"/>
          <w:sz w:val="24"/>
          <w:szCs w:val="24"/>
          <w:rtl/>
        </w:rPr>
        <w:t xml:space="preserve">נראה שביסוד דברי הגרי"ד עומדת הבחנה עקרונית בין שני האיסורים. איסור 'ביאה ריקנית' להיכל הוא מחמת הפגיעה בקדושת המקום הכרוכה בכניסה סתמית, ולכן כל צורך מתיר את הכניסה להיכל. איסור 'ביאה ריקנית' לקודש הקדשים, לעומת זאת, אינו מחמת הפגיעה בקדושת המקום אלא מחמת השכינה השורה במקום. בשל כך, אסורה כל ביאה לקודש הקדשים </w:t>
      </w:r>
      <w:r>
        <w:rPr>
          <w:sz w:val="24"/>
          <w:szCs w:val="24"/>
          <w:rtl/>
        </w:rPr>
        <w:t>–</w:t>
      </w:r>
      <w:r>
        <w:rPr>
          <w:rFonts w:hint="cs"/>
          <w:sz w:val="24"/>
          <w:szCs w:val="24"/>
          <w:rtl/>
        </w:rPr>
        <w:t xml:space="preserve"> גם כאשר יש בה צורך </w:t>
      </w:r>
      <w:r>
        <w:rPr>
          <w:sz w:val="24"/>
          <w:szCs w:val="24"/>
          <w:rtl/>
        </w:rPr>
        <w:t>–</w:t>
      </w:r>
      <w:r>
        <w:rPr>
          <w:rFonts w:hint="cs"/>
          <w:sz w:val="24"/>
          <w:szCs w:val="24"/>
          <w:rtl/>
        </w:rPr>
        <w:t xml:space="preserve"> מלבד ביאה הנעשית בציוויו של מקום כחלק מעבודות היום</w:t>
      </w:r>
      <w:r>
        <w:rPr>
          <w:rStyle w:val="a7"/>
          <w:sz w:val="24"/>
          <w:szCs w:val="24"/>
          <w:rtl/>
        </w:rPr>
        <w:footnoteReference w:id="94"/>
      </w:r>
      <w:r>
        <w:rPr>
          <w:rFonts w:hint="cs"/>
          <w:sz w:val="24"/>
          <w:szCs w:val="24"/>
          <w:rtl/>
        </w:rPr>
        <w:t>.</w:t>
      </w:r>
    </w:p>
    <w:p w:rsidR="00C26E1A" w:rsidRDefault="00C26E1A" w:rsidP="00C26E1A">
      <w:pPr>
        <w:spacing w:before="200" w:line="276" w:lineRule="exact"/>
        <w:ind w:firstLine="266"/>
        <w:rPr>
          <w:sz w:val="24"/>
          <w:szCs w:val="24"/>
          <w:rtl/>
        </w:rPr>
      </w:pPr>
    </w:p>
    <w:p w:rsidR="00C26E1A" w:rsidRDefault="00C26E1A" w:rsidP="00C26E1A">
      <w:pPr>
        <w:spacing w:before="200" w:line="276" w:lineRule="exact"/>
        <w:ind w:firstLine="266"/>
        <w:rPr>
          <w:sz w:val="24"/>
          <w:szCs w:val="24"/>
          <w:rtl/>
        </w:rPr>
      </w:pPr>
      <w:r>
        <w:rPr>
          <w:rFonts w:hint="cs"/>
          <w:sz w:val="24"/>
          <w:szCs w:val="24"/>
          <w:rtl/>
        </w:rPr>
        <w:t>נאמר להעמיק הבחנה זו לאור הכתובים בפרשת אחרי מות. כפי שנאמר בתחילת השיעור, מן הכתובים עולה כי איסור הכניסה "בכל עת" לקודש הקדשים נובע מן השכינה השורה שם:</w:t>
      </w:r>
    </w:p>
    <w:p w:rsidR="00C26E1A" w:rsidRPr="00A46A49" w:rsidRDefault="00C26E1A" w:rsidP="00C26E1A">
      <w:pPr>
        <w:spacing w:before="200" w:line="276" w:lineRule="exact"/>
        <w:ind w:left="720"/>
        <w:rPr>
          <w:sz w:val="20"/>
          <w:szCs w:val="20"/>
          <w:rtl/>
        </w:rPr>
      </w:pPr>
      <w:r w:rsidRPr="00E9749C">
        <w:rPr>
          <w:sz w:val="24"/>
          <w:szCs w:val="24"/>
          <w:rtl/>
        </w:rPr>
        <w:t>וידבר ה' אל משה אחרי מות שני</w:t>
      </w:r>
      <w:r>
        <w:rPr>
          <w:sz w:val="24"/>
          <w:szCs w:val="24"/>
          <w:rtl/>
        </w:rPr>
        <w:t xml:space="preserve"> בני אהרן</w:t>
      </w:r>
      <w:r>
        <w:rPr>
          <w:rFonts w:hint="cs"/>
          <w:sz w:val="24"/>
          <w:szCs w:val="24"/>
          <w:rtl/>
        </w:rPr>
        <w:t>,</w:t>
      </w:r>
      <w:r>
        <w:rPr>
          <w:sz w:val="24"/>
          <w:szCs w:val="24"/>
          <w:rtl/>
        </w:rPr>
        <w:t xml:space="preserve"> בקרבתם לפני ה' וימתו</w:t>
      </w:r>
      <w:r>
        <w:rPr>
          <w:rFonts w:hint="cs"/>
          <w:sz w:val="24"/>
          <w:szCs w:val="24"/>
          <w:rtl/>
        </w:rPr>
        <w:t>.</w:t>
      </w:r>
      <w:r w:rsidRPr="00E9749C">
        <w:rPr>
          <w:sz w:val="24"/>
          <w:szCs w:val="24"/>
          <w:rtl/>
        </w:rPr>
        <w:t xml:space="preserve"> ויאמר ה' אל משה דבר אל אהרן אחיך ואל יבא בכל עת אל הקדש מבית לפרכת</w:t>
      </w:r>
      <w:r>
        <w:rPr>
          <w:rFonts w:hint="cs"/>
          <w:sz w:val="24"/>
          <w:szCs w:val="24"/>
          <w:rtl/>
        </w:rPr>
        <w:t>,</w:t>
      </w:r>
      <w:r w:rsidRPr="00E9749C">
        <w:rPr>
          <w:sz w:val="24"/>
          <w:szCs w:val="24"/>
          <w:rtl/>
        </w:rPr>
        <w:t xml:space="preserve"> אל פני הכפרת אשר על הארן </w:t>
      </w:r>
      <w:r>
        <w:rPr>
          <w:sz w:val="24"/>
          <w:szCs w:val="24"/>
          <w:rtl/>
        </w:rPr>
        <w:t>ולא ימות כי בענן אראה על הכפרת</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[ויקרא טז, א-ב]</w:t>
      </w:r>
    </w:p>
    <w:p w:rsidR="00C26E1A" w:rsidRDefault="00C26E1A" w:rsidP="00C26E1A">
      <w:pPr>
        <w:spacing w:before="200" w:line="276" w:lineRule="exact"/>
        <w:ind w:firstLine="266"/>
        <w:rPr>
          <w:sz w:val="24"/>
          <w:szCs w:val="24"/>
          <w:rtl/>
        </w:rPr>
      </w:pPr>
      <w:r>
        <w:rPr>
          <w:rFonts w:hint="cs"/>
          <w:sz w:val="24"/>
          <w:szCs w:val="24"/>
          <w:rtl/>
        </w:rPr>
        <w:t xml:space="preserve">בשל כך </w:t>
      </w:r>
      <w:r>
        <w:rPr>
          <w:sz w:val="24"/>
          <w:szCs w:val="24"/>
          <w:rtl/>
        </w:rPr>
        <w:t>–</w:t>
      </w:r>
      <w:r>
        <w:rPr>
          <w:rFonts w:hint="cs"/>
          <w:sz w:val="24"/>
          <w:szCs w:val="24"/>
          <w:rtl/>
        </w:rPr>
        <w:t xml:space="preserve"> כפי שראינו בשיעור הראשון </w:t>
      </w:r>
      <w:r>
        <w:rPr>
          <w:rFonts w:hint="cs"/>
          <w:sz w:val="20"/>
          <w:szCs w:val="20"/>
          <w:rtl/>
        </w:rPr>
        <w:t xml:space="preserve">['סדר עבודת יום הכיפורים </w:t>
      </w:r>
      <w:r>
        <w:rPr>
          <w:sz w:val="20"/>
          <w:szCs w:val="20"/>
          <w:rtl/>
        </w:rPr>
        <w:t>–</w:t>
      </w:r>
      <w:r>
        <w:rPr>
          <w:rFonts w:hint="cs"/>
          <w:sz w:val="20"/>
          <w:szCs w:val="20"/>
          <w:rtl/>
        </w:rPr>
        <w:t xml:space="preserve"> טעמו ומהותו']</w:t>
      </w:r>
      <w:r>
        <w:rPr>
          <w:rFonts w:hint="cs"/>
          <w:sz w:val="24"/>
          <w:szCs w:val="24"/>
          <w:rtl/>
        </w:rPr>
        <w:t xml:space="preserve"> </w:t>
      </w:r>
      <w:r>
        <w:rPr>
          <w:sz w:val="24"/>
          <w:szCs w:val="24"/>
          <w:rtl/>
        </w:rPr>
        <w:t>–</w:t>
      </w:r>
      <w:r>
        <w:rPr>
          <w:rFonts w:hint="cs"/>
          <w:sz w:val="24"/>
          <w:szCs w:val="24"/>
          <w:rtl/>
        </w:rPr>
        <w:t xml:space="preserve"> התורה מפרטת מהם המעשים המאפשרים את הכניסה לקודש הקדשים:</w:t>
      </w:r>
    </w:p>
    <w:p w:rsidR="00C26E1A" w:rsidRPr="005326F6" w:rsidRDefault="00C26E1A" w:rsidP="00C26E1A">
      <w:pPr>
        <w:spacing w:before="200" w:line="276" w:lineRule="exact"/>
        <w:ind w:left="720"/>
        <w:rPr>
          <w:sz w:val="24"/>
          <w:szCs w:val="24"/>
          <w:rtl/>
        </w:rPr>
      </w:pPr>
      <w:r w:rsidRPr="008D385D">
        <w:rPr>
          <w:b/>
          <w:bCs/>
          <w:sz w:val="24"/>
          <w:szCs w:val="24"/>
          <w:rtl/>
        </w:rPr>
        <w:t>בזאת יבא אהרן אל הקדש</w:t>
      </w:r>
      <w:r>
        <w:rPr>
          <w:rFonts w:hint="cs"/>
          <w:sz w:val="24"/>
          <w:szCs w:val="24"/>
          <w:rtl/>
        </w:rPr>
        <w:t>,</w:t>
      </w:r>
      <w:r>
        <w:rPr>
          <w:sz w:val="24"/>
          <w:szCs w:val="24"/>
          <w:rtl/>
        </w:rPr>
        <w:t xml:space="preserve"> בפר בן בקר לחטאת ואיל לעלה</w:t>
      </w:r>
      <w:r>
        <w:rPr>
          <w:rFonts w:hint="cs"/>
          <w:sz w:val="24"/>
          <w:szCs w:val="24"/>
          <w:rtl/>
        </w:rPr>
        <w:t xml:space="preserve">. </w:t>
      </w:r>
      <w:r w:rsidRPr="00E9749C">
        <w:rPr>
          <w:sz w:val="24"/>
          <w:szCs w:val="24"/>
          <w:rtl/>
        </w:rPr>
        <w:t>כתנת בד קדש ילבש ומכנסי בד יהיו על בשרו ובאבנט בד יחגר ובמצנפת בד יצנף</w:t>
      </w:r>
      <w:r>
        <w:rPr>
          <w:rFonts w:hint="cs"/>
          <w:sz w:val="24"/>
          <w:szCs w:val="24"/>
          <w:rtl/>
        </w:rPr>
        <w:t>,</w:t>
      </w:r>
      <w:r w:rsidRPr="00E9749C">
        <w:rPr>
          <w:sz w:val="24"/>
          <w:szCs w:val="24"/>
          <w:rtl/>
        </w:rPr>
        <w:t xml:space="preserve"> בגדי ק</w:t>
      </w:r>
      <w:r>
        <w:rPr>
          <w:sz w:val="24"/>
          <w:szCs w:val="24"/>
          <w:rtl/>
        </w:rPr>
        <w:t>דש הם ורחץ במים את בשרו ולבשם</w:t>
      </w:r>
      <w:r>
        <w:rPr>
          <w:rFonts w:hint="cs"/>
          <w:sz w:val="24"/>
          <w:szCs w:val="24"/>
          <w:rtl/>
        </w:rPr>
        <w:t>...</w:t>
      </w:r>
      <w:r w:rsidRPr="00E9749C">
        <w:rPr>
          <w:sz w:val="24"/>
          <w:szCs w:val="24"/>
          <w:rtl/>
        </w:rPr>
        <w:t xml:space="preserve"> ולקח מלא המחתה גחלי אש מעל המזבח מלפני ה' ומלא חפניו קטרת סמים דקה</w:t>
      </w:r>
      <w:r>
        <w:rPr>
          <w:rFonts w:hint="cs"/>
          <w:sz w:val="24"/>
          <w:szCs w:val="24"/>
          <w:rtl/>
        </w:rPr>
        <w:t>,</w:t>
      </w:r>
      <w:r>
        <w:rPr>
          <w:sz w:val="24"/>
          <w:szCs w:val="24"/>
          <w:rtl/>
        </w:rPr>
        <w:t xml:space="preserve"> והביא מבית לפרכת</w:t>
      </w:r>
      <w:r>
        <w:rPr>
          <w:rFonts w:hint="cs"/>
          <w:sz w:val="24"/>
          <w:szCs w:val="24"/>
          <w:rtl/>
        </w:rPr>
        <w:t>.</w:t>
      </w:r>
      <w:r w:rsidRPr="00E9749C">
        <w:rPr>
          <w:sz w:val="24"/>
          <w:szCs w:val="24"/>
          <w:rtl/>
        </w:rPr>
        <w:t xml:space="preserve"> ונתן את הקטרת על האש לפני ה'</w:t>
      </w:r>
      <w:r>
        <w:rPr>
          <w:rFonts w:hint="cs"/>
          <w:sz w:val="24"/>
          <w:szCs w:val="24"/>
          <w:rtl/>
        </w:rPr>
        <w:t>,</w:t>
      </w:r>
      <w:r w:rsidRPr="00E9749C">
        <w:rPr>
          <w:sz w:val="24"/>
          <w:szCs w:val="24"/>
          <w:rtl/>
        </w:rPr>
        <w:t xml:space="preserve"> וכסה ענן הקטרת</w:t>
      </w:r>
      <w:r>
        <w:rPr>
          <w:sz w:val="24"/>
          <w:szCs w:val="24"/>
          <w:rtl/>
        </w:rPr>
        <w:t xml:space="preserve"> את הכפרת אשר על העדות </w:t>
      </w:r>
      <w:r w:rsidRPr="004155F7">
        <w:rPr>
          <w:b/>
          <w:bCs/>
          <w:sz w:val="24"/>
          <w:szCs w:val="24"/>
          <w:rtl/>
        </w:rPr>
        <w:t>ולא ימות</w:t>
      </w:r>
      <w:r>
        <w:rPr>
          <w:rFonts w:hint="cs"/>
          <w:sz w:val="24"/>
          <w:szCs w:val="24"/>
          <w:rtl/>
        </w:rPr>
        <w:t>.</w:t>
      </w:r>
      <w:r w:rsidRPr="00E9749C">
        <w:rPr>
          <w:sz w:val="24"/>
          <w:szCs w:val="24"/>
          <w:rtl/>
        </w:rPr>
        <w:t xml:space="preserve"> </w:t>
      </w:r>
      <w:r>
        <w:rPr>
          <w:sz w:val="24"/>
          <w:szCs w:val="24"/>
          <w:rtl/>
        </w:rPr>
        <w:tab/>
      </w:r>
      <w:r>
        <w:rPr>
          <w:sz w:val="24"/>
          <w:szCs w:val="24"/>
          <w:rtl/>
        </w:rPr>
        <w:tab/>
      </w:r>
      <w:r>
        <w:rPr>
          <w:sz w:val="24"/>
          <w:szCs w:val="24"/>
          <w:rtl/>
        </w:rPr>
        <w:tab/>
      </w:r>
      <w:r>
        <w:rPr>
          <w:sz w:val="24"/>
          <w:szCs w:val="24"/>
          <w:rtl/>
        </w:rPr>
        <w:tab/>
      </w:r>
      <w:r>
        <w:rPr>
          <w:sz w:val="20"/>
          <w:szCs w:val="20"/>
          <w:rtl/>
        </w:rPr>
        <w:tab/>
      </w:r>
      <w:r>
        <w:rPr>
          <w:sz w:val="20"/>
          <w:szCs w:val="20"/>
          <w:rtl/>
        </w:rPr>
        <w:tab/>
      </w:r>
      <w:r>
        <w:rPr>
          <w:rFonts w:hint="cs"/>
          <w:sz w:val="20"/>
          <w:szCs w:val="20"/>
          <w:rtl/>
        </w:rPr>
        <w:t xml:space="preserve">             </w:t>
      </w:r>
      <w:r>
        <w:rPr>
          <w:sz w:val="20"/>
          <w:szCs w:val="20"/>
          <w:rtl/>
        </w:rPr>
        <w:tab/>
      </w:r>
      <w:r>
        <w:rPr>
          <w:rFonts w:hint="cs"/>
          <w:sz w:val="20"/>
          <w:szCs w:val="20"/>
          <w:rtl/>
        </w:rPr>
        <w:t xml:space="preserve">       [שם, ג-יג]</w:t>
      </w:r>
    </w:p>
    <w:p w:rsidR="00C26E1A" w:rsidRDefault="00C26E1A" w:rsidP="00C26E1A">
      <w:pPr>
        <w:spacing w:before="200" w:line="276" w:lineRule="exact"/>
        <w:ind w:firstLine="227"/>
        <w:rPr>
          <w:sz w:val="24"/>
          <w:szCs w:val="24"/>
          <w:rtl/>
        </w:rPr>
      </w:pPr>
      <w:r>
        <w:rPr>
          <w:rFonts w:hint="cs"/>
          <w:sz w:val="24"/>
          <w:szCs w:val="24"/>
          <w:rtl/>
        </w:rPr>
        <w:t>העבודות המפורטות בכתובים אלו באות על מנת לאפשר את כניסת הכהן הגדול לקודש הקדשים</w:t>
      </w:r>
      <w:r>
        <w:rPr>
          <w:rStyle w:val="a7"/>
          <w:sz w:val="24"/>
          <w:szCs w:val="24"/>
          <w:rtl/>
        </w:rPr>
        <w:footnoteReference w:id="95"/>
      </w:r>
      <w:r>
        <w:rPr>
          <w:rFonts w:hint="cs"/>
          <w:sz w:val="24"/>
          <w:szCs w:val="24"/>
          <w:rtl/>
        </w:rPr>
        <w:t xml:space="preserve">; וכחלק ממגמה זו נדרש הכהן הגדול להיכנס עם קטורת: "וכסה ענן הקטרת את הכפרת אשר על העדות ולא ימות" </w:t>
      </w:r>
      <w:r>
        <w:rPr>
          <w:sz w:val="24"/>
          <w:szCs w:val="24"/>
          <w:rtl/>
        </w:rPr>
        <w:t>–</w:t>
      </w:r>
      <w:r>
        <w:rPr>
          <w:rFonts w:hint="cs"/>
          <w:sz w:val="24"/>
          <w:szCs w:val="24"/>
          <w:rtl/>
        </w:rPr>
        <w:t xml:space="preserve"> הקטרת הקטורת בקודש הקדשים היא המונעת את מיתת הכהן הגדול.</w:t>
      </w:r>
    </w:p>
    <w:p w:rsidR="00C26E1A" w:rsidRDefault="00C26E1A" w:rsidP="00C26E1A">
      <w:pPr>
        <w:spacing w:before="200" w:line="276" w:lineRule="exact"/>
        <w:ind w:firstLine="227"/>
        <w:rPr>
          <w:sz w:val="24"/>
          <w:szCs w:val="24"/>
          <w:rtl/>
        </w:rPr>
      </w:pPr>
      <w:r>
        <w:rPr>
          <w:rFonts w:hint="cs"/>
          <w:sz w:val="24"/>
          <w:szCs w:val="24"/>
          <w:rtl/>
        </w:rPr>
        <w:t>אם כן, שונה איסור 'ביאה ריקנית' להיכל ביסודו מאיסור 'ביאה ריקנית' לקודש הקדשים. ההיכל ביסודו ראוי לכניסת בני אדם, אלא שמפאת כבוד ההיכל אסורה הכניסה אליו ללא מטרה. קודש הקדשים, לעומת זאת, הוא מקום בו שורה השכינה; מקום "אש להבת שלהבת" שאדם אינו יכול להימצא בו</w:t>
      </w:r>
      <w:r>
        <w:rPr>
          <w:rStyle w:val="a7"/>
          <w:sz w:val="24"/>
          <w:szCs w:val="24"/>
          <w:rtl/>
        </w:rPr>
        <w:footnoteReference w:id="96"/>
      </w:r>
      <w:r>
        <w:rPr>
          <w:rFonts w:hint="cs"/>
          <w:sz w:val="24"/>
          <w:szCs w:val="24"/>
          <w:rtl/>
        </w:rPr>
        <w:t>. כדי לאפשר את ההימצאות במקום השכינה נדרש הכהן הגדול להקדים 'סדר עבודה' מיוחד שיתיר לו את הכניסה לקודש הקדשים, ועל ידו יצא הכהן הגדול "מבית קדשי הקדשים בשלום בלי פגע".</w:t>
      </w:r>
    </w:p>
    <w:p w:rsidR="00C26E1A" w:rsidRDefault="00C26E1A" w:rsidP="00C26E1A">
      <w:pPr>
        <w:spacing w:before="200" w:line="276" w:lineRule="exact"/>
        <w:ind w:firstLine="266"/>
        <w:rPr>
          <w:sz w:val="24"/>
          <w:szCs w:val="24"/>
          <w:rtl/>
        </w:rPr>
      </w:pPr>
    </w:p>
    <w:p w:rsidR="00C26E1A" w:rsidRDefault="00C26E1A" w:rsidP="00C26E1A">
      <w:pPr>
        <w:spacing w:before="200" w:line="276" w:lineRule="exact"/>
        <w:ind w:firstLine="266"/>
        <w:rPr>
          <w:sz w:val="24"/>
          <w:szCs w:val="24"/>
          <w:rtl/>
        </w:rPr>
      </w:pPr>
      <w:r>
        <w:rPr>
          <w:rFonts w:hint="cs"/>
          <w:sz w:val="24"/>
          <w:szCs w:val="24"/>
          <w:rtl/>
        </w:rPr>
        <w:t>מדברי הרמב"ם עולה שיטה שונה בעניין זה. לעומת הבחנה זו בין איסור הכניסה להיכל לאיסור הכניסה לקודש הקדשים, כותב הרמב"ם במורה הנבוכים:</w:t>
      </w:r>
    </w:p>
    <w:p w:rsidR="00C26E1A" w:rsidRDefault="00C26E1A" w:rsidP="00C26E1A">
      <w:pPr>
        <w:spacing w:before="200" w:line="276" w:lineRule="exact"/>
        <w:ind w:left="720"/>
        <w:rPr>
          <w:sz w:val="24"/>
          <w:szCs w:val="24"/>
          <w:rtl/>
        </w:rPr>
      </w:pPr>
      <w:r>
        <w:rPr>
          <w:sz w:val="24"/>
          <w:szCs w:val="24"/>
          <w:rtl/>
        </w:rPr>
        <w:t>ואפילו הכהנים ג</w:t>
      </w:r>
      <w:r>
        <w:rPr>
          <w:rFonts w:hint="cs"/>
          <w:sz w:val="24"/>
          <w:szCs w:val="24"/>
          <w:rtl/>
        </w:rPr>
        <w:t>ם כן</w:t>
      </w:r>
      <w:r w:rsidRPr="006D77E9">
        <w:rPr>
          <w:sz w:val="24"/>
          <w:szCs w:val="24"/>
          <w:rtl/>
        </w:rPr>
        <w:t xml:space="preserve"> הכשרים העומדים במקדש מוזהרים משבת בו ומה</w:t>
      </w:r>
      <w:r>
        <w:rPr>
          <w:rFonts w:hint="cs"/>
          <w:sz w:val="24"/>
          <w:szCs w:val="24"/>
          <w:rtl/>
        </w:rPr>
        <w:t>י</w:t>
      </w:r>
      <w:r w:rsidRPr="006D77E9">
        <w:rPr>
          <w:sz w:val="24"/>
          <w:szCs w:val="24"/>
          <w:rtl/>
        </w:rPr>
        <w:t>כנס אל ההיכל בכל עת, ומה</w:t>
      </w:r>
      <w:r>
        <w:rPr>
          <w:rFonts w:hint="cs"/>
          <w:sz w:val="24"/>
          <w:szCs w:val="24"/>
          <w:rtl/>
        </w:rPr>
        <w:t>י</w:t>
      </w:r>
      <w:r w:rsidRPr="006D77E9">
        <w:rPr>
          <w:sz w:val="24"/>
          <w:szCs w:val="24"/>
          <w:rtl/>
        </w:rPr>
        <w:t xml:space="preserve">כנס לקדשי הקדשים </w:t>
      </w:r>
      <w:r>
        <w:rPr>
          <w:sz w:val="24"/>
          <w:szCs w:val="24"/>
          <w:rtl/>
        </w:rPr>
        <w:t xml:space="preserve">כלל אלא כהן גדול ביום הכפורים </w:t>
      </w:r>
      <w:r>
        <w:rPr>
          <w:rFonts w:hint="cs"/>
          <w:sz w:val="24"/>
          <w:szCs w:val="24"/>
          <w:rtl/>
        </w:rPr>
        <w:t>ארבע</w:t>
      </w:r>
      <w:r w:rsidRPr="006D77E9">
        <w:rPr>
          <w:sz w:val="24"/>
          <w:szCs w:val="24"/>
          <w:rtl/>
        </w:rPr>
        <w:t xml:space="preserve"> פעמים ולא יותר, כל זה להגדיל המקדש.</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[מורה הנבוכים ג, מה]</w:t>
      </w:r>
    </w:p>
    <w:p w:rsidR="00C26E1A" w:rsidRDefault="00C26E1A" w:rsidP="00C26E1A">
      <w:pPr>
        <w:spacing w:before="200" w:line="276" w:lineRule="exact"/>
        <w:ind w:firstLine="266"/>
        <w:rPr>
          <w:sz w:val="24"/>
          <w:szCs w:val="24"/>
          <w:rtl/>
        </w:rPr>
      </w:pPr>
      <w:r>
        <w:rPr>
          <w:rFonts w:hint="cs"/>
          <w:sz w:val="24"/>
          <w:szCs w:val="24"/>
          <w:rtl/>
        </w:rPr>
        <w:t>הרמב"ם כורך בכריכה אחת את איסור הכניסה להיכל ולקדש הקדשים, והוא רואה את האיסור כנובע ממגמה לרומם את המקדש ולייקר אותו, דבר הנעשה על ידי הגבלת היתר הכניסה אליו</w:t>
      </w:r>
      <w:r>
        <w:rPr>
          <w:rStyle w:val="a7"/>
          <w:sz w:val="24"/>
          <w:szCs w:val="24"/>
          <w:rtl/>
        </w:rPr>
        <w:footnoteReference w:id="97"/>
      </w:r>
      <w:r>
        <w:rPr>
          <w:rFonts w:hint="cs"/>
          <w:sz w:val="24"/>
          <w:szCs w:val="24"/>
          <w:rtl/>
        </w:rPr>
        <w:t>.</w:t>
      </w:r>
    </w:p>
    <w:p w:rsidR="00C26E1A" w:rsidRDefault="00C26E1A" w:rsidP="00C26E1A">
      <w:pPr>
        <w:spacing w:before="200" w:line="276" w:lineRule="exact"/>
        <w:ind w:firstLine="266"/>
        <w:rPr>
          <w:sz w:val="24"/>
          <w:szCs w:val="24"/>
          <w:rtl/>
        </w:rPr>
      </w:pPr>
      <w:r>
        <w:rPr>
          <w:rFonts w:hint="cs"/>
          <w:sz w:val="24"/>
          <w:szCs w:val="24"/>
          <w:rtl/>
        </w:rPr>
        <w:t>הבנה זו מפורשת בדברי ספר החינוך:</w:t>
      </w:r>
    </w:p>
    <w:p w:rsidR="00C26E1A" w:rsidRDefault="00C26E1A" w:rsidP="00C26E1A">
      <w:pPr>
        <w:spacing w:before="200" w:line="276" w:lineRule="exact"/>
        <w:ind w:left="720"/>
        <w:rPr>
          <w:sz w:val="24"/>
          <w:szCs w:val="24"/>
          <w:rtl/>
        </w:rPr>
      </w:pPr>
      <w:r w:rsidRPr="00DA0899">
        <w:rPr>
          <w:b/>
          <w:bCs/>
          <w:sz w:val="24"/>
          <w:szCs w:val="24"/>
          <w:rtl/>
        </w:rPr>
        <w:lastRenderedPageBreak/>
        <w:t>שלא יכנסו הכהנים בכל עת אל המקדש אלא בעת העבודה</w:t>
      </w:r>
      <w:r>
        <w:rPr>
          <w:sz w:val="24"/>
          <w:szCs w:val="24"/>
          <w:rtl/>
        </w:rPr>
        <w:t xml:space="preserve">, שנאמר </w:t>
      </w:r>
      <w:r>
        <w:rPr>
          <w:rFonts w:hint="cs"/>
          <w:sz w:val="24"/>
          <w:szCs w:val="24"/>
          <w:rtl/>
        </w:rPr>
        <w:t>'</w:t>
      </w:r>
      <w:r w:rsidRPr="006D77E9">
        <w:rPr>
          <w:sz w:val="24"/>
          <w:szCs w:val="24"/>
          <w:rtl/>
        </w:rPr>
        <w:t>ואל יבא בכל עת</w:t>
      </w:r>
      <w:r>
        <w:rPr>
          <w:rFonts w:hint="cs"/>
          <w:sz w:val="24"/>
          <w:szCs w:val="24"/>
          <w:rtl/>
        </w:rPr>
        <w:t>'</w:t>
      </w:r>
      <w:r w:rsidRPr="006D77E9">
        <w:rPr>
          <w:sz w:val="24"/>
          <w:szCs w:val="24"/>
          <w:rtl/>
        </w:rPr>
        <w:t>. ויזהיר בכאן כהן גדול מה</w:t>
      </w:r>
      <w:r>
        <w:rPr>
          <w:rFonts w:hint="cs"/>
          <w:sz w:val="24"/>
          <w:szCs w:val="24"/>
          <w:rtl/>
        </w:rPr>
        <w:t>י</w:t>
      </w:r>
      <w:r w:rsidRPr="006D77E9">
        <w:rPr>
          <w:sz w:val="24"/>
          <w:szCs w:val="24"/>
          <w:rtl/>
        </w:rPr>
        <w:t>כנס בבית קדש הקדשים, ואפילו ביום הכיפורים, אלא בזמן העבודה, וכן יכנס באזהרה כהן הדיוט מה</w:t>
      </w:r>
      <w:r>
        <w:rPr>
          <w:rFonts w:hint="cs"/>
          <w:sz w:val="24"/>
          <w:szCs w:val="24"/>
          <w:rtl/>
        </w:rPr>
        <w:t>י</w:t>
      </w:r>
      <w:r w:rsidRPr="006D77E9">
        <w:rPr>
          <w:sz w:val="24"/>
          <w:szCs w:val="24"/>
          <w:rtl/>
        </w:rPr>
        <w:t>כנס בהיכל כל השנה אלא בזמן העבודה. ויהיה ביאור ענין המניעה לומר שכל כהן לא יכנס במקום שהוא ראוי אלא בזמן שהוא ראוי לה</w:t>
      </w:r>
      <w:r>
        <w:rPr>
          <w:rFonts w:hint="cs"/>
          <w:sz w:val="24"/>
          <w:szCs w:val="24"/>
          <w:rtl/>
        </w:rPr>
        <w:t>י</w:t>
      </w:r>
      <w:r w:rsidRPr="006D77E9">
        <w:rPr>
          <w:sz w:val="24"/>
          <w:szCs w:val="24"/>
          <w:rtl/>
        </w:rPr>
        <w:t>כנס בו, דהיינו בשעת עבודה.</w:t>
      </w:r>
      <w:r>
        <w:rPr>
          <w:rFonts w:hint="cs"/>
          <w:sz w:val="24"/>
          <w:szCs w:val="24"/>
          <w:rtl/>
        </w:rPr>
        <w:t>..</w:t>
      </w:r>
      <w:r w:rsidRPr="006D77E9">
        <w:rPr>
          <w:sz w:val="24"/>
          <w:szCs w:val="24"/>
          <w:rtl/>
        </w:rPr>
        <w:t xml:space="preserve"> משרשי המצוה, </w:t>
      </w:r>
      <w:r w:rsidRPr="00DA0899">
        <w:rPr>
          <w:b/>
          <w:bCs/>
          <w:sz w:val="24"/>
          <w:szCs w:val="24"/>
          <w:rtl/>
        </w:rPr>
        <w:t>שיקבעו המשרתים בנפשותם גדולת המקום ומעלתו, ותהיה יראתו תמיד על פניהם</w:t>
      </w:r>
      <w:r>
        <w:rPr>
          <w:sz w:val="24"/>
          <w:szCs w:val="24"/>
          <w:rtl/>
        </w:rPr>
        <w:t>.</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[ספר החינוך מצוה קפד]</w:t>
      </w:r>
    </w:p>
    <w:p w:rsidR="00C26E1A" w:rsidRDefault="00C26E1A" w:rsidP="00C26E1A">
      <w:pPr>
        <w:spacing w:before="200" w:line="276" w:lineRule="exact"/>
        <w:ind w:firstLine="266"/>
        <w:rPr>
          <w:sz w:val="24"/>
          <w:szCs w:val="24"/>
          <w:rtl/>
        </w:rPr>
      </w:pPr>
      <w:r>
        <w:rPr>
          <w:rFonts w:hint="cs"/>
          <w:sz w:val="24"/>
          <w:szCs w:val="24"/>
          <w:rtl/>
        </w:rPr>
        <w:t xml:space="preserve">הרמב"ם וספר החינוך קושרים בין שני האיסורים על בסיס ההבנה שיסוד האיסור הוא הגבלת הכניסה אל הקודש כדי לרומם אותו ולירא ממנו. אמנם, ניתן לבאר את השיטה הקושרת את איסור הכניסה להיכל ולקודש הקדשים באופן שונה. ייתכן ובשניהם יסוד האיסור הוא מחמת הקרבה למקום השכינה, דבר שאין לעשותו אלא בציוויו של מקום. קודש הקדשים הוא עיקר מקום השראת השכינה, בו שוכנת השכינה בדרך קבע, ולכן כניסה לשם שלא ברשות מחייבת מיתה. ההיכל, לעומת זאת, אינו מקום השראת השכינה בדרך קבע, אך הואיל והוא חלק מ"בית ה'", וישנם מצבים בהם השכינה ממלאת את הבית כולו </w:t>
      </w:r>
      <w:r>
        <w:rPr>
          <w:sz w:val="24"/>
          <w:szCs w:val="24"/>
          <w:rtl/>
        </w:rPr>
        <w:t>–</w:t>
      </w:r>
      <w:r>
        <w:rPr>
          <w:rFonts w:hint="cs"/>
          <w:sz w:val="24"/>
          <w:szCs w:val="24"/>
          <w:rtl/>
        </w:rPr>
        <w:t xml:space="preserve"> "וכבוד ה' מלא את המשכן" </w:t>
      </w:r>
      <w:r>
        <w:rPr>
          <w:sz w:val="24"/>
          <w:szCs w:val="24"/>
          <w:rtl/>
        </w:rPr>
        <w:t>–</w:t>
      </w:r>
      <w:r>
        <w:rPr>
          <w:rFonts w:hint="cs"/>
          <w:sz w:val="24"/>
          <w:szCs w:val="24"/>
          <w:rtl/>
        </w:rPr>
        <w:t xml:space="preserve"> אף בו אסורה 'ביאה ריקנית', והנכנס אליו שלא לצורך עבודה חייב מלקות.</w:t>
      </w:r>
    </w:p>
    <w:p w:rsidR="00C26E1A" w:rsidRDefault="00C26E1A" w:rsidP="00C26E1A">
      <w:pPr>
        <w:spacing w:before="200" w:line="276" w:lineRule="exact"/>
        <w:ind w:firstLine="266"/>
        <w:rPr>
          <w:sz w:val="24"/>
          <w:szCs w:val="24"/>
          <w:rtl/>
        </w:rPr>
      </w:pPr>
    </w:p>
    <w:p w:rsidR="00C26E1A" w:rsidRDefault="00C26E1A" w:rsidP="00C26E1A">
      <w:pPr>
        <w:spacing w:before="200" w:line="276" w:lineRule="exact"/>
        <w:ind w:firstLine="266"/>
        <w:rPr>
          <w:sz w:val="24"/>
          <w:szCs w:val="24"/>
          <w:rtl/>
        </w:rPr>
      </w:pPr>
      <w:r>
        <w:rPr>
          <w:rFonts w:hint="cs"/>
          <w:sz w:val="24"/>
          <w:szCs w:val="24"/>
          <w:rtl/>
        </w:rPr>
        <w:t>בעזרת ה' בשיעור הבא נעסוק בהקטרת הקטורת בקודש הקדשים.</w:t>
      </w:r>
    </w:p>
    <w:p w:rsidR="00C26E1A" w:rsidRDefault="00C26E1A" w:rsidP="00C26E1A">
      <w:pPr>
        <w:spacing w:before="200" w:line="276" w:lineRule="exact"/>
        <w:ind w:firstLine="266"/>
        <w:rPr>
          <w:sz w:val="24"/>
          <w:szCs w:val="24"/>
          <w:rtl/>
        </w:rPr>
      </w:pPr>
    </w:p>
    <w:p w:rsidR="00C26E1A" w:rsidRPr="00BD1981" w:rsidRDefault="00C26E1A" w:rsidP="00C26E1A">
      <w:pPr>
        <w:spacing w:before="200" w:line="276" w:lineRule="exact"/>
        <w:ind w:firstLine="227"/>
        <w:jc w:val="right"/>
        <w:rPr>
          <w:sz w:val="24"/>
          <w:szCs w:val="24"/>
        </w:rPr>
      </w:pPr>
      <w:r w:rsidRPr="00BD1981">
        <w:rPr>
          <w:rFonts w:hint="cs"/>
          <w:sz w:val="24"/>
          <w:szCs w:val="24"/>
          <w:rtl/>
        </w:rPr>
        <w:t xml:space="preserve"> </w:t>
      </w:r>
      <w:r w:rsidRPr="00BD1981">
        <w:rPr>
          <w:rFonts w:hint="cs"/>
          <w:sz w:val="24"/>
          <w:szCs w:val="24"/>
          <w:u w:val="single"/>
          <w:rtl/>
        </w:rPr>
        <w:t>להערות ולתגובות</w:t>
      </w:r>
      <w:r w:rsidRPr="00BD1981">
        <w:rPr>
          <w:rFonts w:hint="cs"/>
          <w:sz w:val="24"/>
          <w:szCs w:val="24"/>
          <w:rtl/>
        </w:rPr>
        <w:t>: שלמה ליפשיץ</w:t>
      </w:r>
    </w:p>
    <w:p w:rsidR="00C26E1A" w:rsidRDefault="00C26E1A" w:rsidP="00C26E1A">
      <w:pPr>
        <w:spacing w:line="276" w:lineRule="exact"/>
        <w:ind w:firstLine="227"/>
        <w:jc w:val="right"/>
        <w:rPr>
          <w:sz w:val="24"/>
          <w:szCs w:val="24"/>
        </w:rPr>
      </w:pPr>
      <w:hyperlink r:id="rId19" w:history="1">
        <w:r w:rsidRPr="00B64A92">
          <w:rPr>
            <w:rStyle w:val="Hyperlink"/>
            <w:sz w:val="24"/>
            <w:szCs w:val="24"/>
          </w:rPr>
          <w:t>lshlomo26@gmail.com</w:t>
        </w:r>
      </w:hyperlink>
    </w:p>
    <w:p w:rsidR="00C26E1A" w:rsidRDefault="00C26E1A" w:rsidP="00C26E1A">
      <w:pPr>
        <w:spacing w:line="276" w:lineRule="exact"/>
        <w:ind w:firstLine="227"/>
        <w:jc w:val="right"/>
        <w:rPr>
          <w:rFonts w:hint="cs"/>
          <w:sz w:val="24"/>
          <w:szCs w:val="24"/>
        </w:rPr>
      </w:pPr>
    </w:p>
    <w:p w:rsidR="00C26E1A" w:rsidRDefault="00C26E1A">
      <w:pPr>
        <w:spacing w:after="0" w:line="240" w:lineRule="auto"/>
        <w:rPr>
          <w:color w:val="525252" w:themeColor="accent3" w:themeShade="80"/>
          <w:sz w:val="28"/>
          <w:szCs w:val="28"/>
          <w:rtl/>
        </w:rPr>
      </w:pPr>
      <w:r>
        <w:rPr>
          <w:color w:val="525252" w:themeColor="accent3" w:themeShade="80"/>
          <w:sz w:val="28"/>
          <w:szCs w:val="28"/>
          <w:rtl/>
        </w:rPr>
        <w:br w:type="page"/>
      </w:r>
    </w:p>
    <w:p w:rsidR="00C26E1A" w:rsidRPr="005F2EB2" w:rsidRDefault="00C26E1A" w:rsidP="00C26E1A">
      <w:pPr>
        <w:keepNext/>
        <w:keepLines/>
        <w:spacing w:before="240" w:after="0" w:line="276" w:lineRule="auto"/>
        <w:jc w:val="center"/>
        <w:outlineLvl w:val="0"/>
        <w:rPr>
          <w:rFonts w:asciiTheme="majorHAnsi" w:eastAsiaTheme="majorEastAsia" w:hAnsiTheme="majorHAnsi"/>
          <w:bCs/>
          <w:sz w:val="36"/>
          <w:szCs w:val="36"/>
          <w:rtl/>
        </w:rPr>
      </w:pPr>
      <w:bookmarkStart w:id="81" w:name="_Toc76718834"/>
      <w:bookmarkStart w:id="82" w:name="_Toc76719174"/>
      <w:r w:rsidRPr="005F2EB2">
        <w:rPr>
          <w:rFonts w:asciiTheme="majorHAnsi" w:eastAsiaTheme="majorEastAsia" w:hAnsiTheme="majorHAnsi" w:hint="cs"/>
          <w:bCs/>
          <w:sz w:val="40"/>
          <w:szCs w:val="40"/>
          <w:rtl/>
        </w:rPr>
        <w:lastRenderedPageBreak/>
        <w:t>יסודות יומא</w:t>
      </w:r>
      <w:bookmarkEnd w:id="81"/>
      <w:bookmarkEnd w:id="82"/>
    </w:p>
    <w:p w:rsidR="00C26E1A" w:rsidRPr="005F2EB2" w:rsidRDefault="00C26E1A" w:rsidP="00C26E1A">
      <w:pPr>
        <w:keepNext/>
        <w:keepLines/>
        <w:spacing w:before="240" w:after="0" w:line="276" w:lineRule="auto"/>
        <w:jc w:val="center"/>
        <w:outlineLvl w:val="0"/>
        <w:rPr>
          <w:rFonts w:asciiTheme="majorHAnsi" w:eastAsiaTheme="majorEastAsia" w:hAnsiTheme="majorHAnsi"/>
          <w:b/>
          <w:sz w:val="32"/>
          <w:szCs w:val="32"/>
          <w:rtl/>
        </w:rPr>
      </w:pPr>
      <w:bookmarkStart w:id="83" w:name="_Toc76719175"/>
      <w:r w:rsidRPr="005F2EB2">
        <w:rPr>
          <w:rFonts w:asciiTheme="majorHAnsi" w:eastAsiaTheme="majorEastAsia" w:hAnsiTheme="majorHAnsi" w:hint="cs"/>
          <w:b/>
          <w:sz w:val="32"/>
          <w:szCs w:val="32"/>
          <w:rtl/>
        </w:rPr>
        <w:t>שיעור שלושה עשר</w:t>
      </w:r>
      <w:bookmarkEnd w:id="83"/>
    </w:p>
    <w:p w:rsidR="00C26E1A" w:rsidRPr="005F2EB2" w:rsidRDefault="00C26E1A" w:rsidP="00C26E1A">
      <w:pPr>
        <w:keepNext/>
        <w:keepLines/>
        <w:spacing w:before="240" w:after="0" w:line="276" w:lineRule="auto"/>
        <w:jc w:val="center"/>
        <w:outlineLvl w:val="0"/>
        <w:rPr>
          <w:rFonts w:asciiTheme="majorHAnsi" w:eastAsiaTheme="majorEastAsia" w:hAnsiTheme="majorHAnsi"/>
          <w:bCs/>
          <w:sz w:val="32"/>
          <w:szCs w:val="32"/>
          <w:rtl/>
        </w:rPr>
      </w:pPr>
      <w:bookmarkStart w:id="84" w:name="_Toc76718836"/>
      <w:bookmarkStart w:id="85" w:name="_Toc76719176"/>
      <w:r w:rsidRPr="005F2EB2">
        <w:rPr>
          <w:rFonts w:asciiTheme="majorHAnsi" w:eastAsiaTheme="majorEastAsia" w:hAnsiTheme="majorHAnsi" w:hint="cs"/>
          <w:bCs/>
          <w:sz w:val="36"/>
          <w:szCs w:val="36"/>
          <w:rtl/>
        </w:rPr>
        <w:t>הקטרת הקטורת</w:t>
      </w:r>
      <w:bookmarkEnd w:id="84"/>
      <w:bookmarkEnd w:id="85"/>
    </w:p>
    <w:p w:rsidR="00C26E1A" w:rsidRPr="005F2EB2" w:rsidRDefault="00C26E1A" w:rsidP="00C26E1A">
      <w:pPr>
        <w:spacing w:line="276" w:lineRule="auto"/>
        <w:rPr>
          <w:highlight w:val="green"/>
          <w:rtl/>
        </w:rPr>
      </w:pPr>
      <w:r w:rsidRPr="005F2EB2">
        <w:rPr>
          <w:noProof/>
          <w:highlight w:val="green"/>
          <w:rtl/>
        </w:rPr>
        <mc:AlternateContent>
          <mc:Choice Requires="wps">
            <w:drawing>
              <wp:anchor distT="0" distB="0" distL="114300" distR="114300" simplePos="0" relativeHeight="251694080" behindDoc="1" locked="0" layoutInCell="1" allowOverlap="1" wp14:anchorId="4FD185F1" wp14:editId="340C567A">
                <wp:simplePos x="0" y="0"/>
                <wp:positionH relativeFrom="column">
                  <wp:posOffset>-213360</wp:posOffset>
                </wp:positionH>
                <wp:positionV relativeFrom="paragraph">
                  <wp:posOffset>163830</wp:posOffset>
                </wp:positionV>
                <wp:extent cx="5765800" cy="7360920"/>
                <wp:effectExtent l="0" t="0" r="25400" b="11430"/>
                <wp:wrapNone/>
                <wp:docPr id="22" name="מלבן 22"/>
                <wp:cNvGraphicFramePr/>
                <a:graphic xmlns:a="http://schemas.openxmlformats.org/drawingml/2006/main">
                  <a:graphicData uri="http://schemas.microsoft.com/office/word/2010/wordprocessingShape">
                    <wps:wsp>
                      <wps:cNvSpPr/>
                      <wps:spPr>
                        <a:xfrm>
                          <a:off x="0" y="0"/>
                          <a:ext cx="5765800" cy="736092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8BAC" id="מלבן 22" o:spid="_x0000_s1026" style="position:absolute;left:0;text-align:left;margin-left:-16.8pt;margin-top:12.9pt;width:454pt;height:579.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BTiQIAAAMFAAAOAAAAZHJzL2Uyb0RvYy54bWysVMtuGjEU3VfqP1jeNzNQCMkoQ4SIqCpF&#10;aaSkytp4PDCSX7UNA/2L7qv2s/idHnsm5NGsqrIwvg/fx7nnzsXlTkmyFc43Rpd0cJJTIjQ3VaNX&#10;Jf16v/hwRokPTFdMGi1KuheeXk7fv7tobSGGZm1kJRxBEO2L1pZ0HYItsszztVDMnxgrNIy1cYoF&#10;iG6VVY61iK5kNszz06w1rrLOcOE9tFedkU5T/LoWPHypay8CkSVFbSGdLp3LeGbTC1asHLPrhvdl&#10;sH+oQrFGI+kx1BULjGxc81co1XBnvKnDCTcqM3XdcJF6QDeD/FU3d2tmReoF4Hh7hMn/v7D8Znvr&#10;SFOVdDikRDOFGR1+HX4efhx+E6iAT2t9Abc7e+t6yeMam93VTsV/tEF2CdP9EVOxC4RDOZ6cjs9y&#10;QM9hm3w8zc+HCfXs6bl1PnwSRpF4KanD0BKWbHvtA1LC9dElZvNGNtWikTIJez+XjmwZ5gtaVKal&#10;RDIfoCzpIv1iDwjx4pnUpAVdz/NxrIyBeLVkAVdlAYXXK0qYXIHRPLhUy4vX3q2Wx6yj0WQ4H72V&#10;JBZ9xfy6qy5FiG6sUE0A6WWjSgpo8OtfSx2tItG2bz2C38Edb0tT7TEuZzoee8sXDZJco+Fb5kBc&#10;dINlDF9w1NKgRdPfKFkb9/0tffQHn2ClpMUioP1vG+YEcPyswbTzwWgUNycJo/EE4yPuuWX53KI3&#10;am4wiwHW3vJ0jf5BPmprZ9QDdnYWs8LENEfuDuhemIduQbH1XMxmyQ3bYlm41neWx+ARpwjv/e6B&#10;OdsTJ4BzN+ZxaVjxij+db3ypzWwTTN0kcj3hCppEAZuWCNN/FeIqP5eT19O3a/oHAAD//wMAUEsD&#10;BBQABgAIAAAAIQBo6gxX4QAAAAsBAAAPAAAAZHJzL2Rvd25yZXYueG1sTI/LTsMwEEX3SPyDNUjs&#10;Wjt9hCjEqSgSAhYgWhBrNzZOhD0OsduEv2dYwXI0R/eeW20m79jJDLELKCGbC2AGm6A7tBLeXu9m&#10;BbCYFGrlAhoJ3ybCpj4/q1Spw4g7c9onyygEY6kktCn1JeexaY1XcR56g/T7CINXic7Bcj2okcK9&#10;4wshcu5Vh9TQqt7ctqb53B+9hMet/Xp/sNku9+5l3OK9eH4KQsrLi+nmGlgyU/qD4Vef1KEmp0M4&#10;oo7MSZgtlzmhEhZrmkBAcbVaATsQmRVrAbyu+P8N9Q8AAAD//wMAUEsBAi0AFAAGAAgAAAAhALaD&#10;OJL+AAAA4QEAABMAAAAAAAAAAAAAAAAAAAAAAFtDb250ZW50X1R5cGVzXS54bWxQSwECLQAUAAYA&#10;CAAAACEAOP0h/9YAAACUAQAACwAAAAAAAAAAAAAAAAAvAQAAX3JlbHMvLnJlbHNQSwECLQAUAAYA&#10;CAAAACEAWFJQU4kCAAADBQAADgAAAAAAAAAAAAAAAAAuAgAAZHJzL2Uyb0RvYy54bWxQSwECLQAU&#10;AAYACAAAACEAaOoMV+EAAAALAQAADwAAAAAAAAAAAAAAAADjBAAAZHJzL2Rvd25yZXYueG1sUEsF&#10;BgAAAAAEAAQA8wAAAPEFAAAAAA==&#10;" fillcolor="window" strokecolor="#4472c4" strokeweight="1.5pt"/>
            </w:pict>
          </mc:Fallback>
        </mc:AlternateContent>
      </w:r>
    </w:p>
    <w:p w:rsidR="00C26E1A" w:rsidRPr="00FC392E" w:rsidRDefault="00C26E1A" w:rsidP="00C26E1A">
      <w:pPr>
        <w:spacing w:line="276" w:lineRule="auto"/>
        <w:jc w:val="center"/>
        <w:rPr>
          <w:b/>
          <w:bCs/>
          <w:sz w:val="24"/>
          <w:szCs w:val="24"/>
          <w:rtl/>
        </w:rPr>
      </w:pPr>
      <w:r w:rsidRPr="00FC392E">
        <w:rPr>
          <w:rFonts w:hint="cs"/>
          <w:b/>
          <w:bCs/>
          <w:sz w:val="24"/>
          <w:szCs w:val="24"/>
          <w:rtl/>
        </w:rPr>
        <w:t>מקורות</w:t>
      </w:r>
    </w:p>
    <w:p w:rsidR="00C26E1A" w:rsidRDefault="00C26E1A" w:rsidP="00C26E1A">
      <w:pPr>
        <w:spacing w:line="276" w:lineRule="auto"/>
        <w:rPr>
          <w:sz w:val="24"/>
          <w:szCs w:val="24"/>
          <w:rtl/>
        </w:rPr>
      </w:pPr>
      <w:r>
        <w:rPr>
          <w:rFonts w:hint="cs"/>
          <w:sz w:val="24"/>
          <w:szCs w:val="24"/>
          <w:rtl/>
        </w:rPr>
        <w:t xml:space="preserve">א. </w:t>
      </w:r>
      <w:r w:rsidRPr="00FC392E">
        <w:rPr>
          <w:rFonts w:hint="cs"/>
          <w:sz w:val="24"/>
          <w:szCs w:val="24"/>
          <w:rtl/>
        </w:rPr>
        <w:t>שמות ל, א-י; ויקרא טז, א-ג; שם, יב-יג</w:t>
      </w:r>
    </w:p>
    <w:p w:rsidR="00C26E1A" w:rsidRDefault="00C26E1A" w:rsidP="00C26E1A">
      <w:pPr>
        <w:spacing w:line="276" w:lineRule="auto"/>
        <w:rPr>
          <w:sz w:val="24"/>
          <w:szCs w:val="24"/>
          <w:rtl/>
        </w:rPr>
      </w:pPr>
      <w:r>
        <w:rPr>
          <w:rFonts w:hint="cs"/>
          <w:sz w:val="24"/>
          <w:szCs w:val="24"/>
          <w:rtl/>
        </w:rPr>
        <w:t xml:space="preserve">ב. ספר המצוות לרמב"ם מ"ע כח [ומ"ע לט]; </w:t>
      </w:r>
      <w:r w:rsidRPr="00FC392E">
        <w:rPr>
          <w:sz w:val="24"/>
          <w:szCs w:val="24"/>
          <w:rtl/>
        </w:rPr>
        <w:t>חידושי מרן רי"ז הלוי הל' כלי המקדש פ"ב ה"ח</w:t>
      </w:r>
      <w:r>
        <w:rPr>
          <w:rFonts w:hint="cs"/>
          <w:sz w:val="24"/>
          <w:szCs w:val="24"/>
          <w:rtl/>
        </w:rPr>
        <w:t xml:space="preserve"> ד"ה והנה בסה"מ</w:t>
      </w:r>
    </w:p>
    <w:p w:rsidR="00C26E1A" w:rsidRDefault="00C26E1A" w:rsidP="00C26E1A">
      <w:pPr>
        <w:spacing w:line="276" w:lineRule="auto"/>
        <w:rPr>
          <w:sz w:val="24"/>
          <w:szCs w:val="24"/>
          <w:rtl/>
        </w:rPr>
      </w:pPr>
      <w:r>
        <w:rPr>
          <w:rFonts w:hint="cs"/>
          <w:sz w:val="24"/>
          <w:szCs w:val="24"/>
          <w:rtl/>
        </w:rPr>
        <w:t>ג. משנה יומא נב:; גמ' נג. "תנו רבנן ונתן... מן ההדיוט"; תוס' ישנים שם, ד"ה ותיפוק</w:t>
      </w:r>
    </w:p>
    <w:p w:rsidR="00C26E1A" w:rsidRDefault="00C26E1A" w:rsidP="00C26E1A">
      <w:pPr>
        <w:spacing w:line="276" w:lineRule="auto"/>
        <w:rPr>
          <w:sz w:val="24"/>
          <w:szCs w:val="24"/>
          <w:rtl/>
        </w:rPr>
      </w:pPr>
      <w:r>
        <w:rPr>
          <w:rFonts w:hint="cs"/>
          <w:sz w:val="24"/>
          <w:szCs w:val="24"/>
          <w:rtl/>
        </w:rPr>
        <w:t>ד. ספר החינוך מ"ע קג; ספורנו שמות ל, א</w:t>
      </w:r>
    </w:p>
    <w:p w:rsidR="00C26E1A" w:rsidRDefault="00C26E1A" w:rsidP="00C26E1A">
      <w:pPr>
        <w:spacing w:line="276" w:lineRule="auto"/>
        <w:rPr>
          <w:sz w:val="24"/>
          <w:szCs w:val="24"/>
          <w:rtl/>
        </w:rPr>
      </w:pPr>
      <w:r>
        <w:rPr>
          <w:rFonts w:hint="cs"/>
          <w:sz w:val="24"/>
          <w:szCs w:val="24"/>
          <w:rtl/>
        </w:rPr>
        <w:t>ה. רשב"ם ויקרא טז, ב; בכור שור ויקרא טז, יד</w:t>
      </w:r>
    </w:p>
    <w:p w:rsidR="00C26E1A" w:rsidRDefault="00C26E1A" w:rsidP="00C26E1A">
      <w:pPr>
        <w:spacing w:line="276" w:lineRule="auto"/>
        <w:rPr>
          <w:sz w:val="24"/>
          <w:szCs w:val="24"/>
          <w:rtl/>
        </w:rPr>
      </w:pPr>
      <w:r>
        <w:rPr>
          <w:rFonts w:hint="cs"/>
          <w:sz w:val="24"/>
          <w:szCs w:val="24"/>
          <w:rtl/>
        </w:rPr>
        <w:t>ו. דעת זקנים מבעלי התוספות שמות כה, ו</w:t>
      </w:r>
    </w:p>
    <w:p w:rsidR="00C26E1A" w:rsidRDefault="00C26E1A" w:rsidP="00C26E1A">
      <w:pPr>
        <w:spacing w:line="276" w:lineRule="auto"/>
        <w:rPr>
          <w:sz w:val="24"/>
          <w:szCs w:val="24"/>
          <w:rtl/>
        </w:rPr>
      </w:pPr>
      <w:r>
        <w:rPr>
          <w:rFonts w:hint="cs"/>
          <w:sz w:val="24"/>
          <w:szCs w:val="24"/>
          <w:rtl/>
        </w:rPr>
        <w:t>ז. מכתב הגרי"ז המודפס בסוף חידושי מרן רי"ז הלוי עמ' עז ד"ה והנה חזיתי</w:t>
      </w:r>
    </w:p>
    <w:p w:rsidR="00C26E1A" w:rsidRPr="0075283C" w:rsidRDefault="00C26E1A" w:rsidP="00C26E1A">
      <w:pPr>
        <w:spacing w:line="276" w:lineRule="auto"/>
        <w:rPr>
          <w:sz w:val="24"/>
          <w:szCs w:val="24"/>
          <w:rtl/>
        </w:rPr>
      </w:pPr>
    </w:p>
    <w:p w:rsidR="00C26E1A" w:rsidRPr="0075283C" w:rsidRDefault="00C26E1A" w:rsidP="00C26E1A">
      <w:pPr>
        <w:spacing w:line="276" w:lineRule="auto"/>
        <w:rPr>
          <w:rFonts w:ascii="FrankRuehl" w:hAnsi="FrankRuehl" w:cs="FrankRuehl"/>
          <w:b/>
          <w:bCs/>
          <w:sz w:val="24"/>
          <w:szCs w:val="24"/>
          <w:rtl/>
        </w:rPr>
      </w:pPr>
      <w:r w:rsidRPr="0075283C">
        <w:rPr>
          <w:rFonts w:ascii="FrankRuehl" w:hAnsi="FrankRuehl" w:cs="FrankRuehl" w:hint="cs"/>
          <w:b/>
          <w:bCs/>
          <w:sz w:val="24"/>
          <w:szCs w:val="24"/>
          <w:rtl/>
        </w:rPr>
        <w:t>חידושי מרן רי"ז הלוי הל' כלי המקדש פ"ב ה"ח</w:t>
      </w:r>
    </w:p>
    <w:p w:rsidR="00C26E1A" w:rsidRDefault="00C26E1A" w:rsidP="00C26E1A">
      <w:pPr>
        <w:spacing w:line="276" w:lineRule="auto"/>
        <w:rPr>
          <w:rFonts w:ascii="FrankRuehl" w:hAnsi="FrankRuehl" w:cs="FrankRuehl"/>
          <w:sz w:val="24"/>
          <w:szCs w:val="24"/>
          <w:rtl/>
        </w:rPr>
      </w:pPr>
      <w:r w:rsidRPr="0075283C">
        <w:rPr>
          <w:rFonts w:ascii="FrankRuehl" w:hAnsi="FrankRuehl" w:cs="FrankRuehl" w:hint="cs"/>
          <w:sz w:val="24"/>
          <w:szCs w:val="24"/>
          <w:rtl/>
        </w:rPr>
        <w:t>והנה בספר המצוות להרמב"ם מצוה כ"ח כתב</w:t>
      </w:r>
      <w:r>
        <w:rPr>
          <w:rFonts w:ascii="FrankRuehl" w:hAnsi="FrankRuehl" w:cs="FrankRuehl" w:hint="cs"/>
          <w:sz w:val="24"/>
          <w:szCs w:val="24"/>
          <w:rtl/>
        </w:rPr>
        <w:t xml:space="preserve"> וז"ל: 'שציווה הכהנים להקטיר קטורת בכל יום פעמים על המזבח הזהב' וכו', ובמצוה ל"ט שם כתב וז"ל: 'שציוונו להקריב במקדש שני כבשים בני שנה ואלו נקראין תמידין' וכו'. וצ"ע מאי שנא דבמצות התמידין נקט לישנא דצונו וכו', דהוא לשון הכולל כל ישראל ולא הזכיר שם כהנים כלל, והיינו משום דעיקר המצוה היא על הציבור דאינהו הבעלים של הקרבן והם המחוייבים בזה והכהנים רק מעשה העבודה הוא דקעבדי מדין הכשר הקרבן שאין העבודה מתכשרת אלא בהם אבל אין להם שייכות לעצם המצוה של התמידין... וא"כ הרי הכא נמי בקטורת הכי הוי שהיא קרבן ציבור כמו תמידין ומוספין ושאר קרבנות ציבור... ומאי שנא דגבי קטרות שינה לשונו וכתב דהמצוה היא על הכהנים... </w:t>
      </w:r>
      <w:r w:rsidRPr="0075283C">
        <w:rPr>
          <w:rFonts w:ascii="FrankRuehl" w:hAnsi="FrankRuehl" w:cs="FrankRuehl"/>
          <w:sz w:val="24"/>
          <w:szCs w:val="24"/>
          <w:rtl/>
        </w:rPr>
        <w:t>ואשר נראה ללמוד ולהוכיח מזה, דאף על גב דקטורת בעצמותה בודאי קרבן ציבור הוא ככל קרבן ציבור, אבל בנוגע לעניין המצוה חלוקה היא משאר קרבנות ציבור ביסוד חיובה וקיום מצותה. דכל קרבן ציבור כמו תמידין ומוספין וכדומה, עיקר דינם הוא דין חיוב קרבן, שהציבור חייבין בקרבן זה כמו כל מחויבי קרבן של יחיד, ומצוותן מתקיימת על ידי זה שהציבור מתכפרין בו והקרבן עולה להן ככל קרבנות הקריבין ועולין לבעליהן. אבל לא כן מצות הקטורת, עיקר מצוותה הוא שיהא ממנה מעשה הקטרה בכל יום על מזבח הזהב</w:t>
      </w:r>
      <w:r>
        <w:rPr>
          <w:rFonts w:ascii="FrankRuehl" w:hAnsi="FrankRuehl" w:cs="FrankRuehl" w:hint="cs"/>
          <w:sz w:val="24"/>
          <w:szCs w:val="24"/>
          <w:rtl/>
        </w:rPr>
        <w:t>, כדכתיב בקרא: 'והקטיר עליו אהרן קטרת סמים בבקר בבקר',</w:t>
      </w:r>
      <w:r w:rsidRPr="0075283C">
        <w:rPr>
          <w:rFonts w:ascii="FrankRuehl" w:hAnsi="FrankRuehl" w:cs="FrankRuehl"/>
          <w:sz w:val="24"/>
          <w:szCs w:val="24"/>
          <w:rtl/>
        </w:rPr>
        <w:t xml:space="preserve"> ואין לך בה במצוותה אלא חיוב מעשה הקטרה בלבד, וזה הוא כל עצם קיום מצוותה מה שהקטורת נקטרת על המזבח בכל יום, ויותר אין לנו בה. </w:t>
      </w:r>
      <w:r w:rsidRPr="0075283C">
        <w:rPr>
          <w:rFonts w:ascii="FrankRuehl" w:hAnsi="FrankRuehl" w:cs="FrankRuehl" w:hint="cs"/>
          <w:sz w:val="24"/>
          <w:szCs w:val="24"/>
          <w:rtl/>
        </w:rPr>
        <w:t xml:space="preserve"> </w:t>
      </w:r>
    </w:p>
    <w:p w:rsidR="00C26E1A" w:rsidRDefault="00C26E1A" w:rsidP="00C26E1A">
      <w:pPr>
        <w:spacing w:line="276" w:lineRule="auto"/>
        <w:rPr>
          <w:rFonts w:ascii="FrankRuehl" w:hAnsi="FrankRuehl" w:cs="FrankRuehl"/>
          <w:sz w:val="24"/>
          <w:szCs w:val="24"/>
          <w:rtl/>
        </w:rPr>
      </w:pPr>
    </w:p>
    <w:p w:rsidR="00C26E1A" w:rsidRPr="0075283C"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ספר החינוך מצוה קג</w:t>
      </w:r>
    </w:p>
    <w:p w:rsidR="00C26E1A" w:rsidRDefault="00C26E1A" w:rsidP="00C26E1A">
      <w:pPr>
        <w:spacing w:line="276" w:lineRule="auto"/>
        <w:rPr>
          <w:rFonts w:ascii="FrankRuehl" w:hAnsi="FrankRuehl" w:cs="FrankRuehl"/>
          <w:sz w:val="24"/>
          <w:szCs w:val="24"/>
          <w:rtl/>
        </w:rPr>
      </w:pPr>
      <w:r>
        <w:rPr>
          <w:rFonts w:ascii="FrankRuehl" w:hAnsi="FrankRuehl" w:cs="FrankRuehl" w:hint="cs"/>
          <w:sz w:val="24"/>
          <w:szCs w:val="24"/>
          <w:rtl/>
        </w:rPr>
        <w:t xml:space="preserve">שנצטוו הכהנים להקטיר קטורת סמים פעמיים בכל יום על המזבח הזהב... </w:t>
      </w:r>
      <w:r w:rsidRPr="0075283C">
        <w:rPr>
          <w:rFonts w:ascii="FrankRuehl" w:hAnsi="FrankRuehl" w:cs="FrankRuehl"/>
          <w:sz w:val="24"/>
          <w:szCs w:val="24"/>
          <w:rtl/>
        </w:rPr>
        <w:t>משרשי מצוה זו, גם כן להגדיל כבוד הבית ולהיות מעלתו ומוראו על פני כל אדם, ואי אפשר להגדיל דבר בלב בן אדם ומחשבתו רק בדברים שהוא חושב אותם לגדולה וימצא בהם תענוג ושמחה, וידוע כי ענין הריח הטוב הוא דבר שנפש אדם נהנית בו ומתאוה אליו ומושך הלב הרבה, וריח הקטורת היה הטוב שאפשר ליעשות על ידי אדם, עד שאמרו זכרונם</w:t>
      </w:r>
      <w:r>
        <w:rPr>
          <w:rFonts w:ascii="FrankRuehl" w:hAnsi="FrankRuehl" w:cs="FrankRuehl"/>
          <w:sz w:val="24"/>
          <w:szCs w:val="24"/>
          <w:rtl/>
        </w:rPr>
        <w:t xml:space="preserve"> לברכה בפרק אמר להם הממונה</w:t>
      </w:r>
      <w:r w:rsidRPr="0075283C">
        <w:rPr>
          <w:rFonts w:ascii="FrankRuehl" w:hAnsi="FrankRuehl" w:cs="FrankRuehl"/>
          <w:sz w:val="24"/>
          <w:szCs w:val="24"/>
          <w:rtl/>
        </w:rPr>
        <w:t xml:space="preserve">, כי מריחו היו מריחין בו בשעת הקטרה מיריחו עד ירושלים. </w:t>
      </w:r>
    </w:p>
    <w:p w:rsidR="00C26E1A" w:rsidRDefault="00C26E1A" w:rsidP="00C26E1A">
      <w:pPr>
        <w:spacing w:line="276" w:lineRule="auto"/>
        <w:rPr>
          <w:rFonts w:ascii="FrankRuehl" w:hAnsi="FrankRuehl" w:cs="FrankRuehl"/>
          <w:sz w:val="24"/>
          <w:szCs w:val="24"/>
          <w:rtl/>
        </w:rPr>
      </w:pPr>
    </w:p>
    <w:p w:rsidR="00782FFD" w:rsidRDefault="00782FFD" w:rsidP="00C26E1A">
      <w:pPr>
        <w:spacing w:line="276" w:lineRule="auto"/>
        <w:rPr>
          <w:rFonts w:ascii="FrankRuehl" w:hAnsi="FrankRuehl" w:cs="FrankRuehl"/>
          <w:b/>
          <w:bCs/>
          <w:sz w:val="24"/>
          <w:szCs w:val="24"/>
          <w:rtl/>
        </w:rPr>
      </w:pPr>
    </w:p>
    <w:p w:rsidR="00C26E1A"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lastRenderedPageBreak/>
        <w:t>ספורנו שמות ל, א</w:t>
      </w:r>
    </w:p>
    <w:p w:rsidR="00C26E1A" w:rsidRDefault="00782FFD" w:rsidP="00C26E1A">
      <w:pPr>
        <w:spacing w:line="276" w:lineRule="auto"/>
        <w:rPr>
          <w:rFonts w:ascii="FrankRuehl" w:hAnsi="FrankRuehl" w:cs="FrankRuehl"/>
          <w:sz w:val="24"/>
          <w:szCs w:val="24"/>
          <w:rtl/>
        </w:rPr>
      </w:pPr>
      <w:r w:rsidRPr="005F2EB2">
        <w:rPr>
          <w:noProof/>
          <w:highlight w:val="green"/>
          <w:rtl/>
        </w:rPr>
        <mc:AlternateContent>
          <mc:Choice Requires="wps">
            <w:drawing>
              <wp:anchor distT="0" distB="0" distL="114300" distR="114300" simplePos="0" relativeHeight="251695104" behindDoc="1" locked="0" layoutInCell="1" allowOverlap="1" wp14:anchorId="7CACCB0E" wp14:editId="0BF6E541">
                <wp:simplePos x="0" y="0"/>
                <wp:positionH relativeFrom="margin">
                  <wp:align>center</wp:align>
                </wp:positionH>
                <wp:positionV relativeFrom="paragraph">
                  <wp:posOffset>-422275</wp:posOffset>
                </wp:positionV>
                <wp:extent cx="5765800" cy="8122920"/>
                <wp:effectExtent l="0" t="0" r="25400" b="11430"/>
                <wp:wrapNone/>
                <wp:docPr id="23" name="מלבן 23"/>
                <wp:cNvGraphicFramePr/>
                <a:graphic xmlns:a="http://schemas.openxmlformats.org/drawingml/2006/main">
                  <a:graphicData uri="http://schemas.microsoft.com/office/word/2010/wordprocessingShape">
                    <wps:wsp>
                      <wps:cNvSpPr/>
                      <wps:spPr>
                        <a:xfrm>
                          <a:off x="0" y="0"/>
                          <a:ext cx="5765800" cy="812292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A31CC" id="מלבן 23" o:spid="_x0000_s1026" style="position:absolute;left:0;text-align:left;margin-left:0;margin-top:-33.25pt;width:454pt;height:639.6pt;z-index:-251621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6riQIAAAMFAAAOAAAAZHJzL2Uyb0RvYy54bWysVElu2zAU3RfoHQjuG8munUGIHBgOXBQI&#10;kgBJkTVNUZYATiVpy+4tui+aY/k6faQVZ2hWRb2g+Qf+4f33dX6xUZKshfOt0SUdHOWUCM1N1epl&#10;Sb/dzz+dUuID0xWTRouSboWnF5OPH847W4ihaYyshCMIon3R2ZI2IdgiyzxvhGL+yFihYayNUyxA&#10;dMuscqxDdCWzYZ4fZ51xlXWGC++hvdwb6STFr2vBw01dexGILClqC+l06VzEM5ucs2LpmG1a3pfB&#10;/qEKxVqNpIdQlywwsnLtX6FUy53xpg5H3KjM1HXLReoB3QzyN93cNcyK1AvA8fYAk/9/Yfn1+taR&#10;tirp8DMlminMaPd792v3c/dIoAI+nfUF3O7sreslj2tsdlM7Ff/RBtkkTLcHTMUmEA7l+OR4fJoD&#10;eg7b6WA4PBsm1LPn59b58EUYReKlpA5DS1iy9ZUPSAnXJ5eYzRvZVvNWyiRs/Uw6smaYL2hRmY4S&#10;yXyAsqTz9Is9IMSrZ1KTDnQ9y8exMgbi1ZIFXJUFFF4vKWFyCUbz4FItr157t1wcso5GJ8PZ6L0k&#10;sehL5pt9dSlCdGOFagNIL1sFRPL4619LHa0i0bZvPYK/hzveFqbaYlzO7HnsLZ+3SHKFhm+ZA3HR&#10;DZYx3OCopUGLpr9R0hj34z199AefYKWkwyKg/e8r5gRw/KrBtLPBaBQ3Jwmj8QnGR9xLy+KlRa/U&#10;zGAWA6y95eka/YN80tbOqAfs7DRmhYlpjtx7oHthFvYLiq3nYjpNbtgWy8KVvrM8Bo84RXjvNw/M&#10;2Z44AZy7Nk9Lw4o3/Nn7xpfaTFfB1G0i1zOuoEkUsGmJMP1XIa7ySzl5PX+7Jn8AAAD//wMAUEsD&#10;BBQABgAIAAAAIQBowxzP3gAAAAkBAAAPAAAAZHJzL2Rvd25yZXYueG1sTI/BTsMwEETvSPyDtUjc&#10;WjuRCCXEqSgSAg4gWhBnN16SCHsdYrcJf89yguPOjGbfVOvZO3HEMfaBNGRLBQKpCbanVsPb691i&#10;BSImQ9a4QKjhGyOs69OTypQ2TLTF4y61gksolkZDl9JQShmbDr2JyzAgsfcRRm8Sn2Mr7WgmLvdO&#10;5koV0pue+ENnBrztsPncHbyGx0379f7QZtvCu5dpQ/fq+Skorc/P5ptrEAnn9BeGX3xGh5qZ9uFA&#10;NgqngYckDYuiuADB9pVasbLnXJ7llyDrSv5fUP8AAAD//wMAUEsBAi0AFAAGAAgAAAAhALaDOJL+&#10;AAAA4QEAABMAAAAAAAAAAAAAAAAAAAAAAFtDb250ZW50X1R5cGVzXS54bWxQSwECLQAUAAYACAAA&#10;ACEAOP0h/9YAAACUAQAACwAAAAAAAAAAAAAAAAAvAQAAX3JlbHMvLnJlbHNQSwECLQAUAAYACAAA&#10;ACEAnVAeq4kCAAADBQAADgAAAAAAAAAAAAAAAAAuAgAAZHJzL2Uyb0RvYy54bWxQSwECLQAUAAYA&#10;CAAAACEAaMMcz94AAAAJAQAADwAAAAAAAAAAAAAAAADjBAAAZHJzL2Rvd25yZXYueG1sUEsFBgAA&#10;AAAEAAQA8wAAAO4FAAAAAA==&#10;" fillcolor="window" strokecolor="#4472c4" strokeweight="1.5pt">
                <w10:wrap anchorx="margin"/>
              </v:rect>
            </w:pict>
          </mc:Fallback>
        </mc:AlternateContent>
      </w:r>
      <w:r w:rsidR="00C26E1A" w:rsidRPr="0075283C">
        <w:rPr>
          <w:rFonts w:ascii="FrankRuehl" w:hAnsi="FrankRuehl" w:cs="FrankRuehl"/>
          <w:sz w:val="24"/>
          <w:szCs w:val="24"/>
          <w:rtl/>
        </w:rPr>
        <w:t xml:space="preserve">ולא הוזכר זה המזבח עם שאר הכלים בפרשת תרומה, כי לא היתה הכונה בו להשכין האל יתברך בתוכנו, כמו שהיה הענין בשאר הכלים, כאמרו </w:t>
      </w:r>
      <w:r w:rsidR="00C26E1A">
        <w:rPr>
          <w:rFonts w:ascii="FrankRuehl" w:hAnsi="FrankRuehl" w:cs="FrankRuehl" w:hint="cs"/>
          <w:sz w:val="24"/>
          <w:szCs w:val="24"/>
          <w:rtl/>
        </w:rPr>
        <w:t>'</w:t>
      </w:r>
      <w:r w:rsidR="00C26E1A" w:rsidRPr="0075283C">
        <w:rPr>
          <w:rFonts w:ascii="FrankRuehl" w:hAnsi="FrankRuehl" w:cs="FrankRuehl"/>
          <w:sz w:val="24"/>
          <w:szCs w:val="24"/>
          <w:rtl/>
        </w:rPr>
        <w:t>ושכנתי בתוכם</w:t>
      </w:r>
      <w:r w:rsidR="00C26E1A">
        <w:rPr>
          <w:rFonts w:ascii="FrankRuehl" w:hAnsi="FrankRuehl" w:cs="FrankRuehl" w:hint="cs"/>
          <w:sz w:val="24"/>
          <w:szCs w:val="24"/>
          <w:rtl/>
        </w:rPr>
        <w:t>'</w:t>
      </w:r>
      <w:r w:rsidR="00C26E1A" w:rsidRPr="0075283C">
        <w:rPr>
          <w:rFonts w:ascii="FrankRuehl" w:hAnsi="FrankRuehl" w:cs="FrankRuehl"/>
          <w:sz w:val="24"/>
          <w:szCs w:val="24"/>
          <w:rtl/>
        </w:rPr>
        <w:t xml:space="preserve">, </w:t>
      </w:r>
      <w:r w:rsidR="00C26E1A">
        <w:rPr>
          <w:rFonts w:ascii="FrankRuehl" w:hAnsi="FrankRuehl" w:cs="FrankRuehl" w:hint="cs"/>
          <w:sz w:val="24"/>
          <w:szCs w:val="24"/>
          <w:rtl/>
        </w:rPr>
        <w:t>'</w:t>
      </w:r>
      <w:r w:rsidR="00C26E1A" w:rsidRPr="0075283C">
        <w:rPr>
          <w:rFonts w:ascii="FrankRuehl" w:hAnsi="FrankRuehl" w:cs="FrankRuehl"/>
          <w:sz w:val="24"/>
          <w:szCs w:val="24"/>
          <w:rtl/>
        </w:rPr>
        <w:t>ככל אשר אני מראה אותך את תבנית המשכן וא</w:t>
      </w:r>
      <w:r w:rsidR="00C26E1A">
        <w:rPr>
          <w:rFonts w:ascii="FrankRuehl" w:hAnsi="FrankRuehl" w:cs="FrankRuehl"/>
          <w:sz w:val="24"/>
          <w:szCs w:val="24"/>
          <w:rtl/>
        </w:rPr>
        <w:t>ת תבנית כל כליו</w:t>
      </w:r>
      <w:r w:rsidR="00C26E1A">
        <w:rPr>
          <w:rFonts w:ascii="FrankRuehl" w:hAnsi="FrankRuehl" w:cs="FrankRuehl" w:hint="cs"/>
          <w:sz w:val="24"/>
          <w:szCs w:val="24"/>
          <w:rtl/>
        </w:rPr>
        <w:t>'.</w:t>
      </w:r>
      <w:r w:rsidR="00C26E1A" w:rsidRPr="0075283C">
        <w:rPr>
          <w:rFonts w:ascii="FrankRuehl" w:hAnsi="FrankRuehl" w:cs="FrankRuehl"/>
          <w:sz w:val="24"/>
          <w:szCs w:val="24"/>
          <w:rtl/>
        </w:rPr>
        <w:t xml:space="preserve"> גם לא היה ענינו להוריד מראה כבודו בבית, כענין מעשה הקרבנות, כאמרו </w:t>
      </w:r>
      <w:r w:rsidR="00C26E1A">
        <w:rPr>
          <w:rFonts w:ascii="FrankRuehl" w:hAnsi="FrankRuehl" w:cs="FrankRuehl" w:hint="cs"/>
          <w:sz w:val="24"/>
          <w:szCs w:val="24"/>
          <w:rtl/>
        </w:rPr>
        <w:t>'</w:t>
      </w:r>
      <w:r w:rsidR="00C26E1A" w:rsidRPr="0075283C">
        <w:rPr>
          <w:rFonts w:ascii="FrankRuehl" w:hAnsi="FrankRuehl" w:cs="FrankRuehl"/>
          <w:sz w:val="24"/>
          <w:szCs w:val="24"/>
          <w:rtl/>
        </w:rPr>
        <w:t>ו</w:t>
      </w:r>
      <w:r w:rsidR="00C26E1A">
        <w:rPr>
          <w:rFonts w:ascii="FrankRuehl" w:hAnsi="FrankRuehl" w:cs="FrankRuehl"/>
          <w:sz w:val="24"/>
          <w:szCs w:val="24"/>
          <w:rtl/>
        </w:rPr>
        <w:t>נועדתי שמה לבני ישראל</w:t>
      </w:r>
      <w:r w:rsidR="00C26E1A">
        <w:rPr>
          <w:rFonts w:ascii="FrankRuehl" w:hAnsi="FrankRuehl" w:cs="FrankRuehl" w:hint="cs"/>
          <w:sz w:val="24"/>
          <w:szCs w:val="24"/>
          <w:rtl/>
        </w:rPr>
        <w:t xml:space="preserve">', </w:t>
      </w:r>
      <w:r w:rsidR="00C26E1A" w:rsidRPr="0075283C">
        <w:rPr>
          <w:rFonts w:ascii="FrankRuehl" w:hAnsi="FrankRuehl" w:cs="FrankRuehl"/>
          <w:sz w:val="24"/>
          <w:szCs w:val="24"/>
          <w:rtl/>
        </w:rPr>
        <w:t xml:space="preserve">וכן העיד משה רבינו באמרו </w:t>
      </w:r>
      <w:r w:rsidR="00C26E1A">
        <w:rPr>
          <w:rFonts w:ascii="FrankRuehl" w:hAnsi="FrankRuehl" w:cs="FrankRuehl" w:hint="cs"/>
          <w:sz w:val="24"/>
          <w:szCs w:val="24"/>
          <w:rtl/>
        </w:rPr>
        <w:t>'</w:t>
      </w:r>
      <w:r w:rsidR="00C26E1A" w:rsidRPr="0075283C">
        <w:rPr>
          <w:rFonts w:ascii="FrankRuehl" w:hAnsi="FrankRuehl" w:cs="FrankRuehl"/>
          <w:sz w:val="24"/>
          <w:szCs w:val="24"/>
          <w:rtl/>
        </w:rPr>
        <w:t>ז</w:t>
      </w:r>
      <w:r w:rsidR="00C26E1A">
        <w:rPr>
          <w:rFonts w:ascii="FrankRuehl" w:hAnsi="FrankRuehl" w:cs="FrankRuehl"/>
          <w:sz w:val="24"/>
          <w:szCs w:val="24"/>
          <w:rtl/>
        </w:rPr>
        <w:t>ה הדבר אשר צוה ה' תעשו</w:t>
      </w:r>
      <w:r w:rsidR="00C26E1A">
        <w:rPr>
          <w:rFonts w:ascii="FrankRuehl" w:hAnsi="FrankRuehl" w:cs="FrankRuehl" w:hint="cs"/>
          <w:sz w:val="24"/>
          <w:szCs w:val="24"/>
          <w:rtl/>
        </w:rPr>
        <w:t xml:space="preserve"> </w:t>
      </w:r>
      <w:r w:rsidR="00C26E1A">
        <w:rPr>
          <w:rFonts w:ascii="FrankRuehl" w:hAnsi="FrankRuehl" w:cs="FrankRuehl"/>
          <w:sz w:val="24"/>
          <w:szCs w:val="24"/>
          <w:rtl/>
        </w:rPr>
        <w:t>וירא אליכם כבוד ה'</w:t>
      </w:r>
      <w:r w:rsidR="00C26E1A">
        <w:rPr>
          <w:rFonts w:ascii="FrankRuehl" w:hAnsi="FrankRuehl" w:cs="FrankRuehl" w:hint="cs"/>
          <w:sz w:val="24"/>
          <w:szCs w:val="24"/>
          <w:rtl/>
        </w:rPr>
        <w:t>'</w:t>
      </w:r>
      <w:r w:rsidR="00C26E1A" w:rsidRPr="0075283C">
        <w:rPr>
          <w:rFonts w:ascii="FrankRuehl" w:hAnsi="FrankRuehl" w:cs="FrankRuehl"/>
          <w:sz w:val="24"/>
          <w:szCs w:val="24"/>
          <w:rtl/>
        </w:rPr>
        <w:t>. אבל היה ענין זה המזבח לכבד את האל יתברך אחרי בואו לקבל ברצ</w:t>
      </w:r>
      <w:r w:rsidR="00C26E1A">
        <w:rPr>
          <w:rFonts w:ascii="FrankRuehl" w:hAnsi="FrankRuehl" w:cs="FrankRuehl"/>
          <w:sz w:val="24"/>
          <w:szCs w:val="24"/>
          <w:rtl/>
        </w:rPr>
        <w:t>ון עבודת עמו בקרבנות הבקר והערב</w:t>
      </w:r>
      <w:r w:rsidR="00C26E1A" w:rsidRPr="0075283C">
        <w:rPr>
          <w:rFonts w:ascii="FrankRuehl" w:hAnsi="FrankRuehl" w:cs="FrankRuehl"/>
          <w:sz w:val="24"/>
          <w:szCs w:val="24"/>
          <w:rtl/>
        </w:rPr>
        <w:t xml:space="preserve"> ולשחר פניו במנחת קטרת, על דרך </w:t>
      </w:r>
      <w:r w:rsidR="00C26E1A">
        <w:rPr>
          <w:rFonts w:ascii="FrankRuehl" w:hAnsi="FrankRuehl" w:cs="FrankRuehl" w:hint="cs"/>
          <w:sz w:val="24"/>
          <w:szCs w:val="24"/>
          <w:rtl/>
        </w:rPr>
        <w:t>'</w:t>
      </w:r>
      <w:r w:rsidR="00C26E1A">
        <w:rPr>
          <w:rFonts w:ascii="FrankRuehl" w:hAnsi="FrankRuehl" w:cs="FrankRuehl"/>
          <w:sz w:val="24"/>
          <w:szCs w:val="24"/>
          <w:rtl/>
        </w:rPr>
        <w:t>הבו לה' כבוד שמו</w:t>
      </w:r>
      <w:r w:rsidR="00C26E1A">
        <w:rPr>
          <w:rFonts w:ascii="FrankRuehl" w:hAnsi="FrankRuehl" w:cs="FrankRuehl" w:hint="cs"/>
          <w:sz w:val="24"/>
          <w:szCs w:val="24"/>
          <w:rtl/>
        </w:rPr>
        <w:t xml:space="preserve"> </w:t>
      </w:r>
      <w:r w:rsidR="00C26E1A" w:rsidRPr="0075283C">
        <w:rPr>
          <w:rFonts w:ascii="FrankRuehl" w:hAnsi="FrankRuehl" w:cs="FrankRuehl"/>
          <w:sz w:val="24"/>
          <w:szCs w:val="24"/>
          <w:rtl/>
        </w:rPr>
        <w:t>שאו מנחה ובאו לפניו</w:t>
      </w:r>
      <w:r w:rsidR="00C26E1A">
        <w:rPr>
          <w:rFonts w:ascii="FrankRuehl" w:hAnsi="FrankRuehl" w:cs="FrankRuehl" w:hint="cs"/>
          <w:sz w:val="24"/>
          <w:szCs w:val="24"/>
          <w:rtl/>
        </w:rPr>
        <w:t>'.</w:t>
      </w:r>
    </w:p>
    <w:p w:rsidR="00C26E1A" w:rsidRDefault="00C26E1A" w:rsidP="00C26E1A">
      <w:pPr>
        <w:spacing w:line="276" w:lineRule="auto"/>
        <w:rPr>
          <w:rFonts w:ascii="FrankRuehl" w:hAnsi="FrankRuehl" w:cs="FrankRuehl"/>
          <w:sz w:val="24"/>
          <w:szCs w:val="24"/>
          <w:rtl/>
        </w:rPr>
      </w:pPr>
    </w:p>
    <w:p w:rsidR="00C26E1A" w:rsidRDefault="00C26E1A" w:rsidP="00C26E1A">
      <w:pPr>
        <w:spacing w:line="276" w:lineRule="auto"/>
        <w:rPr>
          <w:rFonts w:ascii="FrankRuehl" w:hAnsi="FrankRuehl" w:cs="FrankRuehl"/>
          <w:sz w:val="24"/>
          <w:szCs w:val="24"/>
          <w:rtl/>
        </w:rPr>
      </w:pPr>
      <w:r>
        <w:rPr>
          <w:rFonts w:ascii="FrankRuehl" w:hAnsi="FrankRuehl" w:cs="FrankRuehl" w:hint="cs"/>
          <w:b/>
          <w:bCs/>
          <w:sz w:val="24"/>
          <w:szCs w:val="24"/>
          <w:rtl/>
        </w:rPr>
        <w:t>רשב"ם ויקרא טז, ב</w:t>
      </w:r>
      <w:r w:rsidRPr="00D90F09">
        <w:rPr>
          <w:rFonts w:ascii="FrankRuehl" w:hAnsi="FrankRuehl" w:cs="FrankRuehl"/>
          <w:sz w:val="24"/>
          <w:szCs w:val="24"/>
          <w:rtl/>
        </w:rPr>
        <w:t xml:space="preserve"> </w:t>
      </w:r>
    </w:p>
    <w:p w:rsidR="00C26E1A" w:rsidRDefault="00C26E1A" w:rsidP="00C26E1A">
      <w:pPr>
        <w:spacing w:line="276" w:lineRule="auto"/>
        <w:rPr>
          <w:rFonts w:ascii="FrankRuehl" w:hAnsi="FrankRuehl" w:cs="FrankRuehl"/>
          <w:sz w:val="24"/>
          <w:szCs w:val="24"/>
          <w:rtl/>
        </w:rPr>
      </w:pPr>
      <w:r w:rsidRPr="00D90F09">
        <w:rPr>
          <w:rFonts w:ascii="FrankRuehl" w:hAnsi="FrankRuehl" w:cs="FrankRuehl"/>
          <w:sz w:val="24"/>
          <w:szCs w:val="24"/>
          <w:rtl/>
        </w:rPr>
        <w:t xml:space="preserve">כי בענן אראה על הכפורת - לפי פשוטו שהרי מתוך עמוד הענן </w:t>
      </w:r>
      <w:r>
        <w:rPr>
          <w:rFonts w:ascii="FrankRuehl" w:hAnsi="FrankRuehl" w:cs="FrankRuehl"/>
          <w:sz w:val="24"/>
          <w:szCs w:val="24"/>
          <w:rtl/>
        </w:rPr>
        <w:t>אני נראה כל שעה על הכפרת, כדכת</w:t>
      </w:r>
      <w:r>
        <w:rPr>
          <w:rFonts w:ascii="FrankRuehl" w:hAnsi="FrankRuehl" w:cs="FrankRuehl" w:hint="cs"/>
          <w:sz w:val="24"/>
          <w:szCs w:val="24"/>
          <w:rtl/>
        </w:rPr>
        <w:t>יב '</w:t>
      </w:r>
      <w:r w:rsidRPr="00D90F09">
        <w:rPr>
          <w:rFonts w:ascii="FrankRuehl" w:hAnsi="FrankRuehl" w:cs="FrankRuehl"/>
          <w:sz w:val="24"/>
          <w:szCs w:val="24"/>
          <w:rtl/>
        </w:rPr>
        <w:t>ודיברתי אתך מעל הכפרת מבין שני הכרובים</w:t>
      </w:r>
      <w:r>
        <w:rPr>
          <w:rFonts w:ascii="FrankRuehl" w:hAnsi="FrankRuehl" w:cs="FrankRuehl" w:hint="cs"/>
          <w:sz w:val="24"/>
          <w:szCs w:val="24"/>
          <w:rtl/>
        </w:rPr>
        <w:t>'</w:t>
      </w:r>
      <w:r w:rsidRPr="00D90F09">
        <w:rPr>
          <w:rFonts w:ascii="FrankRuehl" w:hAnsi="FrankRuehl" w:cs="FrankRuehl"/>
          <w:sz w:val="24"/>
          <w:szCs w:val="24"/>
          <w:rtl/>
        </w:rPr>
        <w:t>, ואם יראה הכהן ימות. לפיכך כשיכנס ביום הכיפורים ציוהו הק' להקטיר קטורת בפנים תחילה להחשיך את הבית בענן הקטור</w:t>
      </w:r>
      <w:r>
        <w:rPr>
          <w:rFonts w:ascii="FrankRuehl" w:hAnsi="FrankRuehl" w:cs="FrankRuehl"/>
          <w:sz w:val="24"/>
          <w:szCs w:val="24"/>
          <w:rtl/>
        </w:rPr>
        <w:t>ת ואחר כך יביא דם הפר ודם השעיר</w:t>
      </w:r>
      <w:r>
        <w:rPr>
          <w:rFonts w:ascii="FrankRuehl" w:hAnsi="FrankRuehl" w:cs="FrankRuehl" w:hint="cs"/>
          <w:sz w:val="24"/>
          <w:szCs w:val="24"/>
          <w:rtl/>
        </w:rPr>
        <w:t>.</w:t>
      </w:r>
    </w:p>
    <w:p w:rsidR="00C26E1A" w:rsidRDefault="00C26E1A" w:rsidP="00C26E1A">
      <w:pPr>
        <w:spacing w:line="276" w:lineRule="auto"/>
        <w:rPr>
          <w:rFonts w:ascii="FrankRuehl" w:hAnsi="FrankRuehl" w:cs="FrankRuehl"/>
          <w:sz w:val="24"/>
          <w:szCs w:val="24"/>
          <w:rtl/>
        </w:rPr>
      </w:pPr>
    </w:p>
    <w:p w:rsidR="00C26E1A" w:rsidRPr="00BD74C3"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בכור שור ויקרא טז, יז</w:t>
      </w:r>
    </w:p>
    <w:p w:rsidR="00C26E1A" w:rsidRDefault="00C26E1A" w:rsidP="00C26E1A">
      <w:pPr>
        <w:spacing w:line="276" w:lineRule="auto"/>
        <w:rPr>
          <w:rFonts w:ascii="FrankRuehl" w:hAnsi="FrankRuehl" w:cs="FrankRuehl"/>
          <w:sz w:val="24"/>
          <w:szCs w:val="24"/>
          <w:rtl/>
        </w:rPr>
      </w:pPr>
      <w:r w:rsidRPr="00BD74C3">
        <w:rPr>
          <w:rFonts w:ascii="FrankRuehl" w:hAnsi="FrankRuehl" w:cs="FrankRuehl"/>
          <w:sz w:val="24"/>
          <w:szCs w:val="24"/>
          <w:rtl/>
        </w:rPr>
        <w:t>וכל אדם לא יהיה באהל – מפני אימת השכינה שבאה בענן הקטרת, כדכתיב: 'כי בענן אראה על הכפרת'. וגם שלא יזונו עיניהם מבית קדשי הקדשים כשהוא פותח פתח האמה טרקסון ליכנס.</w:t>
      </w:r>
    </w:p>
    <w:p w:rsidR="00C26E1A" w:rsidRDefault="00C26E1A" w:rsidP="00C26E1A">
      <w:pPr>
        <w:spacing w:line="276" w:lineRule="auto"/>
        <w:rPr>
          <w:rFonts w:ascii="FrankRuehl" w:hAnsi="FrankRuehl" w:cs="FrankRuehl"/>
          <w:sz w:val="24"/>
          <w:szCs w:val="24"/>
          <w:rtl/>
        </w:rPr>
      </w:pPr>
    </w:p>
    <w:p w:rsidR="00C26E1A"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דעת זקנים מבעלי התוספות שמות כה, ו</w:t>
      </w:r>
    </w:p>
    <w:p w:rsidR="00C26E1A" w:rsidRDefault="00C26E1A" w:rsidP="00C26E1A">
      <w:pPr>
        <w:spacing w:line="276" w:lineRule="auto"/>
        <w:rPr>
          <w:rFonts w:ascii="FrankRuehl" w:hAnsi="FrankRuehl" w:cs="FrankRuehl"/>
          <w:sz w:val="24"/>
          <w:szCs w:val="24"/>
          <w:rtl/>
        </w:rPr>
      </w:pPr>
      <w:r>
        <w:rPr>
          <w:rFonts w:ascii="FrankRuehl" w:hAnsi="FrankRuehl" w:cs="FrankRuehl" w:hint="cs"/>
          <w:sz w:val="24"/>
          <w:szCs w:val="24"/>
          <w:rtl/>
        </w:rPr>
        <w:t xml:space="preserve">שמן למאור - </w:t>
      </w:r>
      <w:r w:rsidRPr="00D90F09">
        <w:rPr>
          <w:rFonts w:ascii="FrankRuehl" w:hAnsi="FrankRuehl" w:cs="FrankRuehl"/>
          <w:sz w:val="24"/>
          <w:szCs w:val="24"/>
          <w:rtl/>
        </w:rPr>
        <w:t>תימה, שכל הפרשה בצרכי בנין חוץ מפסוק זה שהוא צורך שלחן גבוה, ואינו אומר 'חטים ללחם הפנים וכבשים לתמידין ועצים למערכה'. ויש לומר, ששלשתן צורך בנין הן: שמן המשחה שבו נמשחו ונתקדשו כל כלי המשכן, וקטורת נמי שכן דרך מלכים שמבשמין להם הבית קודם שיכנסו לתוכה, וכל שכן לפני מלך מלכי המלכים הקדוש ברוך הוא, וכן מצינו שעל ידי הקטרת שכינה נראית, דכתיב 'וכסה ענן הקטרת' וכתיב 'כי בענן אראה'. ושמן למאור, שכן דרך המלכים להדליק נר לפניהם קודם שיכנסו לבית, ואף על גב דלאו לאורה הוא צריך מכל מקום הוא כבוד של מעלה.</w:t>
      </w:r>
    </w:p>
    <w:p w:rsidR="00C26E1A" w:rsidRDefault="00C26E1A" w:rsidP="00C26E1A">
      <w:pPr>
        <w:spacing w:line="276" w:lineRule="auto"/>
        <w:rPr>
          <w:rFonts w:ascii="FrankRuehl" w:hAnsi="FrankRuehl" w:cs="FrankRuehl"/>
          <w:sz w:val="24"/>
          <w:szCs w:val="24"/>
          <w:rtl/>
        </w:rPr>
      </w:pPr>
    </w:p>
    <w:p w:rsidR="00C26E1A" w:rsidRDefault="00C26E1A" w:rsidP="00C26E1A">
      <w:pPr>
        <w:spacing w:line="276" w:lineRule="auto"/>
        <w:rPr>
          <w:rFonts w:ascii="FrankRuehl" w:hAnsi="FrankRuehl" w:cs="FrankRuehl"/>
          <w:b/>
          <w:bCs/>
          <w:sz w:val="24"/>
          <w:szCs w:val="24"/>
          <w:rtl/>
        </w:rPr>
      </w:pPr>
      <w:r w:rsidRPr="00D90F09">
        <w:rPr>
          <w:rFonts w:ascii="FrankRuehl" w:hAnsi="FrankRuehl" w:cs="FrankRuehl"/>
          <w:b/>
          <w:bCs/>
          <w:sz w:val="24"/>
          <w:szCs w:val="24"/>
          <w:rtl/>
        </w:rPr>
        <w:t>חידושי מרן רי"ז הלוי עמ' עז ד"ה והנה חזיתי</w:t>
      </w:r>
    </w:p>
    <w:p w:rsidR="00C26E1A" w:rsidRPr="00D90F09" w:rsidRDefault="00C26E1A" w:rsidP="00C26E1A">
      <w:pPr>
        <w:spacing w:line="276" w:lineRule="auto"/>
        <w:rPr>
          <w:rFonts w:ascii="FrankRuehl" w:hAnsi="FrankRuehl" w:cs="FrankRuehl"/>
          <w:sz w:val="24"/>
          <w:szCs w:val="24"/>
          <w:rtl/>
        </w:rPr>
      </w:pPr>
      <w:r>
        <w:rPr>
          <w:rFonts w:ascii="FrankRuehl" w:hAnsi="FrankRuehl" w:cs="FrankRuehl" w:hint="cs"/>
          <w:sz w:val="24"/>
          <w:szCs w:val="24"/>
          <w:rtl/>
        </w:rPr>
        <w:t xml:space="preserve">והנה חזיתי ליקירי שמפרש להא דמבואר במשנה וברמב"ם דנתמלא הבית עשן, דהוא חד שיעורא עם הך דקטורת משתעלה תמרתה אין בה מעילה, ותרוויהו חד דינא נינהו דאז נגמרה הקטרת הקטורת, והא דביום הכיפורים צריך להמתין מה שאין הדין כן בכל השנה, זהו מדיני ביאה ויציאה של לפני ולפנים האמורים ביום הכיפורים. ובזה יש לומר, דזהו בכל העבודות ובכל השנה, דהכהן צריך להיות בפנים עד גמר העבודה... ואם כן יש לומר דגם הך דממתין עד שיתמלא הבית עשן לאו משום לתא דסדר ודין יציאה הוא דקאתינן עלה, רק דצריך להיות בפנים עד גמר העבודה, והוא מעיקר דין הכשר העבודה וקיום מצוותה. </w:t>
      </w:r>
      <w:r w:rsidRPr="00D90F09">
        <w:rPr>
          <w:rFonts w:ascii="FrankRuehl" w:hAnsi="FrankRuehl" w:cs="FrankRuehl"/>
          <w:sz w:val="24"/>
          <w:szCs w:val="24"/>
          <w:rtl/>
        </w:rPr>
        <w:t>והא דבשאר קטורת של כל ימות השנה מקטיר ויוצא לאלתר, הוא משום דבקטורת של כל השנה נגמר כל מצוותה וחלות מעשה ההקטרה בזריקה על האישים... והך דנתמלא הבית עשן דמבואר במשנה וברמב"ם דין אחר הוא, והוא דין מסוים בקטורת של לפני ולפנים. ושמעתי זה מכבר מהגאון רש"ז שיחי', דהוא נלמד מהקרא ד'וכסה ענן הקטרת' את הכפורת אשר על העדות' וגו', עכ"ד. וכן הוא בקרית ספר להמבי"ט. ואם כן הוא זה דין בפני שיתקיים 'וכסה' וגו', ובהכי נגמר מצוותה.</w:t>
      </w:r>
      <w:r>
        <w:rPr>
          <w:rFonts w:ascii="FrankRuehl" w:hAnsi="FrankRuehl" w:cs="FrankRuehl" w:hint="cs"/>
          <w:sz w:val="24"/>
          <w:szCs w:val="24"/>
          <w:rtl/>
        </w:rPr>
        <w:t xml:space="preserve"> </w:t>
      </w:r>
    </w:p>
    <w:p w:rsidR="00C26E1A" w:rsidRDefault="00C26E1A" w:rsidP="00C26E1A">
      <w:pPr>
        <w:rPr>
          <w:rFonts w:ascii="FrankRuehl" w:hAnsi="FrankRuehl" w:cs="FrankRuehl"/>
          <w:sz w:val="24"/>
          <w:szCs w:val="24"/>
          <w:rtl/>
        </w:rPr>
      </w:pPr>
    </w:p>
    <w:p w:rsidR="00C26E1A" w:rsidRPr="0075283C" w:rsidRDefault="00C26E1A" w:rsidP="00C26E1A">
      <w:pPr>
        <w:rPr>
          <w:rFonts w:ascii="FrankRuehl" w:hAnsi="FrankRuehl" w:cs="FrankRuehl"/>
          <w:sz w:val="24"/>
          <w:szCs w:val="24"/>
          <w:rtl/>
        </w:rPr>
      </w:pPr>
      <w:r w:rsidRPr="0075283C">
        <w:rPr>
          <w:rFonts w:ascii="FrankRuehl" w:hAnsi="FrankRuehl" w:cs="FrankRuehl"/>
          <w:sz w:val="24"/>
          <w:szCs w:val="24"/>
          <w:rtl/>
        </w:rPr>
        <w:t xml:space="preserve">  </w:t>
      </w:r>
    </w:p>
    <w:p w:rsidR="00C26E1A" w:rsidRPr="005F2EB2" w:rsidRDefault="00C26E1A" w:rsidP="00C26E1A">
      <w:pPr>
        <w:spacing w:before="200" w:line="276" w:lineRule="auto"/>
        <w:rPr>
          <w:sz w:val="24"/>
          <w:szCs w:val="24"/>
          <w:highlight w:val="green"/>
          <w:rtl/>
        </w:rPr>
      </w:pPr>
    </w:p>
    <w:p w:rsidR="00782FFD" w:rsidRDefault="00782FFD" w:rsidP="00C26E1A">
      <w:pPr>
        <w:spacing w:before="200" w:line="276" w:lineRule="auto"/>
        <w:ind w:firstLine="227"/>
        <w:rPr>
          <w:sz w:val="24"/>
          <w:szCs w:val="24"/>
          <w:rtl/>
        </w:rPr>
      </w:pPr>
    </w:p>
    <w:p w:rsidR="00C26E1A" w:rsidRDefault="00C26E1A" w:rsidP="00C26E1A">
      <w:pPr>
        <w:spacing w:before="200" w:line="276" w:lineRule="auto"/>
        <w:ind w:firstLine="227"/>
        <w:rPr>
          <w:sz w:val="24"/>
          <w:szCs w:val="24"/>
          <w:rtl/>
        </w:rPr>
      </w:pPr>
      <w:r>
        <w:rPr>
          <w:rFonts w:hint="cs"/>
          <w:sz w:val="24"/>
          <w:szCs w:val="24"/>
          <w:rtl/>
        </w:rPr>
        <w:lastRenderedPageBreak/>
        <w:t>בפרשת אחרי מות נאמר:</w:t>
      </w:r>
    </w:p>
    <w:p w:rsidR="00C26E1A" w:rsidRDefault="00C26E1A" w:rsidP="00C26E1A">
      <w:pPr>
        <w:spacing w:before="200" w:line="276" w:lineRule="auto"/>
        <w:ind w:left="720"/>
        <w:rPr>
          <w:sz w:val="24"/>
          <w:szCs w:val="24"/>
          <w:rtl/>
        </w:rPr>
      </w:pPr>
      <w:r w:rsidRPr="005F2EB2">
        <w:rPr>
          <w:sz w:val="24"/>
          <w:szCs w:val="24"/>
          <w:rtl/>
        </w:rPr>
        <w:t>ולקח מלא המחתה גחלי אש מעל המזבח מלפני ה' ומלא חפניו קטרת סמים דקה</w:t>
      </w:r>
      <w:r>
        <w:rPr>
          <w:rFonts w:hint="cs"/>
          <w:sz w:val="24"/>
          <w:szCs w:val="24"/>
          <w:rtl/>
        </w:rPr>
        <w:t>,</w:t>
      </w:r>
      <w:r>
        <w:rPr>
          <w:sz w:val="24"/>
          <w:szCs w:val="24"/>
          <w:rtl/>
        </w:rPr>
        <w:t xml:space="preserve"> והביא מבית לפרכת</w:t>
      </w:r>
      <w:r>
        <w:rPr>
          <w:rFonts w:hint="cs"/>
          <w:sz w:val="24"/>
          <w:szCs w:val="24"/>
          <w:rtl/>
        </w:rPr>
        <w:t>.</w:t>
      </w:r>
      <w:r w:rsidRPr="005F2EB2">
        <w:rPr>
          <w:sz w:val="24"/>
          <w:szCs w:val="24"/>
          <w:rtl/>
        </w:rPr>
        <w:t xml:space="preserve"> ונתן את הקטרת על האש לפני ה'</w:t>
      </w:r>
      <w:r>
        <w:rPr>
          <w:rFonts w:hint="cs"/>
          <w:sz w:val="24"/>
          <w:szCs w:val="24"/>
          <w:rtl/>
        </w:rPr>
        <w:t>,</w:t>
      </w:r>
      <w:r w:rsidRPr="005F2EB2">
        <w:rPr>
          <w:sz w:val="24"/>
          <w:szCs w:val="24"/>
          <w:rtl/>
        </w:rPr>
        <w:t xml:space="preserve"> וכסה ענן הקטרת את הכפרת אשר על העדות ולא ימות</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[ויקרא טז, יב-יג]</w:t>
      </w:r>
    </w:p>
    <w:p w:rsidR="00C26E1A" w:rsidRDefault="00C26E1A" w:rsidP="00C26E1A">
      <w:pPr>
        <w:spacing w:before="200" w:line="276" w:lineRule="auto"/>
        <w:ind w:firstLine="227"/>
        <w:rPr>
          <w:sz w:val="24"/>
          <w:szCs w:val="24"/>
          <w:rtl/>
        </w:rPr>
      </w:pPr>
      <w:r>
        <w:rPr>
          <w:rFonts w:hint="cs"/>
          <w:sz w:val="24"/>
          <w:szCs w:val="24"/>
          <w:rtl/>
        </w:rPr>
        <w:t>בכתובים אלו מופיע הציווי על הקטרת הקטורת בקודש הקדשים.</w:t>
      </w:r>
    </w:p>
    <w:p w:rsidR="00C26E1A" w:rsidRDefault="00C26E1A" w:rsidP="00C26E1A">
      <w:pPr>
        <w:spacing w:before="200" w:line="276" w:lineRule="auto"/>
        <w:ind w:firstLine="227"/>
        <w:rPr>
          <w:sz w:val="24"/>
          <w:szCs w:val="24"/>
          <w:rtl/>
        </w:rPr>
      </w:pPr>
      <w:r>
        <w:rPr>
          <w:rFonts w:hint="cs"/>
          <w:sz w:val="24"/>
          <w:szCs w:val="24"/>
          <w:rtl/>
        </w:rPr>
        <w:t>הקטרת הקטורת בקודש הקדשים נעשית ביום הכיפורים בלבד, אך עצם מעשה הקטרת הקטורת נעשה במקדש באופן יומיומי בבוקר ובערב; כפי שנאמר בסוף פרשת תצוה:</w:t>
      </w:r>
    </w:p>
    <w:p w:rsidR="00C26E1A" w:rsidRDefault="00C26E1A" w:rsidP="00C26E1A">
      <w:pPr>
        <w:spacing w:before="200" w:line="276" w:lineRule="auto"/>
        <w:ind w:left="720"/>
        <w:rPr>
          <w:sz w:val="24"/>
          <w:szCs w:val="24"/>
          <w:rtl/>
        </w:rPr>
      </w:pPr>
      <w:r w:rsidRPr="005F2EB2">
        <w:rPr>
          <w:sz w:val="24"/>
          <w:szCs w:val="24"/>
          <w:rtl/>
        </w:rPr>
        <w:t>והקטיר עליו אהרן קטרת סמים</w:t>
      </w:r>
      <w:r>
        <w:rPr>
          <w:rFonts w:hint="cs"/>
          <w:sz w:val="24"/>
          <w:szCs w:val="24"/>
          <w:rtl/>
        </w:rPr>
        <w:t>,</w:t>
      </w:r>
      <w:r w:rsidRPr="005F2EB2">
        <w:rPr>
          <w:sz w:val="24"/>
          <w:szCs w:val="24"/>
          <w:rtl/>
        </w:rPr>
        <w:t xml:space="preserve"> בבק</w:t>
      </w:r>
      <w:r>
        <w:rPr>
          <w:sz w:val="24"/>
          <w:szCs w:val="24"/>
          <w:rtl/>
        </w:rPr>
        <w:t>ר בבקר בהיטיבו את הנרת יקטירנה</w:t>
      </w:r>
      <w:r>
        <w:rPr>
          <w:rFonts w:hint="cs"/>
          <w:sz w:val="24"/>
          <w:szCs w:val="24"/>
          <w:rtl/>
        </w:rPr>
        <w:t>.</w:t>
      </w:r>
      <w:r w:rsidRPr="005F2EB2">
        <w:rPr>
          <w:sz w:val="24"/>
          <w:szCs w:val="24"/>
          <w:rtl/>
        </w:rPr>
        <w:t xml:space="preserve"> ובהעלת אהרן את הנרת בין הערבים יקטירנה</w:t>
      </w:r>
      <w:r>
        <w:rPr>
          <w:rFonts w:hint="cs"/>
          <w:sz w:val="24"/>
          <w:szCs w:val="24"/>
          <w:rtl/>
        </w:rPr>
        <w:t>,</w:t>
      </w:r>
      <w:r w:rsidRPr="005F2EB2">
        <w:rPr>
          <w:sz w:val="24"/>
          <w:szCs w:val="24"/>
          <w:rtl/>
        </w:rPr>
        <w:t xml:space="preserve"> קטרת תמיד לפני ה' לדרתיכם</w:t>
      </w:r>
      <w:r>
        <w:rPr>
          <w:rFonts w:hint="cs"/>
          <w:sz w:val="24"/>
          <w:szCs w:val="24"/>
          <w:rtl/>
        </w:rPr>
        <w:t>.</w:t>
      </w:r>
      <w:r>
        <w:rPr>
          <w:sz w:val="24"/>
          <w:szCs w:val="24"/>
          <w:rtl/>
        </w:rPr>
        <w:tab/>
      </w:r>
      <w:r>
        <w:rPr>
          <w:sz w:val="24"/>
          <w:szCs w:val="24"/>
          <w:rtl/>
        </w:rPr>
        <w:tab/>
      </w:r>
      <w:r>
        <w:rPr>
          <w:rFonts w:hint="cs"/>
          <w:sz w:val="24"/>
          <w:szCs w:val="24"/>
          <w:rtl/>
        </w:rPr>
        <w:t xml:space="preserve">  </w:t>
      </w:r>
      <w:r>
        <w:rPr>
          <w:rFonts w:hint="cs"/>
          <w:sz w:val="20"/>
          <w:szCs w:val="20"/>
          <w:rtl/>
        </w:rPr>
        <w:t>[שמות ל, ז-ח]</w:t>
      </w:r>
    </w:p>
    <w:p w:rsidR="00C26E1A" w:rsidRDefault="00C26E1A" w:rsidP="00C26E1A">
      <w:pPr>
        <w:spacing w:before="200" w:line="276" w:lineRule="auto"/>
        <w:ind w:firstLine="227"/>
        <w:rPr>
          <w:sz w:val="24"/>
          <w:szCs w:val="24"/>
          <w:rtl/>
        </w:rPr>
      </w:pPr>
      <w:r>
        <w:rPr>
          <w:rFonts w:hint="cs"/>
          <w:sz w:val="24"/>
          <w:szCs w:val="24"/>
          <w:rtl/>
        </w:rPr>
        <w:t>נעיין במהותה של הקטרת הקטורת הנעשית בכל יום, ולאחר מכן נבחן את היחס בינה לבין הקטורת המוקטרת בקודש הקדשים.</w:t>
      </w:r>
    </w:p>
    <w:p w:rsidR="00C26E1A" w:rsidRDefault="00C26E1A" w:rsidP="00C26E1A">
      <w:pPr>
        <w:spacing w:before="200" w:line="276" w:lineRule="auto"/>
        <w:ind w:firstLine="227"/>
        <w:rPr>
          <w:sz w:val="24"/>
          <w:szCs w:val="24"/>
          <w:rtl/>
        </w:rPr>
      </w:pPr>
    </w:p>
    <w:p w:rsidR="00C26E1A" w:rsidRDefault="00C26E1A" w:rsidP="00C26E1A">
      <w:pPr>
        <w:spacing w:before="200" w:line="276" w:lineRule="auto"/>
        <w:ind w:firstLine="227"/>
        <w:rPr>
          <w:sz w:val="24"/>
          <w:szCs w:val="24"/>
          <w:rtl/>
        </w:rPr>
      </w:pPr>
      <w:r>
        <w:rPr>
          <w:rFonts w:hint="cs"/>
          <w:sz w:val="24"/>
          <w:szCs w:val="24"/>
          <w:rtl/>
        </w:rPr>
        <w:t>הרמב"ם כותב בספר המצוות:</w:t>
      </w:r>
    </w:p>
    <w:p w:rsidR="00C26E1A" w:rsidRPr="008A6FE9" w:rsidRDefault="00C26E1A" w:rsidP="00C26E1A">
      <w:pPr>
        <w:spacing w:before="200" w:line="276" w:lineRule="auto"/>
        <w:ind w:left="720"/>
        <w:rPr>
          <w:sz w:val="20"/>
          <w:szCs w:val="20"/>
          <w:rtl/>
        </w:rPr>
      </w:pPr>
      <w:r w:rsidRPr="008A6FE9">
        <w:rPr>
          <w:sz w:val="24"/>
          <w:szCs w:val="24"/>
          <w:rtl/>
        </w:rPr>
        <w:t>והמצוה הכ"ח היא שנצטוו הכהנים להשים קטורת פעמיים ביום על מזבח הזהב</w:t>
      </w:r>
      <w:r>
        <w:rPr>
          <w:rFonts w:hint="cs"/>
          <w:sz w:val="24"/>
          <w:szCs w:val="24"/>
          <w:rtl/>
        </w:rPr>
        <w:t>,</w:t>
      </w:r>
      <w:r>
        <w:rPr>
          <w:sz w:val="24"/>
          <w:szCs w:val="24"/>
          <w:rtl/>
        </w:rPr>
        <w:t xml:space="preserve"> והוא אמרו יתעלה</w:t>
      </w:r>
      <w:r>
        <w:rPr>
          <w:rFonts w:hint="cs"/>
          <w:sz w:val="24"/>
          <w:szCs w:val="24"/>
          <w:rtl/>
        </w:rPr>
        <w:t>: '</w:t>
      </w:r>
      <w:r w:rsidRPr="008A6FE9">
        <w:rPr>
          <w:sz w:val="24"/>
          <w:szCs w:val="24"/>
          <w:rtl/>
        </w:rPr>
        <w:t>והקטיר עליו אהרן קטרת סמים</w:t>
      </w:r>
      <w:r>
        <w:rPr>
          <w:rFonts w:hint="cs"/>
          <w:sz w:val="24"/>
          <w:szCs w:val="24"/>
          <w:rtl/>
        </w:rPr>
        <w:t>,</w:t>
      </w:r>
      <w:r w:rsidRPr="008A6FE9">
        <w:rPr>
          <w:sz w:val="24"/>
          <w:szCs w:val="24"/>
          <w:rtl/>
        </w:rPr>
        <w:t xml:space="preserve"> בבקר בבקר בהטיבו את הנרות יקטירנה</w:t>
      </w:r>
      <w:r>
        <w:rPr>
          <w:rFonts w:hint="cs"/>
          <w:sz w:val="24"/>
          <w:szCs w:val="24"/>
          <w:rtl/>
        </w:rPr>
        <w:t>.</w:t>
      </w:r>
      <w:r w:rsidRPr="008A6FE9">
        <w:rPr>
          <w:sz w:val="24"/>
          <w:szCs w:val="24"/>
          <w:rtl/>
        </w:rPr>
        <w:t xml:space="preserve"> ובהעלות אהרן את הנרות בין הערבים יקטירנה</w:t>
      </w:r>
      <w:r>
        <w:rPr>
          <w:rFonts w:hint="cs"/>
          <w:sz w:val="24"/>
          <w:szCs w:val="24"/>
          <w:rtl/>
        </w:rPr>
        <w:t>'</w:t>
      </w:r>
      <w:r w:rsidRPr="008A6FE9">
        <w:rPr>
          <w:sz w:val="24"/>
          <w:szCs w:val="24"/>
          <w:rtl/>
        </w:rPr>
        <w:t>.</w:t>
      </w:r>
      <w:r>
        <w:rPr>
          <w:sz w:val="24"/>
          <w:szCs w:val="24"/>
          <w:rtl/>
        </w:rPr>
        <w:tab/>
      </w:r>
      <w:r>
        <w:rPr>
          <w:sz w:val="24"/>
          <w:szCs w:val="24"/>
          <w:rtl/>
        </w:rPr>
        <w:tab/>
      </w:r>
      <w:r>
        <w:rPr>
          <w:rFonts w:hint="cs"/>
          <w:sz w:val="24"/>
          <w:szCs w:val="24"/>
          <w:rtl/>
        </w:rPr>
        <w:t xml:space="preserve">     </w:t>
      </w:r>
      <w:r>
        <w:rPr>
          <w:rFonts w:hint="cs"/>
          <w:sz w:val="20"/>
          <w:szCs w:val="20"/>
          <w:rtl/>
        </w:rPr>
        <w:t>[ספר המצוות לרמב"ם מ"ע כח]</w:t>
      </w:r>
    </w:p>
    <w:p w:rsidR="00C26E1A" w:rsidRDefault="00C26E1A" w:rsidP="00C26E1A">
      <w:pPr>
        <w:spacing w:before="200" w:line="276" w:lineRule="auto"/>
        <w:ind w:firstLine="227"/>
        <w:rPr>
          <w:sz w:val="24"/>
          <w:szCs w:val="24"/>
          <w:rtl/>
        </w:rPr>
      </w:pPr>
      <w:r>
        <w:rPr>
          <w:rFonts w:hint="cs"/>
          <w:sz w:val="24"/>
          <w:szCs w:val="24"/>
          <w:rtl/>
        </w:rPr>
        <w:t>לעומת זאת, לגבי מצות הקרבת התמיד כותב הרמב"ם:</w:t>
      </w:r>
    </w:p>
    <w:p w:rsidR="00C26E1A" w:rsidRDefault="00C26E1A" w:rsidP="00C26E1A">
      <w:pPr>
        <w:spacing w:before="200" w:line="276" w:lineRule="auto"/>
        <w:ind w:left="720"/>
        <w:rPr>
          <w:sz w:val="24"/>
          <w:szCs w:val="24"/>
          <w:rtl/>
        </w:rPr>
      </w:pPr>
      <w:r w:rsidRPr="008A6FE9">
        <w:rPr>
          <w:sz w:val="24"/>
          <w:szCs w:val="24"/>
          <w:rtl/>
        </w:rPr>
        <w:t xml:space="preserve">והמצוה הל"ט היא שצונו </w:t>
      </w:r>
      <w:r>
        <w:rPr>
          <w:sz w:val="24"/>
          <w:szCs w:val="24"/>
          <w:rtl/>
        </w:rPr>
        <w:t>להקריב במקדש שני כבשים בכל יום</w:t>
      </w:r>
      <w:r w:rsidRPr="008A6FE9">
        <w:rPr>
          <w:sz w:val="24"/>
          <w:szCs w:val="24"/>
          <w:rtl/>
        </w:rPr>
        <w:t xml:space="preserve"> ואלו נקראין תמי</w:t>
      </w:r>
      <w:r>
        <w:rPr>
          <w:sz w:val="24"/>
          <w:szCs w:val="24"/>
          <w:rtl/>
        </w:rPr>
        <w:t>דין. והוא אמרו יתעלה</w:t>
      </w:r>
      <w:r>
        <w:rPr>
          <w:rFonts w:hint="cs"/>
          <w:sz w:val="24"/>
          <w:szCs w:val="24"/>
          <w:rtl/>
        </w:rPr>
        <w:t>: '</w:t>
      </w:r>
      <w:r w:rsidRPr="008A6FE9">
        <w:rPr>
          <w:sz w:val="24"/>
          <w:szCs w:val="24"/>
          <w:rtl/>
        </w:rPr>
        <w:t>שנים ליום עולה תמיד</w:t>
      </w:r>
      <w:r>
        <w:rPr>
          <w:rFonts w:hint="cs"/>
          <w:sz w:val="24"/>
          <w:szCs w:val="24"/>
          <w:rtl/>
        </w:rPr>
        <w:t>'</w:t>
      </w:r>
      <w:r w:rsidRPr="008A6FE9">
        <w:rPr>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[שם, מ"ע לט]</w:t>
      </w:r>
    </w:p>
    <w:p w:rsidR="00C26E1A" w:rsidRDefault="00C26E1A" w:rsidP="00C26E1A">
      <w:pPr>
        <w:spacing w:before="200" w:line="276" w:lineRule="auto"/>
        <w:ind w:firstLine="227"/>
        <w:rPr>
          <w:sz w:val="24"/>
          <w:szCs w:val="24"/>
          <w:rtl/>
        </w:rPr>
      </w:pPr>
      <w:r>
        <w:rPr>
          <w:rFonts w:hint="cs"/>
          <w:sz w:val="24"/>
          <w:szCs w:val="24"/>
          <w:rtl/>
        </w:rPr>
        <w:t>הרמב"ם מנסח מצוות אלו באופן שונה: הרמב"ם מגדיר את הקטרת הקטורת כמצוה המוטלת על הכהנים, ואילו את הקרבת התמיד כמצוה המוטלת על כל ישראל</w:t>
      </w:r>
      <w:r>
        <w:rPr>
          <w:rStyle w:val="a7"/>
          <w:sz w:val="24"/>
          <w:szCs w:val="24"/>
          <w:rtl/>
        </w:rPr>
        <w:footnoteReference w:id="98"/>
      </w:r>
      <w:r>
        <w:rPr>
          <w:rFonts w:hint="cs"/>
          <w:sz w:val="24"/>
          <w:szCs w:val="24"/>
          <w:rtl/>
        </w:rPr>
        <w:t>.</w:t>
      </w:r>
    </w:p>
    <w:p w:rsidR="00C26E1A" w:rsidRDefault="00C26E1A" w:rsidP="00C26E1A">
      <w:pPr>
        <w:spacing w:before="200" w:line="276" w:lineRule="auto"/>
        <w:ind w:firstLine="227"/>
        <w:rPr>
          <w:sz w:val="24"/>
          <w:szCs w:val="24"/>
          <w:rtl/>
        </w:rPr>
      </w:pPr>
      <w:r>
        <w:rPr>
          <w:rFonts w:hint="cs"/>
          <w:sz w:val="24"/>
          <w:szCs w:val="24"/>
          <w:rtl/>
        </w:rPr>
        <w:t>הגרי"ז מבאר את ניסוחיו השונים של הרמב"ם על פי טענתו שקיים הבדל עקרוני בין שתי המצוות:</w:t>
      </w:r>
    </w:p>
    <w:p w:rsidR="00C26E1A" w:rsidRDefault="00C26E1A" w:rsidP="00C26E1A">
      <w:pPr>
        <w:spacing w:before="200" w:line="276" w:lineRule="auto"/>
        <w:ind w:left="720"/>
        <w:rPr>
          <w:sz w:val="24"/>
          <w:szCs w:val="24"/>
          <w:rtl/>
        </w:rPr>
      </w:pPr>
      <w:r>
        <w:rPr>
          <w:rFonts w:hint="cs"/>
          <w:sz w:val="24"/>
          <w:szCs w:val="24"/>
          <w:rtl/>
        </w:rPr>
        <w:t xml:space="preserve">ואשר נראה ללמוד ולהוכיח מזה, דאף על גב דקטורת בעצמותה בודאי קרבן ציבור הוא ככל קרבן ציבור, אבל בנוגע לעניין המצוה חלוקה היא משאר קרבנות ציבור ביסוד חיובה וקיום מצותה. דכל קרבן ציבור כמו תמידין ומוספין וכדומה, עיקר דינם הוא דין חיוב קרבן, שהציבור חייבין בקרבן זה כמו כל מחויבי קרבן של יחיד, ומצוותן מתקיימת על ידי זה שהציבור מתכפרין בו והקרבן עולה להן ככל קרבנות הקריבין ועולין לבעליהן. אבל לא כן מצות הקטורת, עיקר מצוותה הוא שיהא ממנה מעשה הקטרה בכל יום על מזבח הזהב... ואין לך בה במצוותה אלא חיוב מעשה הקטרה בלבד, וזה הוא כל עצם קיום מצוותה מה שהקטורת נקטרת על המזבח בכל יום, ויותר אין לנו בה. </w:t>
      </w:r>
    </w:p>
    <w:p w:rsidR="00C26E1A" w:rsidRDefault="00C26E1A" w:rsidP="00C26E1A">
      <w:pPr>
        <w:spacing w:before="200" w:line="276" w:lineRule="auto"/>
        <w:ind w:left="720"/>
        <w:jc w:val="right"/>
        <w:rPr>
          <w:sz w:val="24"/>
          <w:szCs w:val="24"/>
          <w:rtl/>
        </w:rPr>
      </w:pPr>
      <w:r>
        <w:rPr>
          <w:rFonts w:hint="cs"/>
          <w:sz w:val="20"/>
          <w:szCs w:val="20"/>
          <w:rtl/>
        </w:rPr>
        <w:t>[חידושי מרן רי"ז הלוי הל' כלי המקדש פ"ב ה"ח]</w:t>
      </w:r>
    </w:p>
    <w:p w:rsidR="00C26E1A" w:rsidRDefault="00C26E1A" w:rsidP="00C26E1A">
      <w:pPr>
        <w:spacing w:before="200" w:line="276" w:lineRule="auto"/>
        <w:ind w:firstLine="266"/>
        <w:rPr>
          <w:sz w:val="24"/>
          <w:szCs w:val="24"/>
          <w:rtl/>
        </w:rPr>
      </w:pPr>
      <w:r>
        <w:rPr>
          <w:rFonts w:hint="cs"/>
          <w:sz w:val="24"/>
          <w:szCs w:val="24"/>
          <w:rtl/>
        </w:rPr>
        <w:t xml:space="preserve">לטענת הגרי"ז, בכל הקרבנות הקרבים על גבי המזבח המצוה אינה מתקיימת בעצם העלאת הבהמה לקרבן לפני ה', אלא בעובדה שהיא קרבה בעבור בעליה </w:t>
      </w:r>
      <w:r>
        <w:rPr>
          <w:sz w:val="24"/>
          <w:szCs w:val="24"/>
          <w:rtl/>
        </w:rPr>
        <w:t>–</w:t>
      </w:r>
      <w:r>
        <w:rPr>
          <w:rFonts w:hint="cs"/>
          <w:sz w:val="24"/>
          <w:szCs w:val="24"/>
          <w:rtl/>
        </w:rPr>
        <w:t xml:space="preserve"> לריצוי ולכפרה. מצות הקטרת הקטורת, לעומת זאת, היא עצם העלאת הקטורת לפני ה', בלי ייחוס שלה לבעליה. </w:t>
      </w:r>
    </w:p>
    <w:p w:rsidR="00C26E1A" w:rsidRDefault="00C26E1A" w:rsidP="00C26E1A">
      <w:pPr>
        <w:spacing w:before="200" w:line="276" w:lineRule="auto"/>
        <w:ind w:firstLine="266"/>
        <w:rPr>
          <w:sz w:val="24"/>
          <w:szCs w:val="24"/>
          <w:rtl/>
        </w:rPr>
      </w:pPr>
      <w:r>
        <w:rPr>
          <w:rFonts w:hint="cs"/>
          <w:sz w:val="24"/>
          <w:szCs w:val="24"/>
          <w:rtl/>
        </w:rPr>
        <w:t xml:space="preserve">על פי הבחנה זו מבאר הגרי"ז את ניסוחיו השונים של הרמב"ם: מצות הקטורת מוטלת על הכהנים, הואיל ומהות המצוה היא עצם מעשה ההקטרה הנעשה על ידי הכהנים. מצות התמיד, </w:t>
      </w:r>
      <w:r>
        <w:rPr>
          <w:rFonts w:hint="cs"/>
          <w:sz w:val="24"/>
          <w:szCs w:val="24"/>
          <w:rtl/>
        </w:rPr>
        <w:lastRenderedPageBreak/>
        <w:t xml:space="preserve">לעומת זאת, מוטלת על ישראל, הואיל ועל אף שמעשה ההקרבה נעשה על ידי הכהנים, מהות המצוה היא שהתמיד יוקרב בעבור כל ישראל </w:t>
      </w:r>
      <w:r>
        <w:rPr>
          <w:sz w:val="24"/>
          <w:szCs w:val="24"/>
          <w:rtl/>
        </w:rPr>
        <w:t>–</w:t>
      </w:r>
      <w:r>
        <w:rPr>
          <w:rFonts w:hint="cs"/>
          <w:sz w:val="24"/>
          <w:szCs w:val="24"/>
          <w:rtl/>
        </w:rPr>
        <w:t xml:space="preserve"> בעלי הקרבן.</w:t>
      </w:r>
    </w:p>
    <w:p w:rsidR="00C26E1A" w:rsidRDefault="00C26E1A" w:rsidP="00C26E1A">
      <w:pPr>
        <w:spacing w:before="200" w:line="276" w:lineRule="auto"/>
        <w:ind w:firstLine="266"/>
        <w:rPr>
          <w:sz w:val="24"/>
          <w:szCs w:val="24"/>
          <w:rtl/>
        </w:rPr>
      </w:pPr>
      <w:r>
        <w:rPr>
          <w:rFonts w:hint="cs"/>
          <w:sz w:val="24"/>
          <w:szCs w:val="24"/>
          <w:rtl/>
        </w:rPr>
        <w:t xml:space="preserve">נראה להעמיק את ההבדל בין הקטורת לקרבנות על פי הבחנתו של </w:t>
      </w:r>
      <w:r w:rsidRPr="00DB6556">
        <w:rPr>
          <w:rFonts w:hint="cs"/>
          <w:sz w:val="24"/>
          <w:szCs w:val="24"/>
          <w:rtl/>
        </w:rPr>
        <w:t xml:space="preserve">הרב אהרן ליכטנשטיין </w:t>
      </w:r>
      <w:r>
        <w:rPr>
          <w:rFonts w:hint="cs"/>
          <w:sz w:val="24"/>
          <w:szCs w:val="24"/>
          <w:rtl/>
        </w:rPr>
        <w:t xml:space="preserve">זצ"ל </w:t>
      </w:r>
      <w:r>
        <w:rPr>
          <w:rFonts w:hint="cs"/>
          <w:sz w:val="20"/>
          <w:szCs w:val="20"/>
          <w:rtl/>
        </w:rPr>
        <w:t xml:space="preserve">[קדושת אביב </w:t>
      </w:r>
      <w:r w:rsidRPr="00DB6556">
        <w:rPr>
          <w:rFonts w:hint="cs"/>
          <w:sz w:val="20"/>
          <w:szCs w:val="20"/>
          <w:rtl/>
        </w:rPr>
        <w:t>עמ'</w:t>
      </w:r>
      <w:r>
        <w:rPr>
          <w:rFonts w:hint="cs"/>
          <w:sz w:val="20"/>
          <w:szCs w:val="20"/>
          <w:rtl/>
        </w:rPr>
        <w:t xml:space="preserve"> 423-424]</w:t>
      </w:r>
      <w:r w:rsidRPr="00DB6556">
        <w:rPr>
          <w:rFonts w:hint="cs"/>
          <w:sz w:val="20"/>
          <w:szCs w:val="20"/>
          <w:rtl/>
        </w:rPr>
        <w:t xml:space="preserve"> </w:t>
      </w:r>
      <w:r>
        <w:rPr>
          <w:rFonts w:hint="cs"/>
          <w:sz w:val="24"/>
          <w:szCs w:val="24"/>
          <w:rtl/>
        </w:rPr>
        <w:t xml:space="preserve">בהבדל העקרוני </w:t>
      </w:r>
      <w:r w:rsidRPr="00DB6556">
        <w:rPr>
          <w:rFonts w:hint="cs"/>
          <w:sz w:val="24"/>
          <w:szCs w:val="24"/>
          <w:rtl/>
        </w:rPr>
        <w:t xml:space="preserve">בין העזרה לבין ההיכל: העזרה היא המקום </w:t>
      </w:r>
      <w:r>
        <w:rPr>
          <w:rFonts w:hint="cs"/>
          <w:sz w:val="24"/>
          <w:szCs w:val="24"/>
          <w:rtl/>
        </w:rPr>
        <w:t xml:space="preserve">בו </w:t>
      </w:r>
      <w:r>
        <w:rPr>
          <w:rFonts w:hint="cs"/>
          <w:b/>
          <w:bCs/>
          <w:sz w:val="24"/>
          <w:szCs w:val="24"/>
          <w:rtl/>
        </w:rPr>
        <w:t xml:space="preserve">האדם </w:t>
      </w:r>
      <w:r>
        <w:rPr>
          <w:rFonts w:hint="cs"/>
          <w:sz w:val="24"/>
          <w:szCs w:val="24"/>
          <w:rtl/>
        </w:rPr>
        <w:t>עובד את ה' יתברך</w:t>
      </w:r>
      <w:r w:rsidRPr="00DB6556">
        <w:rPr>
          <w:rFonts w:hint="cs"/>
          <w:sz w:val="24"/>
          <w:szCs w:val="24"/>
          <w:rtl/>
        </w:rPr>
        <w:t xml:space="preserve">; ההיכל, לעומת זאת, הוא </w:t>
      </w:r>
      <w:r w:rsidRPr="00DB6556">
        <w:rPr>
          <w:rFonts w:hint="cs"/>
          <w:b/>
          <w:bCs/>
          <w:sz w:val="24"/>
          <w:szCs w:val="24"/>
          <w:rtl/>
        </w:rPr>
        <w:t>בית ה'</w:t>
      </w:r>
      <w:r w:rsidRPr="00DB6556">
        <w:rPr>
          <w:rFonts w:hint="cs"/>
          <w:sz w:val="24"/>
          <w:szCs w:val="24"/>
          <w:rtl/>
        </w:rPr>
        <w:t xml:space="preserve"> ומקום השראת שכינתו. בהתאם לכך, עבודת הקרבנות, </w:t>
      </w:r>
      <w:r>
        <w:rPr>
          <w:rFonts w:hint="cs"/>
          <w:sz w:val="24"/>
          <w:szCs w:val="24"/>
          <w:rtl/>
        </w:rPr>
        <w:t xml:space="preserve">שמגמתה </w:t>
      </w:r>
      <w:r w:rsidRPr="00DB6556">
        <w:rPr>
          <w:rFonts w:hint="cs"/>
          <w:sz w:val="24"/>
          <w:szCs w:val="24"/>
          <w:rtl/>
        </w:rPr>
        <w:t xml:space="preserve">התקרבות </w:t>
      </w:r>
      <w:r>
        <w:rPr>
          <w:rFonts w:hint="cs"/>
          <w:sz w:val="24"/>
          <w:szCs w:val="24"/>
          <w:rtl/>
        </w:rPr>
        <w:t xml:space="preserve">האדם </w:t>
      </w:r>
      <w:r w:rsidRPr="00DB6556">
        <w:rPr>
          <w:rFonts w:hint="cs"/>
          <w:sz w:val="24"/>
          <w:szCs w:val="24"/>
          <w:rtl/>
        </w:rPr>
        <w:t>לה' יתברך, נעשית בעזרה, ואי</w:t>
      </w:r>
      <w:r>
        <w:rPr>
          <w:rFonts w:hint="cs"/>
          <w:sz w:val="24"/>
          <w:szCs w:val="24"/>
          <w:rtl/>
        </w:rPr>
        <w:t>לו בהיכל נעשים המעשים הנדרשים כדי לעצב אותו כבית ה' וכמקום השראת השכינה. הבחנה זו מאירה את דברי הגרי"ז דלעיל: בשונה מהקרבנות, הקטורת המוקטרת בהיכל אינה באה לשם התקרבות האדם לה'; אלא זהו חלק מהמצוות הנוהגות בבית ה': כשם שבבית ה' יש להדליק נרות ולערוך לחם תמיד על השולחן אשר לפני ה', כך יש להקטיר קטורת בהיכל בכל בוקר ובכל ערב.</w:t>
      </w:r>
    </w:p>
    <w:p w:rsidR="00C26E1A" w:rsidRPr="00F22706" w:rsidRDefault="00C26E1A" w:rsidP="00C26E1A">
      <w:pPr>
        <w:spacing w:before="200" w:line="276" w:lineRule="auto"/>
        <w:ind w:firstLine="266"/>
        <w:rPr>
          <w:color w:val="FF0000"/>
          <w:sz w:val="24"/>
          <w:szCs w:val="24"/>
          <w:rtl/>
        </w:rPr>
      </w:pPr>
      <w:r>
        <w:rPr>
          <w:rFonts w:hint="cs"/>
          <w:sz w:val="24"/>
          <w:szCs w:val="24"/>
          <w:rtl/>
        </w:rPr>
        <w:t xml:space="preserve">דברים אלו יוצרים השוואה בין הקטורת לשאר העבודות הנעשות בהיכל. עם זאת, נראה שקיים חילוק עקרוני ביניהם: השולחן והמנורה נדרשים כדי לעצב את ההיכל כבית </w:t>
      </w:r>
      <w:r>
        <w:rPr>
          <w:sz w:val="24"/>
          <w:szCs w:val="24"/>
          <w:rtl/>
        </w:rPr>
        <w:t>–</w:t>
      </w:r>
      <w:r>
        <w:rPr>
          <w:rFonts w:hint="cs"/>
          <w:sz w:val="24"/>
          <w:szCs w:val="24"/>
          <w:rtl/>
        </w:rPr>
        <w:t xml:space="preserve"> בו עומדת מנורה שבה דולקים נרות, ובה עומד שולחן שעליו עורכים לחם תמיד. הקטורת, לעומת זאת, אינה חלק מצורת הבית, אלא היא בעלת מגמה מצד עצמה: בהיכל יש להקטיר קטורת לכבוד ה' יתברך. </w:t>
      </w:r>
    </w:p>
    <w:p w:rsidR="00C26E1A" w:rsidRDefault="00C26E1A" w:rsidP="00C26E1A">
      <w:pPr>
        <w:spacing w:before="200" w:line="276" w:lineRule="auto"/>
        <w:ind w:firstLine="266"/>
        <w:rPr>
          <w:sz w:val="24"/>
          <w:szCs w:val="24"/>
          <w:rtl/>
        </w:rPr>
      </w:pPr>
      <w:r>
        <w:rPr>
          <w:rFonts w:hint="cs"/>
          <w:sz w:val="24"/>
          <w:szCs w:val="24"/>
          <w:rtl/>
        </w:rPr>
        <w:t xml:space="preserve">הבחנה זו בין השולחן והמנורה לבין הקטורת, עולה ממיקומו של הציווי על מזבח הקטורת בפרשיות המשכן. מזבח הקטורת אינו מוזכר עם שאר הכלים בפרשת תרומה, אלא רק בסוף פרשת תצוה </w:t>
      </w:r>
      <w:r>
        <w:rPr>
          <w:rFonts w:hint="cs"/>
          <w:sz w:val="20"/>
          <w:szCs w:val="20"/>
          <w:rtl/>
        </w:rPr>
        <w:t>[שמות ל, א-י]</w:t>
      </w:r>
      <w:r>
        <w:rPr>
          <w:rFonts w:hint="cs"/>
          <w:sz w:val="24"/>
          <w:szCs w:val="24"/>
          <w:rtl/>
        </w:rPr>
        <w:t>. הספורנו כותב בביאור טעם הדבר:</w:t>
      </w:r>
    </w:p>
    <w:p w:rsidR="00C26E1A" w:rsidRDefault="00C26E1A" w:rsidP="00C26E1A">
      <w:pPr>
        <w:spacing w:before="200" w:line="276" w:lineRule="auto"/>
        <w:ind w:left="720"/>
        <w:rPr>
          <w:sz w:val="24"/>
          <w:szCs w:val="24"/>
          <w:rtl/>
        </w:rPr>
      </w:pPr>
      <w:r w:rsidRPr="00EA3D12">
        <w:rPr>
          <w:sz w:val="24"/>
          <w:szCs w:val="24"/>
          <w:rtl/>
        </w:rPr>
        <w:t xml:space="preserve">ולא הוזכר זה המזבח עם שאר הכלים בפרשת תרומה, </w:t>
      </w:r>
      <w:r w:rsidRPr="00A948B3">
        <w:rPr>
          <w:b/>
          <w:bCs/>
          <w:sz w:val="24"/>
          <w:szCs w:val="24"/>
          <w:rtl/>
        </w:rPr>
        <w:t>כי לא היתה הכונה בו להשכין האל יתברך בתוכנו, כמו שהיה הענין בשאר הכלים</w:t>
      </w:r>
      <w:r>
        <w:rPr>
          <w:rFonts w:hint="cs"/>
          <w:sz w:val="24"/>
          <w:szCs w:val="24"/>
          <w:rtl/>
        </w:rPr>
        <w:t>...</w:t>
      </w:r>
      <w:r w:rsidRPr="00EA3D12">
        <w:rPr>
          <w:sz w:val="24"/>
          <w:szCs w:val="24"/>
          <w:rtl/>
        </w:rPr>
        <w:t xml:space="preserve"> גם לא היה ענינו להוריד מראה כבודו בבית, כענין מעשה הקרבנות</w:t>
      </w:r>
      <w:r>
        <w:rPr>
          <w:rFonts w:hint="cs"/>
          <w:sz w:val="24"/>
          <w:szCs w:val="24"/>
          <w:rtl/>
        </w:rPr>
        <w:t>...</w:t>
      </w:r>
      <w:r w:rsidRPr="00EA3D12">
        <w:rPr>
          <w:sz w:val="24"/>
          <w:szCs w:val="24"/>
          <w:rtl/>
        </w:rPr>
        <w:t xml:space="preserve"> </w:t>
      </w:r>
      <w:r w:rsidRPr="00A948B3">
        <w:rPr>
          <w:b/>
          <w:bCs/>
          <w:sz w:val="24"/>
          <w:szCs w:val="24"/>
          <w:rtl/>
        </w:rPr>
        <w:t>אבל היה ענין זה המזבח לכבד את האל יתברך</w:t>
      </w:r>
      <w:r w:rsidRPr="00EA3D12">
        <w:rPr>
          <w:sz w:val="24"/>
          <w:szCs w:val="24"/>
          <w:rtl/>
        </w:rPr>
        <w:t xml:space="preserve"> אחרי בואו לקבל ברצון עבודת עמו בקרבנות הבקר והערב, ולשחר פניו במנחת קטרת, על דרך </w:t>
      </w:r>
      <w:r>
        <w:rPr>
          <w:rFonts w:hint="cs"/>
          <w:sz w:val="24"/>
          <w:szCs w:val="24"/>
          <w:rtl/>
        </w:rPr>
        <w:t>'</w:t>
      </w:r>
      <w:r w:rsidRPr="00EA3D12">
        <w:rPr>
          <w:sz w:val="24"/>
          <w:szCs w:val="24"/>
          <w:rtl/>
        </w:rPr>
        <w:t>הבו לה'</w:t>
      </w:r>
      <w:r>
        <w:rPr>
          <w:sz w:val="24"/>
          <w:szCs w:val="24"/>
          <w:rtl/>
        </w:rPr>
        <w:t xml:space="preserve"> כבו</w:t>
      </w:r>
      <w:r>
        <w:rPr>
          <w:rFonts w:hint="cs"/>
          <w:sz w:val="24"/>
          <w:szCs w:val="24"/>
          <w:rtl/>
        </w:rPr>
        <w:t xml:space="preserve">ד </w:t>
      </w:r>
      <w:r>
        <w:rPr>
          <w:sz w:val="24"/>
          <w:szCs w:val="24"/>
          <w:rtl/>
        </w:rPr>
        <w:t>שמו, שאו מנחה ובאו לפניו</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[ספורנו שם, א]</w:t>
      </w:r>
    </w:p>
    <w:p w:rsidR="00C26E1A" w:rsidRDefault="00C26E1A" w:rsidP="00C26E1A">
      <w:pPr>
        <w:spacing w:before="200" w:line="276" w:lineRule="auto"/>
        <w:ind w:firstLine="266"/>
        <w:rPr>
          <w:sz w:val="24"/>
          <w:szCs w:val="24"/>
          <w:rtl/>
        </w:rPr>
      </w:pPr>
      <w:r>
        <w:rPr>
          <w:rFonts w:hint="cs"/>
          <w:sz w:val="24"/>
          <w:szCs w:val="24"/>
          <w:rtl/>
        </w:rPr>
        <w:t xml:space="preserve">לפי דבריו, הקטורת אינה חלק מהשראת השכינה במקדש, אלא היא באה לכבוד ה' </w:t>
      </w:r>
      <w:r>
        <w:rPr>
          <w:sz w:val="24"/>
          <w:szCs w:val="24"/>
          <w:rtl/>
        </w:rPr>
        <w:t>–</w:t>
      </w:r>
      <w:r>
        <w:rPr>
          <w:rFonts w:hint="cs"/>
          <w:sz w:val="24"/>
          <w:szCs w:val="24"/>
          <w:rtl/>
        </w:rPr>
        <w:t xml:space="preserve"> "לכבד את הא-ל יתברך... ולשחר פניו במנחת קטורת"</w:t>
      </w:r>
      <w:r>
        <w:rPr>
          <w:rStyle w:val="a7"/>
          <w:sz w:val="24"/>
          <w:szCs w:val="24"/>
          <w:rtl/>
        </w:rPr>
        <w:footnoteReference w:id="99"/>
      </w:r>
      <w:r>
        <w:rPr>
          <w:rFonts w:hint="cs"/>
          <w:sz w:val="24"/>
          <w:szCs w:val="24"/>
          <w:rtl/>
        </w:rPr>
        <w:t xml:space="preserve">. </w:t>
      </w:r>
    </w:p>
    <w:p w:rsidR="00C26E1A" w:rsidRDefault="00C26E1A" w:rsidP="00C26E1A">
      <w:pPr>
        <w:spacing w:before="200" w:line="276" w:lineRule="auto"/>
        <w:ind w:firstLine="266"/>
        <w:rPr>
          <w:sz w:val="24"/>
          <w:szCs w:val="24"/>
          <w:rtl/>
        </w:rPr>
      </w:pPr>
      <w:r>
        <w:rPr>
          <w:rFonts w:hint="cs"/>
          <w:sz w:val="24"/>
          <w:szCs w:val="24"/>
          <w:rtl/>
        </w:rPr>
        <w:t xml:space="preserve">מכך נראה שעיקר עניינה של הקטורת הוא בריח הטוב העולה ממנה, המוקטר בהיכל לכבוד ה' יתברך </w:t>
      </w:r>
      <w:r>
        <w:rPr>
          <w:sz w:val="24"/>
          <w:szCs w:val="24"/>
          <w:rtl/>
        </w:rPr>
        <w:t>–</w:t>
      </w:r>
      <w:r>
        <w:rPr>
          <w:rFonts w:hint="cs"/>
          <w:sz w:val="24"/>
          <w:szCs w:val="24"/>
          <w:rtl/>
        </w:rPr>
        <w:t xml:space="preserve"> "ישימו קטורה באפך וכליל על מזבחך" </w:t>
      </w:r>
      <w:r>
        <w:rPr>
          <w:rFonts w:hint="cs"/>
          <w:sz w:val="20"/>
          <w:szCs w:val="20"/>
          <w:rtl/>
        </w:rPr>
        <w:t>[דברים לג, י]</w:t>
      </w:r>
      <w:r>
        <w:rPr>
          <w:rFonts w:hint="cs"/>
          <w:sz w:val="24"/>
          <w:szCs w:val="24"/>
          <w:rtl/>
        </w:rPr>
        <w:t xml:space="preserve">. </w:t>
      </w:r>
    </w:p>
    <w:p w:rsidR="00C26E1A" w:rsidRDefault="00C26E1A" w:rsidP="00C26E1A">
      <w:pPr>
        <w:spacing w:before="200" w:line="276" w:lineRule="auto"/>
        <w:ind w:firstLine="266"/>
        <w:rPr>
          <w:sz w:val="24"/>
          <w:szCs w:val="24"/>
          <w:rtl/>
        </w:rPr>
      </w:pPr>
      <w:r>
        <w:rPr>
          <w:rFonts w:hint="cs"/>
          <w:sz w:val="24"/>
          <w:szCs w:val="24"/>
          <w:rtl/>
        </w:rPr>
        <w:t>דברים מעין אלו כותב ספר החינוך:</w:t>
      </w:r>
    </w:p>
    <w:p w:rsidR="00C26E1A" w:rsidRDefault="00C26E1A" w:rsidP="00C26E1A">
      <w:pPr>
        <w:spacing w:before="200" w:line="276" w:lineRule="auto"/>
        <w:ind w:left="720"/>
        <w:rPr>
          <w:sz w:val="24"/>
          <w:szCs w:val="24"/>
          <w:rtl/>
        </w:rPr>
      </w:pPr>
      <w:r w:rsidRPr="00762333">
        <w:rPr>
          <w:sz w:val="24"/>
          <w:szCs w:val="24"/>
          <w:rtl/>
        </w:rPr>
        <w:t>משרשי מצוה זו, גם כן להגדיל כבוד הבית ולהיות מעלתו ומוראו על פני כל אדם, ואי אפשר להגדיל דבר בלב בן אדם ומחשבתו רק בדברים שהוא חושב אותם לגדולה וימצא בהם תענוג ושמחה, וידוע כי ענין הריח הטוב הוא דבר שנפש אדם נהנית בו ומתאוה אליו ומושך הלב הרבה, וריח הקטורת היה הטוב שאפשר ליעשות על ידי אדם, עד שאמרו זכרונם</w:t>
      </w:r>
      <w:r>
        <w:rPr>
          <w:sz w:val="24"/>
          <w:szCs w:val="24"/>
          <w:rtl/>
        </w:rPr>
        <w:t xml:space="preserve"> לברכה בפרק אמר להם הממונה</w:t>
      </w:r>
      <w:r w:rsidRPr="00762333">
        <w:rPr>
          <w:sz w:val="24"/>
          <w:szCs w:val="24"/>
          <w:rtl/>
        </w:rPr>
        <w:t>, כי מריחו היו מריחין ב</w:t>
      </w:r>
      <w:r>
        <w:rPr>
          <w:sz w:val="24"/>
          <w:szCs w:val="24"/>
          <w:rtl/>
        </w:rPr>
        <w:t>ו בשעת הקטרה מיריחו עד ירושלים.</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[ספר החינוך מצוה קג]</w:t>
      </w:r>
    </w:p>
    <w:p w:rsidR="00C26E1A" w:rsidRDefault="00C26E1A" w:rsidP="00C26E1A">
      <w:pPr>
        <w:spacing w:line="276" w:lineRule="auto"/>
        <w:ind w:firstLine="266"/>
        <w:rPr>
          <w:sz w:val="24"/>
          <w:szCs w:val="24"/>
          <w:rtl/>
        </w:rPr>
      </w:pPr>
      <w:r>
        <w:rPr>
          <w:rFonts w:hint="cs"/>
          <w:sz w:val="24"/>
          <w:szCs w:val="24"/>
          <w:rtl/>
        </w:rPr>
        <w:t>ספר החינוך רואה בריח הטוב את מגמתה של הקטורת: כדי להגדיל את כבוד הבית יש להקטיר בהיכל קטורת בעלת ריח טוב</w:t>
      </w:r>
      <w:r>
        <w:rPr>
          <w:rStyle w:val="a7"/>
          <w:sz w:val="24"/>
          <w:szCs w:val="24"/>
          <w:rtl/>
        </w:rPr>
        <w:footnoteReference w:id="100"/>
      </w:r>
      <w:r>
        <w:rPr>
          <w:rFonts w:hint="cs"/>
          <w:sz w:val="24"/>
          <w:szCs w:val="24"/>
          <w:rtl/>
        </w:rPr>
        <w:t>.</w:t>
      </w:r>
    </w:p>
    <w:p w:rsidR="00C26E1A" w:rsidRDefault="00C26E1A" w:rsidP="00C26E1A">
      <w:pPr>
        <w:spacing w:line="276" w:lineRule="auto"/>
        <w:ind w:firstLine="266"/>
        <w:rPr>
          <w:sz w:val="24"/>
          <w:szCs w:val="24"/>
          <w:rtl/>
        </w:rPr>
      </w:pPr>
    </w:p>
    <w:p w:rsidR="00C26E1A" w:rsidRDefault="00C26E1A" w:rsidP="00C26E1A">
      <w:pPr>
        <w:spacing w:line="276" w:lineRule="auto"/>
        <w:ind w:firstLine="266"/>
        <w:rPr>
          <w:sz w:val="24"/>
          <w:szCs w:val="24"/>
          <w:rtl/>
        </w:rPr>
      </w:pPr>
      <w:r>
        <w:rPr>
          <w:rFonts w:hint="cs"/>
          <w:sz w:val="24"/>
          <w:szCs w:val="24"/>
          <w:rtl/>
        </w:rPr>
        <w:lastRenderedPageBreak/>
        <w:t>דברים אלו אמורים ביחס לקטורת המוקטרת בכל יום. אולם, בקטורת של יום הכיפורים מודגש עניין אחר:</w:t>
      </w:r>
    </w:p>
    <w:p w:rsidR="00C26E1A" w:rsidRDefault="00C26E1A" w:rsidP="00C26E1A">
      <w:pPr>
        <w:spacing w:line="276" w:lineRule="auto"/>
        <w:ind w:left="720"/>
        <w:rPr>
          <w:sz w:val="24"/>
          <w:szCs w:val="24"/>
          <w:rtl/>
        </w:rPr>
      </w:pPr>
      <w:r w:rsidRPr="002540E6">
        <w:rPr>
          <w:sz w:val="24"/>
          <w:szCs w:val="24"/>
          <w:rtl/>
        </w:rPr>
        <w:t>ולקח מלא המחתה גחלי אש מעל המזבח מלפני ה' ומלא חפניו קטרת סמים דקה</w:t>
      </w:r>
      <w:r>
        <w:rPr>
          <w:rFonts w:hint="cs"/>
          <w:sz w:val="24"/>
          <w:szCs w:val="24"/>
          <w:rtl/>
        </w:rPr>
        <w:t>,</w:t>
      </w:r>
      <w:r>
        <w:rPr>
          <w:sz w:val="24"/>
          <w:szCs w:val="24"/>
          <w:rtl/>
        </w:rPr>
        <w:t xml:space="preserve"> והביא מבית לפרכת</w:t>
      </w:r>
      <w:r>
        <w:rPr>
          <w:rFonts w:hint="cs"/>
          <w:sz w:val="24"/>
          <w:szCs w:val="24"/>
          <w:rtl/>
        </w:rPr>
        <w:t>.</w:t>
      </w:r>
      <w:r w:rsidRPr="002540E6">
        <w:rPr>
          <w:sz w:val="24"/>
          <w:szCs w:val="24"/>
          <w:rtl/>
        </w:rPr>
        <w:t xml:space="preserve"> ונתן את הקטרת על האש לפני ה'</w:t>
      </w:r>
      <w:r>
        <w:rPr>
          <w:rFonts w:hint="cs"/>
          <w:sz w:val="24"/>
          <w:szCs w:val="24"/>
          <w:rtl/>
        </w:rPr>
        <w:t>,</w:t>
      </w:r>
      <w:r w:rsidRPr="002540E6">
        <w:rPr>
          <w:sz w:val="24"/>
          <w:szCs w:val="24"/>
          <w:rtl/>
        </w:rPr>
        <w:t xml:space="preserve"> </w:t>
      </w:r>
      <w:r w:rsidRPr="002540E6">
        <w:rPr>
          <w:b/>
          <w:bCs/>
          <w:sz w:val="24"/>
          <w:szCs w:val="24"/>
          <w:rtl/>
        </w:rPr>
        <w:t xml:space="preserve">וכסה ענן הקטרת את הכפרת אשר על העדות </w:t>
      </w:r>
      <w:r w:rsidRPr="002A7A79">
        <w:rPr>
          <w:sz w:val="24"/>
          <w:szCs w:val="24"/>
          <w:rtl/>
        </w:rPr>
        <w:t>ולא ימות</w:t>
      </w:r>
      <w:r>
        <w:rPr>
          <w:rFonts w:hint="cs"/>
          <w:sz w:val="24"/>
          <w:szCs w:val="24"/>
          <w:rtl/>
        </w:rPr>
        <w:t>.</w:t>
      </w:r>
      <w:r>
        <w:rPr>
          <w:sz w:val="20"/>
          <w:szCs w:val="20"/>
          <w:rtl/>
        </w:rPr>
        <w:tab/>
      </w:r>
      <w:r>
        <w:rPr>
          <w:sz w:val="20"/>
          <w:szCs w:val="20"/>
          <w:rtl/>
        </w:rPr>
        <w:tab/>
      </w:r>
      <w:r>
        <w:rPr>
          <w:sz w:val="20"/>
          <w:szCs w:val="20"/>
          <w:rtl/>
        </w:rPr>
        <w:tab/>
      </w:r>
      <w:r>
        <w:rPr>
          <w:sz w:val="20"/>
          <w:szCs w:val="20"/>
          <w:rtl/>
        </w:rPr>
        <w:tab/>
      </w:r>
      <w:r>
        <w:rPr>
          <w:sz w:val="20"/>
          <w:szCs w:val="20"/>
          <w:rtl/>
        </w:rPr>
        <w:tab/>
      </w:r>
      <w:r>
        <w:rPr>
          <w:sz w:val="20"/>
          <w:szCs w:val="20"/>
          <w:rtl/>
        </w:rPr>
        <w:tab/>
      </w:r>
      <w:r>
        <w:rPr>
          <w:rFonts w:hint="cs"/>
          <w:sz w:val="20"/>
          <w:szCs w:val="20"/>
          <w:rtl/>
        </w:rPr>
        <w:t xml:space="preserve">            [ויקרא טז, יב-יג]</w:t>
      </w:r>
    </w:p>
    <w:p w:rsidR="00C26E1A" w:rsidRDefault="00C26E1A" w:rsidP="00C26E1A">
      <w:pPr>
        <w:spacing w:line="276" w:lineRule="auto"/>
        <w:ind w:firstLine="266"/>
        <w:rPr>
          <w:sz w:val="24"/>
          <w:szCs w:val="24"/>
          <w:rtl/>
        </w:rPr>
      </w:pPr>
      <w:r>
        <w:rPr>
          <w:rFonts w:hint="cs"/>
          <w:sz w:val="24"/>
          <w:szCs w:val="24"/>
          <w:rtl/>
        </w:rPr>
        <w:t>התורה מדגישה את "ענן הקטורת" המכסה את הכפורת.</w:t>
      </w:r>
      <w:r>
        <w:rPr>
          <w:rFonts w:hint="cs"/>
          <w:sz w:val="24"/>
          <w:szCs w:val="24"/>
          <w:rtl/>
        </w:rPr>
        <w:tab/>
      </w:r>
    </w:p>
    <w:p w:rsidR="00C26E1A" w:rsidRDefault="00C26E1A" w:rsidP="00C26E1A">
      <w:pPr>
        <w:spacing w:line="276" w:lineRule="auto"/>
        <w:ind w:firstLine="266"/>
        <w:rPr>
          <w:sz w:val="24"/>
          <w:szCs w:val="24"/>
          <w:rtl/>
        </w:rPr>
      </w:pPr>
      <w:r>
        <w:rPr>
          <w:rFonts w:hint="cs"/>
          <w:sz w:val="24"/>
          <w:szCs w:val="24"/>
          <w:rtl/>
        </w:rPr>
        <w:t>וכן מפרש רש"י את הכתוב הפותח פרשייה זו:</w:t>
      </w:r>
    </w:p>
    <w:p w:rsidR="00C26E1A" w:rsidRDefault="00C26E1A" w:rsidP="00C26E1A">
      <w:pPr>
        <w:spacing w:line="276" w:lineRule="auto"/>
        <w:ind w:firstLine="720"/>
        <w:rPr>
          <w:sz w:val="24"/>
          <w:szCs w:val="24"/>
          <w:rtl/>
        </w:rPr>
      </w:pPr>
      <w:r w:rsidRPr="002A7A79">
        <w:rPr>
          <w:b/>
          <w:bCs/>
          <w:sz w:val="24"/>
          <w:szCs w:val="24"/>
          <w:rtl/>
        </w:rPr>
        <w:t>כי בענן</w:t>
      </w:r>
      <w:r w:rsidRPr="002540E6">
        <w:rPr>
          <w:sz w:val="24"/>
          <w:szCs w:val="24"/>
          <w:rtl/>
        </w:rPr>
        <w:t xml:space="preserve"> אראה</w:t>
      </w:r>
      <w:r>
        <w:rPr>
          <w:rFonts w:hint="cs"/>
          <w:sz w:val="24"/>
          <w:szCs w:val="24"/>
          <w:rtl/>
        </w:rPr>
        <w:t>...</w:t>
      </w:r>
      <w:r w:rsidRPr="002540E6">
        <w:rPr>
          <w:sz w:val="24"/>
          <w:szCs w:val="24"/>
          <w:rtl/>
        </w:rPr>
        <w:t xml:space="preserve"> ומדרשו</w:t>
      </w:r>
      <w:r>
        <w:rPr>
          <w:rFonts w:hint="cs"/>
          <w:sz w:val="24"/>
          <w:szCs w:val="24"/>
          <w:rtl/>
        </w:rPr>
        <w:t>:</w:t>
      </w:r>
      <w:r w:rsidRPr="002540E6">
        <w:rPr>
          <w:sz w:val="24"/>
          <w:szCs w:val="24"/>
          <w:rtl/>
        </w:rPr>
        <w:t xml:space="preserve"> לא יבא כי אם </w:t>
      </w:r>
      <w:r w:rsidRPr="002540E6">
        <w:rPr>
          <w:b/>
          <w:bCs/>
          <w:sz w:val="24"/>
          <w:szCs w:val="24"/>
          <w:rtl/>
        </w:rPr>
        <w:t>בענן הקטרת</w:t>
      </w:r>
      <w:r w:rsidRPr="002540E6">
        <w:rPr>
          <w:sz w:val="24"/>
          <w:szCs w:val="24"/>
          <w:rtl/>
        </w:rPr>
        <w:t xml:space="preserve"> ביום הכיפורים</w:t>
      </w:r>
      <w:r>
        <w:rPr>
          <w:rFonts w:hint="cs"/>
          <w:sz w:val="24"/>
          <w:szCs w:val="24"/>
          <w:rtl/>
        </w:rPr>
        <w:t>.</w:t>
      </w:r>
      <w:r>
        <w:rPr>
          <w:sz w:val="24"/>
          <w:szCs w:val="24"/>
          <w:rtl/>
        </w:rPr>
        <w:tab/>
      </w:r>
      <w:r>
        <w:rPr>
          <w:rFonts w:hint="cs"/>
          <w:sz w:val="24"/>
          <w:szCs w:val="24"/>
          <w:rtl/>
        </w:rPr>
        <w:t xml:space="preserve">   </w:t>
      </w:r>
      <w:r>
        <w:rPr>
          <w:rFonts w:hint="cs"/>
          <w:sz w:val="20"/>
          <w:szCs w:val="20"/>
          <w:rtl/>
        </w:rPr>
        <w:t>[רש"י שם, ב]</w:t>
      </w:r>
    </w:p>
    <w:p w:rsidR="00C26E1A" w:rsidRDefault="00C26E1A" w:rsidP="00C26E1A">
      <w:pPr>
        <w:spacing w:line="276" w:lineRule="auto"/>
        <w:ind w:firstLine="227"/>
        <w:rPr>
          <w:sz w:val="24"/>
          <w:szCs w:val="24"/>
          <w:rtl/>
        </w:rPr>
      </w:pPr>
      <w:r>
        <w:rPr>
          <w:rFonts w:hint="cs"/>
          <w:sz w:val="24"/>
          <w:szCs w:val="24"/>
          <w:rtl/>
        </w:rPr>
        <w:t>נמצא, כי עיקרה של הקטורת של כל השנה הוא ב</w:t>
      </w:r>
      <w:r>
        <w:rPr>
          <w:rFonts w:hint="cs"/>
          <w:b/>
          <w:bCs/>
          <w:sz w:val="24"/>
          <w:szCs w:val="24"/>
          <w:rtl/>
        </w:rPr>
        <w:t>ריח</w:t>
      </w:r>
      <w:r>
        <w:rPr>
          <w:rFonts w:hint="cs"/>
          <w:sz w:val="24"/>
          <w:szCs w:val="24"/>
          <w:rtl/>
        </w:rPr>
        <w:t>, ואילו עיקרה של הקטורת המוקטרת ביום הכיפורים לפני ולפנים הוא ב</w:t>
      </w:r>
      <w:r>
        <w:rPr>
          <w:rFonts w:hint="cs"/>
          <w:b/>
          <w:bCs/>
          <w:sz w:val="24"/>
          <w:szCs w:val="24"/>
          <w:rtl/>
        </w:rPr>
        <w:t>ענן</w:t>
      </w:r>
      <w:r>
        <w:rPr>
          <w:rFonts w:hint="cs"/>
          <w:sz w:val="24"/>
          <w:szCs w:val="24"/>
          <w:rtl/>
        </w:rPr>
        <w:t>.</w:t>
      </w:r>
    </w:p>
    <w:p w:rsidR="00C26E1A" w:rsidRDefault="00C26E1A" w:rsidP="00C26E1A">
      <w:pPr>
        <w:spacing w:line="276" w:lineRule="auto"/>
        <w:ind w:firstLine="227"/>
        <w:rPr>
          <w:sz w:val="24"/>
          <w:szCs w:val="24"/>
          <w:rtl/>
        </w:rPr>
      </w:pPr>
    </w:p>
    <w:p w:rsidR="00C26E1A" w:rsidRDefault="00C26E1A" w:rsidP="00C26E1A">
      <w:pPr>
        <w:spacing w:line="276" w:lineRule="auto"/>
        <w:ind w:firstLine="227"/>
        <w:rPr>
          <w:sz w:val="24"/>
          <w:szCs w:val="24"/>
          <w:rtl/>
        </w:rPr>
      </w:pPr>
      <w:r>
        <w:rPr>
          <w:rFonts w:hint="cs"/>
          <w:sz w:val="24"/>
          <w:szCs w:val="24"/>
          <w:rtl/>
        </w:rPr>
        <w:t>הבחנה יסודית זו בין קטורת של יום הכיפורים לקטורת של כל השנה עולה משיטת רבנו מנחם המובאת בתוספות ישנים:</w:t>
      </w:r>
    </w:p>
    <w:p w:rsidR="00C26E1A" w:rsidRDefault="00C26E1A" w:rsidP="00C26E1A">
      <w:pPr>
        <w:spacing w:line="276" w:lineRule="auto"/>
        <w:ind w:left="720"/>
        <w:rPr>
          <w:sz w:val="24"/>
          <w:szCs w:val="24"/>
          <w:rtl/>
        </w:rPr>
      </w:pPr>
      <w:r>
        <w:rPr>
          <w:sz w:val="24"/>
          <w:szCs w:val="24"/>
          <w:rtl/>
        </w:rPr>
        <w:t>ברייתא שנויה בירושלמי</w:t>
      </w:r>
      <w:r>
        <w:rPr>
          <w:rFonts w:hint="cs"/>
          <w:sz w:val="24"/>
          <w:szCs w:val="24"/>
          <w:rtl/>
        </w:rPr>
        <w:t>: '</w:t>
      </w:r>
      <w:r w:rsidRPr="00767E02">
        <w:rPr>
          <w:sz w:val="24"/>
          <w:szCs w:val="24"/>
          <w:rtl/>
        </w:rPr>
        <w:t>חסר מכל סימן וסימן או שלא נתן לתוכה מעלה עשן או שחסרו</w:t>
      </w:r>
      <w:r>
        <w:rPr>
          <w:rFonts w:hint="cs"/>
          <w:sz w:val="24"/>
          <w:szCs w:val="24"/>
          <w:rtl/>
        </w:rPr>
        <w:t>,</w:t>
      </w:r>
      <w:r w:rsidRPr="00767E02">
        <w:rPr>
          <w:sz w:val="24"/>
          <w:szCs w:val="24"/>
          <w:rtl/>
        </w:rPr>
        <w:t xml:space="preserve"> חייב מיתה</w:t>
      </w:r>
      <w:r>
        <w:rPr>
          <w:rFonts w:hint="cs"/>
          <w:sz w:val="24"/>
          <w:szCs w:val="24"/>
          <w:rtl/>
        </w:rPr>
        <w:t>. אמר רבי</w:t>
      </w:r>
      <w:r w:rsidRPr="00767E02">
        <w:rPr>
          <w:sz w:val="24"/>
          <w:szCs w:val="24"/>
          <w:rtl/>
        </w:rPr>
        <w:t xml:space="preserve"> זעירא</w:t>
      </w:r>
      <w:r>
        <w:rPr>
          <w:rFonts w:hint="cs"/>
          <w:sz w:val="24"/>
          <w:szCs w:val="24"/>
          <w:rtl/>
        </w:rPr>
        <w:t>:</w:t>
      </w:r>
      <w:r w:rsidRPr="00767E02">
        <w:rPr>
          <w:sz w:val="24"/>
          <w:szCs w:val="24"/>
          <w:rtl/>
        </w:rPr>
        <w:t xml:space="preserve"> משום הכנסה יתירה</w:t>
      </w:r>
      <w:r>
        <w:rPr>
          <w:rFonts w:hint="cs"/>
          <w:sz w:val="24"/>
          <w:szCs w:val="24"/>
          <w:rtl/>
        </w:rPr>
        <w:t>'... ו</w:t>
      </w:r>
      <w:r>
        <w:rPr>
          <w:sz w:val="24"/>
          <w:szCs w:val="24"/>
          <w:rtl/>
        </w:rPr>
        <w:t>ה"ר מנחם פי</w:t>
      </w:r>
      <w:r>
        <w:rPr>
          <w:rFonts w:hint="cs"/>
          <w:sz w:val="24"/>
          <w:szCs w:val="24"/>
          <w:rtl/>
        </w:rPr>
        <w:t xml:space="preserve">רש, </w:t>
      </w:r>
      <w:r w:rsidRPr="00767E02">
        <w:rPr>
          <w:sz w:val="24"/>
          <w:szCs w:val="24"/>
          <w:rtl/>
        </w:rPr>
        <w:t>משום הכנסה יתירה</w:t>
      </w:r>
      <w:r>
        <w:rPr>
          <w:rFonts w:hint="cs"/>
          <w:sz w:val="24"/>
          <w:szCs w:val="24"/>
          <w:rtl/>
        </w:rPr>
        <w:t>,</w:t>
      </w:r>
      <w:r w:rsidRPr="00767E02">
        <w:rPr>
          <w:sz w:val="24"/>
          <w:szCs w:val="24"/>
          <w:rtl/>
        </w:rPr>
        <w:t xml:space="preserve"> כמו בהכנסה יתירה</w:t>
      </w:r>
      <w:r>
        <w:rPr>
          <w:rFonts w:hint="cs"/>
          <w:sz w:val="24"/>
          <w:szCs w:val="24"/>
          <w:rtl/>
        </w:rPr>
        <w:t>,</w:t>
      </w:r>
      <w:r>
        <w:rPr>
          <w:sz w:val="24"/>
          <w:szCs w:val="24"/>
          <w:rtl/>
        </w:rPr>
        <w:t xml:space="preserve"> כלומר בהכנסה יתירה של י</w:t>
      </w:r>
      <w:r>
        <w:rPr>
          <w:rFonts w:hint="cs"/>
          <w:sz w:val="24"/>
          <w:szCs w:val="24"/>
          <w:rtl/>
        </w:rPr>
        <w:t>ום הכיפורים</w:t>
      </w:r>
      <w:r w:rsidRPr="00767E02">
        <w:rPr>
          <w:sz w:val="24"/>
          <w:szCs w:val="24"/>
          <w:rtl/>
        </w:rPr>
        <w:t xml:space="preserve"> שנכנס בה לפני ולפנים</w:t>
      </w:r>
      <w:r>
        <w:rPr>
          <w:rFonts w:hint="cs"/>
          <w:sz w:val="24"/>
          <w:szCs w:val="24"/>
          <w:rtl/>
        </w:rPr>
        <w:t>,</w:t>
      </w:r>
      <w:r w:rsidRPr="00767E02">
        <w:rPr>
          <w:sz w:val="24"/>
          <w:szCs w:val="24"/>
          <w:rtl/>
        </w:rPr>
        <w:t xml:space="preserve"> </w:t>
      </w:r>
      <w:r w:rsidRPr="00011286">
        <w:rPr>
          <w:b/>
          <w:bCs/>
          <w:sz w:val="24"/>
          <w:szCs w:val="24"/>
          <w:rtl/>
        </w:rPr>
        <w:t>דבההיא דוקא כתיב בה מעלה עשן</w:t>
      </w:r>
      <w:r>
        <w:rPr>
          <w:rFonts w:hint="cs"/>
          <w:sz w:val="24"/>
          <w:szCs w:val="24"/>
          <w:rtl/>
        </w:rPr>
        <w:t>.</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[תוס' ישנים נג. ד"ה ותיפוק]</w:t>
      </w:r>
    </w:p>
    <w:p w:rsidR="00C26E1A" w:rsidRDefault="00C26E1A" w:rsidP="00C26E1A">
      <w:pPr>
        <w:spacing w:line="276" w:lineRule="auto"/>
        <w:ind w:firstLine="227"/>
        <w:rPr>
          <w:sz w:val="24"/>
          <w:szCs w:val="24"/>
          <w:rtl/>
        </w:rPr>
      </w:pPr>
      <w:r>
        <w:rPr>
          <w:rFonts w:hint="cs"/>
          <w:sz w:val="24"/>
          <w:szCs w:val="24"/>
          <w:rtl/>
        </w:rPr>
        <w:t>לדברי רבנו מנחם, חיוב מיתה על הקטרת קטורת ללא 'מעלה עשן' קיים רק ביום הכיפורים</w:t>
      </w:r>
      <w:r>
        <w:rPr>
          <w:rStyle w:val="a7"/>
          <w:sz w:val="24"/>
          <w:szCs w:val="24"/>
          <w:rtl/>
        </w:rPr>
        <w:footnoteReference w:id="101"/>
      </w:r>
      <w:r>
        <w:rPr>
          <w:rFonts w:hint="cs"/>
          <w:sz w:val="24"/>
          <w:szCs w:val="24"/>
          <w:rtl/>
        </w:rPr>
        <w:t>. שיטתו מבוארת על פי האמור: 'מעלה עשן' הוא מרכיב חיוני דווקא בקטורת של יום הכיפורים, הבאה לשם יצירת ענן המכסה את הכפורת. קטורת של שאר ימות השנה, לעומת זאת, באה לשם ריח, ולכן 'מעלה עשן' אינו אחד מסממניה החיוניים, והמחסר אותו אינו חייב מיתה</w:t>
      </w:r>
      <w:r>
        <w:rPr>
          <w:rStyle w:val="a7"/>
          <w:sz w:val="24"/>
          <w:szCs w:val="24"/>
          <w:rtl/>
        </w:rPr>
        <w:footnoteReference w:id="102"/>
      </w:r>
      <w:r>
        <w:rPr>
          <w:rFonts w:hint="cs"/>
          <w:sz w:val="24"/>
          <w:szCs w:val="24"/>
          <w:rtl/>
        </w:rPr>
        <w:t>.</w:t>
      </w:r>
    </w:p>
    <w:p w:rsidR="00C26E1A" w:rsidRDefault="00C26E1A" w:rsidP="00C26E1A">
      <w:pPr>
        <w:spacing w:line="276" w:lineRule="auto"/>
        <w:ind w:firstLine="227"/>
        <w:rPr>
          <w:sz w:val="24"/>
          <w:szCs w:val="24"/>
          <w:rtl/>
        </w:rPr>
      </w:pPr>
      <w:r>
        <w:rPr>
          <w:rFonts w:hint="cs"/>
          <w:sz w:val="24"/>
          <w:szCs w:val="24"/>
          <w:rtl/>
        </w:rPr>
        <w:t xml:space="preserve">השלכה נוספת של הייחודיות של הקטורת של יום הכיפורים עולה מדברי תלמיד הרשב"א, המבאר מדוע דווקא לגבי הקטורת של יום הכיפורים פוסק הרמב"ם </w:t>
      </w:r>
      <w:r>
        <w:rPr>
          <w:rFonts w:hint="cs"/>
          <w:sz w:val="20"/>
          <w:szCs w:val="20"/>
          <w:rtl/>
        </w:rPr>
        <w:t>[הל' עבודת יום הכיפורים פ"ד ה"א]</w:t>
      </w:r>
      <w:r>
        <w:rPr>
          <w:rFonts w:hint="cs"/>
          <w:sz w:val="24"/>
          <w:szCs w:val="24"/>
          <w:rtl/>
        </w:rPr>
        <w:t xml:space="preserve"> שהכהן היה צוברה במקום אחד כדי שיהא עשנה מרובה:</w:t>
      </w:r>
    </w:p>
    <w:p w:rsidR="00C26E1A" w:rsidRDefault="00C26E1A" w:rsidP="00C26E1A">
      <w:pPr>
        <w:spacing w:line="276" w:lineRule="auto"/>
        <w:ind w:left="720"/>
        <w:rPr>
          <w:sz w:val="24"/>
          <w:szCs w:val="24"/>
          <w:rtl/>
        </w:rPr>
      </w:pPr>
      <w:r>
        <w:rPr>
          <w:rFonts w:hint="cs"/>
          <w:sz w:val="24"/>
          <w:szCs w:val="24"/>
          <w:rtl/>
        </w:rPr>
        <w:t xml:space="preserve">ונראה לי לתרץ להעמיד דברי הרב, דלא נחלקו אלא בקטורת שלפנים, משום דכתיב 'כי בענן אראה', הלכך קסבר חד תנא דבעינן שיהא צוברו כדי שיהא עשן מרובה שוהה שם, שאם ירדדנו יהיה כל הקטורת נשרף מהרה; ואידך תנא סבר שאין לשנות מסדר הימים... אבל בשאר ימות השנה דברי הכל מרדדה, שעל ידי כהן היא נשרפת כולה יפה יפה. </w:t>
      </w:r>
    </w:p>
    <w:p w:rsidR="00C26E1A" w:rsidRDefault="00C26E1A" w:rsidP="00C26E1A">
      <w:pPr>
        <w:spacing w:line="276" w:lineRule="auto"/>
        <w:ind w:left="720"/>
        <w:jc w:val="right"/>
        <w:rPr>
          <w:sz w:val="24"/>
          <w:szCs w:val="24"/>
          <w:rtl/>
        </w:rPr>
      </w:pPr>
      <w:r>
        <w:rPr>
          <w:rFonts w:hint="cs"/>
          <w:sz w:val="20"/>
          <w:szCs w:val="20"/>
          <w:rtl/>
        </w:rPr>
        <w:t>[חידושי יומא לתלמיד הרשב"א, אות י]</w:t>
      </w:r>
    </w:p>
    <w:p w:rsidR="00C26E1A" w:rsidRDefault="00C26E1A" w:rsidP="00C26E1A">
      <w:pPr>
        <w:spacing w:line="276" w:lineRule="auto"/>
        <w:ind w:firstLine="227"/>
        <w:rPr>
          <w:sz w:val="24"/>
          <w:szCs w:val="24"/>
          <w:rtl/>
        </w:rPr>
      </w:pPr>
      <w:r>
        <w:rPr>
          <w:rFonts w:hint="cs"/>
          <w:sz w:val="24"/>
          <w:szCs w:val="24"/>
          <w:rtl/>
        </w:rPr>
        <w:t>לפי דבריו, דווקא בקטורת של יום הכיפורים קיימת שיטה שיש לצבור את הקטורת במקום אחד, הואיל ובה יש דרישה ליצירת 'ענן קטורת'; בקטורת של שאר ימות השנה אין חובה כזו, ולכן לכולי עלמא יש לפזר אותה על פני האש ולא לצבור אותה במקום אחד.</w:t>
      </w:r>
    </w:p>
    <w:p w:rsidR="00C26E1A" w:rsidRDefault="00C26E1A" w:rsidP="00C26E1A">
      <w:pPr>
        <w:spacing w:line="276" w:lineRule="auto"/>
        <w:ind w:firstLine="227"/>
        <w:rPr>
          <w:sz w:val="24"/>
          <w:szCs w:val="24"/>
          <w:rtl/>
        </w:rPr>
      </w:pPr>
      <w:r>
        <w:rPr>
          <w:rFonts w:hint="cs"/>
          <w:sz w:val="24"/>
          <w:szCs w:val="24"/>
          <w:rtl/>
        </w:rPr>
        <w:t>ביטוי נוסף למשמעות הייחודית של "ענן הקטורת" ביום הכיפורים עולה מדברי המשנה:</w:t>
      </w:r>
    </w:p>
    <w:p w:rsidR="00C26E1A" w:rsidRDefault="00C26E1A" w:rsidP="00C26E1A">
      <w:pPr>
        <w:spacing w:before="200" w:line="276" w:lineRule="auto"/>
        <w:ind w:left="720"/>
        <w:rPr>
          <w:sz w:val="24"/>
          <w:szCs w:val="24"/>
          <w:rtl/>
        </w:rPr>
      </w:pPr>
      <w:r w:rsidRPr="00B47DB9">
        <w:rPr>
          <w:sz w:val="24"/>
          <w:szCs w:val="24"/>
          <w:rtl/>
        </w:rPr>
        <w:lastRenderedPageBreak/>
        <w:t>הגיע לארון נותן את המחתה בין שני הבדים</w:t>
      </w:r>
      <w:r>
        <w:rPr>
          <w:rFonts w:hint="cs"/>
          <w:sz w:val="24"/>
          <w:szCs w:val="24"/>
          <w:rtl/>
        </w:rPr>
        <w:t>,</w:t>
      </w:r>
      <w:r w:rsidRPr="00B47DB9">
        <w:rPr>
          <w:sz w:val="24"/>
          <w:szCs w:val="24"/>
          <w:rtl/>
        </w:rPr>
        <w:t xml:space="preserve"> צבר את הקטרת על גבי גחלים </w:t>
      </w:r>
      <w:r w:rsidRPr="00D0701F">
        <w:rPr>
          <w:b/>
          <w:bCs/>
          <w:sz w:val="24"/>
          <w:szCs w:val="24"/>
          <w:rtl/>
        </w:rPr>
        <w:t>ונתמלא כל הבית כולו עשן</w:t>
      </w:r>
      <w:r>
        <w:rPr>
          <w:rFonts w:hint="cs"/>
          <w:sz w:val="24"/>
          <w:szCs w:val="24"/>
          <w:rtl/>
        </w:rPr>
        <w:t>.</w:t>
      </w:r>
      <w:r w:rsidRPr="00B47DB9">
        <w:rPr>
          <w:sz w:val="24"/>
          <w:szCs w:val="24"/>
          <w:rtl/>
        </w:rPr>
        <w:t xml:space="preserve"> יצא ובא לו בדרך בית כניסתו</w:t>
      </w:r>
      <w:r>
        <w:rPr>
          <w:rFonts w:hint="cs"/>
          <w:sz w:val="24"/>
          <w:szCs w:val="24"/>
          <w:rtl/>
        </w:rPr>
        <w:t>,</w:t>
      </w:r>
      <w:r w:rsidRPr="00B47DB9">
        <w:rPr>
          <w:sz w:val="24"/>
          <w:szCs w:val="24"/>
          <w:rtl/>
        </w:rPr>
        <w:t xml:space="preserve"> ומתפלל תפלה קצרה בבית החיצון</w:t>
      </w:r>
      <w:r>
        <w:rPr>
          <w:rFonts w:hint="cs"/>
          <w:sz w:val="24"/>
          <w:szCs w:val="24"/>
          <w:rtl/>
        </w:rPr>
        <w:t xml:space="preserve">. </w:t>
      </w:r>
    </w:p>
    <w:p w:rsidR="00C26E1A" w:rsidRDefault="00C26E1A" w:rsidP="00C26E1A">
      <w:pPr>
        <w:spacing w:before="200" w:line="276" w:lineRule="auto"/>
        <w:ind w:left="720"/>
        <w:jc w:val="right"/>
        <w:rPr>
          <w:sz w:val="24"/>
          <w:szCs w:val="24"/>
          <w:rtl/>
        </w:rPr>
      </w:pPr>
      <w:r>
        <w:rPr>
          <w:rFonts w:hint="cs"/>
          <w:sz w:val="20"/>
          <w:szCs w:val="20"/>
          <w:rtl/>
        </w:rPr>
        <w:t>[יומא נב:]</w:t>
      </w:r>
    </w:p>
    <w:p w:rsidR="00C26E1A" w:rsidRDefault="00C26E1A" w:rsidP="00C26E1A">
      <w:pPr>
        <w:spacing w:before="200" w:line="276" w:lineRule="auto"/>
        <w:ind w:firstLine="227"/>
        <w:rPr>
          <w:sz w:val="24"/>
          <w:szCs w:val="24"/>
          <w:rtl/>
        </w:rPr>
      </w:pPr>
      <w:r>
        <w:rPr>
          <w:rFonts w:hint="cs"/>
          <w:sz w:val="24"/>
          <w:szCs w:val="24"/>
          <w:rtl/>
        </w:rPr>
        <w:t>המשנה מדגישה שהבית מתמלא עשן, ועולה ממנה כי הכהן הגדול צריך להמתין בקודש הקדשים עד שעה שהבית מתמלא עשן, ורק לאחר מכן הוא יוצא מקודש הקדשים.</w:t>
      </w:r>
    </w:p>
    <w:p w:rsidR="00C26E1A" w:rsidRDefault="00C26E1A" w:rsidP="00C26E1A">
      <w:pPr>
        <w:spacing w:before="200" w:line="276" w:lineRule="auto"/>
        <w:ind w:firstLine="227"/>
        <w:rPr>
          <w:sz w:val="24"/>
          <w:szCs w:val="24"/>
          <w:rtl/>
        </w:rPr>
      </w:pPr>
      <w:r>
        <w:rPr>
          <w:rFonts w:hint="cs"/>
          <w:sz w:val="24"/>
          <w:szCs w:val="24"/>
          <w:rtl/>
        </w:rPr>
        <w:t>הגרי"ז כותב בביאור דין זה:</w:t>
      </w:r>
    </w:p>
    <w:p w:rsidR="00C26E1A" w:rsidRDefault="00C26E1A" w:rsidP="00C26E1A">
      <w:pPr>
        <w:spacing w:before="200" w:line="276" w:lineRule="auto"/>
        <w:ind w:left="720"/>
        <w:rPr>
          <w:sz w:val="20"/>
          <w:szCs w:val="20"/>
          <w:rtl/>
        </w:rPr>
      </w:pPr>
      <w:r>
        <w:rPr>
          <w:rFonts w:hint="cs"/>
          <w:sz w:val="24"/>
          <w:szCs w:val="24"/>
          <w:rtl/>
        </w:rPr>
        <w:t xml:space="preserve">דגם הך דממתין עד שיתמלא הבית עשן לאו משום לתא דסדר ודין יציאה הוא דקאתינן עלה, רק דצריך להיות בפנים עד גמר העבודה, והוא מעיקר דין הכשר העבודה וקיום מצוותה. והא דבשאר קטורת של כל ימות השנה מקטיר ויוצא לאלתר, הוא משום דבקטורת של כל השנה נגמר כל מצוותה וחלות מעשה ההקטרה בזריקה על האישים... והך דנתמלא הבית עשן דמבואר במשנה וברמב"ם דין אחר הוא, והוא דין מסוים בקטורת של לפני ולפנים. ושמעתי זה מכבר מהגאון רש"ז שיחי', דהוא נלמד מהקרא ד'וכסה ענן הקטרת' את הכפורת אשר על העדות' וגו', עכ"ד. וכן הוא בקרית ספר להמבי"ט. ואם כן הוא זה דין בפני שיתקיים 'וכסה' וגו', ובהכי נגמר מצוותה. </w:t>
      </w:r>
    </w:p>
    <w:p w:rsidR="00C26E1A" w:rsidRDefault="00C26E1A" w:rsidP="00C26E1A">
      <w:pPr>
        <w:spacing w:before="200" w:line="276" w:lineRule="auto"/>
        <w:ind w:left="720"/>
        <w:jc w:val="right"/>
        <w:rPr>
          <w:sz w:val="24"/>
          <w:szCs w:val="24"/>
          <w:rtl/>
        </w:rPr>
      </w:pPr>
      <w:r>
        <w:rPr>
          <w:rFonts w:hint="cs"/>
          <w:sz w:val="20"/>
          <w:szCs w:val="20"/>
          <w:rtl/>
        </w:rPr>
        <w:t>[מכתב הגרי"ז, נדפס בסוף חידושי מרן רי"ז הלוי, עמ' עז]</w:t>
      </w:r>
    </w:p>
    <w:p w:rsidR="00C26E1A" w:rsidRPr="00A3529D" w:rsidRDefault="00C26E1A" w:rsidP="00C26E1A">
      <w:pPr>
        <w:spacing w:before="200" w:line="276" w:lineRule="auto"/>
        <w:ind w:firstLine="227"/>
        <w:rPr>
          <w:sz w:val="24"/>
          <w:szCs w:val="24"/>
          <w:rtl/>
        </w:rPr>
      </w:pPr>
      <w:r>
        <w:rPr>
          <w:rFonts w:hint="cs"/>
          <w:sz w:val="24"/>
          <w:szCs w:val="24"/>
          <w:rtl/>
        </w:rPr>
        <w:t>לדברי הגרי"ז, קטורת של יום הכיפורים שונה מקטורת של כל השנה. בכל השנה המצוה מתקיימת בהנחת הקטורת על האש, ואילו ביום הכיפורים המצוה מתקיימת רק לאחר שהבית נתמלא עשן</w:t>
      </w:r>
      <w:r>
        <w:rPr>
          <w:rStyle w:val="a7"/>
          <w:sz w:val="24"/>
          <w:szCs w:val="24"/>
          <w:rtl/>
        </w:rPr>
        <w:footnoteReference w:id="103"/>
      </w:r>
      <w:r>
        <w:rPr>
          <w:rFonts w:hint="cs"/>
          <w:sz w:val="24"/>
          <w:szCs w:val="24"/>
          <w:rtl/>
        </w:rPr>
        <w:t xml:space="preserve">. זהו, אם כן, מקור נוסף להבחנה בין קטורת של כל השנה, שעניינה הוא העלאת הריח הטוב, לבין הקטורת המוקטרת לפני ולפנים, שעניינה הוא ב"ענן הקטורת" המכסה את הכפורת. </w:t>
      </w:r>
    </w:p>
    <w:p w:rsidR="00C26E1A" w:rsidRPr="002A7A79" w:rsidRDefault="00C26E1A" w:rsidP="00C26E1A">
      <w:pPr>
        <w:spacing w:before="200" w:line="276" w:lineRule="auto"/>
        <w:ind w:firstLine="227"/>
        <w:rPr>
          <w:color w:val="FF0000"/>
          <w:sz w:val="24"/>
          <w:szCs w:val="24"/>
          <w:rtl/>
        </w:rPr>
      </w:pPr>
    </w:p>
    <w:p w:rsidR="00C26E1A" w:rsidRDefault="00C26E1A" w:rsidP="00C26E1A">
      <w:pPr>
        <w:spacing w:before="200" w:line="276" w:lineRule="auto"/>
        <w:ind w:firstLine="227"/>
        <w:rPr>
          <w:sz w:val="24"/>
          <w:szCs w:val="24"/>
          <w:rtl/>
        </w:rPr>
      </w:pPr>
      <w:r>
        <w:rPr>
          <w:rFonts w:hint="cs"/>
          <w:sz w:val="24"/>
          <w:szCs w:val="24"/>
          <w:rtl/>
        </w:rPr>
        <w:t>רבים ממפרשי התורה מבארים כי תפקידו של "ענן הקטורת" הוא להאפיל על הכפורת, כך שהכהן הגדול לא יראה את הקודש בשעת כניסתו לפני ולפנים:</w:t>
      </w:r>
    </w:p>
    <w:p w:rsidR="00C26E1A" w:rsidRPr="00930816" w:rsidRDefault="00C26E1A" w:rsidP="00C26E1A">
      <w:pPr>
        <w:spacing w:before="200" w:line="276" w:lineRule="auto"/>
        <w:ind w:left="720"/>
        <w:rPr>
          <w:sz w:val="24"/>
          <w:szCs w:val="24"/>
          <w:rtl/>
        </w:rPr>
      </w:pPr>
      <w:r>
        <w:rPr>
          <w:sz w:val="24"/>
          <w:szCs w:val="24"/>
          <w:rtl/>
        </w:rPr>
        <w:t>כי בענן אראה על הכפורת –</w:t>
      </w:r>
      <w:r>
        <w:rPr>
          <w:rFonts w:hint="cs"/>
          <w:sz w:val="24"/>
          <w:szCs w:val="24"/>
          <w:rtl/>
        </w:rPr>
        <w:t xml:space="preserve"> </w:t>
      </w:r>
      <w:r w:rsidRPr="000208FF">
        <w:rPr>
          <w:sz w:val="24"/>
          <w:szCs w:val="24"/>
          <w:rtl/>
        </w:rPr>
        <w:t>לפי פשוטו</w:t>
      </w:r>
      <w:r>
        <w:rPr>
          <w:rFonts w:hint="cs"/>
          <w:sz w:val="24"/>
          <w:szCs w:val="24"/>
          <w:rtl/>
        </w:rPr>
        <w:t>,</w:t>
      </w:r>
      <w:r w:rsidRPr="000208FF">
        <w:rPr>
          <w:sz w:val="24"/>
          <w:szCs w:val="24"/>
          <w:rtl/>
        </w:rPr>
        <w:t xml:space="preserve"> שהרי מתוך עמוד הענן</w:t>
      </w:r>
      <w:r>
        <w:rPr>
          <w:sz w:val="24"/>
          <w:szCs w:val="24"/>
          <w:rtl/>
        </w:rPr>
        <w:t xml:space="preserve"> אני נראה כל שעה על הכפרת, כדכת</w:t>
      </w:r>
      <w:r>
        <w:rPr>
          <w:rFonts w:hint="cs"/>
          <w:sz w:val="24"/>
          <w:szCs w:val="24"/>
          <w:rtl/>
        </w:rPr>
        <w:t>יב</w:t>
      </w:r>
      <w:r w:rsidRPr="000208FF">
        <w:rPr>
          <w:sz w:val="24"/>
          <w:szCs w:val="24"/>
          <w:rtl/>
        </w:rPr>
        <w:t xml:space="preserve"> </w:t>
      </w:r>
      <w:r>
        <w:rPr>
          <w:rFonts w:hint="cs"/>
          <w:sz w:val="24"/>
          <w:szCs w:val="24"/>
          <w:rtl/>
        </w:rPr>
        <w:t>'</w:t>
      </w:r>
      <w:r w:rsidRPr="000208FF">
        <w:rPr>
          <w:sz w:val="24"/>
          <w:szCs w:val="24"/>
          <w:rtl/>
        </w:rPr>
        <w:t>ודיברתי</w:t>
      </w:r>
      <w:r>
        <w:rPr>
          <w:sz w:val="24"/>
          <w:szCs w:val="24"/>
          <w:rtl/>
        </w:rPr>
        <w:t xml:space="preserve"> אתך מעל הכפרת מבין שני הכרובים</w:t>
      </w:r>
      <w:r>
        <w:rPr>
          <w:rFonts w:hint="cs"/>
          <w:sz w:val="24"/>
          <w:szCs w:val="24"/>
          <w:rtl/>
        </w:rPr>
        <w:t>',</w:t>
      </w:r>
      <w:r w:rsidRPr="000208FF">
        <w:rPr>
          <w:sz w:val="24"/>
          <w:szCs w:val="24"/>
          <w:rtl/>
        </w:rPr>
        <w:t xml:space="preserve"> ואם יראה הכהן ימות. לפיכך כשיכנס ביום ה</w:t>
      </w:r>
      <w:r>
        <w:rPr>
          <w:sz w:val="24"/>
          <w:szCs w:val="24"/>
          <w:rtl/>
        </w:rPr>
        <w:t>כיפורים ציוהו הק</w:t>
      </w:r>
      <w:r>
        <w:rPr>
          <w:rFonts w:hint="cs"/>
          <w:sz w:val="24"/>
          <w:szCs w:val="24"/>
          <w:rtl/>
        </w:rPr>
        <w:t>ב"ה</w:t>
      </w:r>
      <w:r w:rsidRPr="000208FF">
        <w:rPr>
          <w:sz w:val="24"/>
          <w:szCs w:val="24"/>
          <w:rtl/>
        </w:rPr>
        <w:t xml:space="preserve"> להקטיר קטורת בפנים תחילה להחשיך את הבית בענן הקטורת</w:t>
      </w:r>
      <w:r>
        <w:rPr>
          <w:rFonts w:hint="cs"/>
          <w:sz w:val="24"/>
          <w:szCs w:val="24"/>
          <w:rtl/>
        </w:rPr>
        <w:t>,</w:t>
      </w:r>
      <w:r w:rsidRPr="000208FF">
        <w:rPr>
          <w:sz w:val="24"/>
          <w:szCs w:val="24"/>
          <w:rtl/>
        </w:rPr>
        <w:t xml:space="preserve"> ואחר כך יביא דם הפר ודם השעיר</w:t>
      </w:r>
      <w:r>
        <w:rPr>
          <w:rFonts w:hint="cs"/>
          <w:sz w:val="24"/>
          <w:szCs w:val="24"/>
          <w:rtl/>
        </w:rPr>
        <w:t>.</w:t>
      </w:r>
      <w:r>
        <w:rPr>
          <w:sz w:val="24"/>
          <w:szCs w:val="24"/>
          <w:rtl/>
        </w:rPr>
        <w:tab/>
      </w:r>
      <w:r>
        <w:rPr>
          <w:sz w:val="24"/>
          <w:szCs w:val="24"/>
          <w:rtl/>
        </w:rPr>
        <w:tab/>
      </w:r>
      <w:r>
        <w:rPr>
          <w:sz w:val="24"/>
          <w:szCs w:val="24"/>
          <w:rtl/>
        </w:rPr>
        <w:tab/>
      </w:r>
      <w:r>
        <w:rPr>
          <w:rFonts w:hint="cs"/>
          <w:sz w:val="20"/>
          <w:szCs w:val="20"/>
          <w:rtl/>
        </w:rPr>
        <w:t>[רשב"ם שם, ב]</w:t>
      </w:r>
    </w:p>
    <w:p w:rsidR="00C26E1A" w:rsidRDefault="00C26E1A" w:rsidP="00C26E1A">
      <w:pPr>
        <w:spacing w:before="200" w:line="276" w:lineRule="auto"/>
        <w:ind w:firstLine="720"/>
        <w:rPr>
          <w:sz w:val="20"/>
          <w:szCs w:val="20"/>
          <w:rtl/>
        </w:rPr>
      </w:pPr>
      <w:r w:rsidRPr="00930816">
        <w:rPr>
          <w:sz w:val="24"/>
          <w:szCs w:val="24"/>
          <w:rtl/>
        </w:rPr>
        <w:t xml:space="preserve">כי בענן </w:t>
      </w:r>
      <w:r>
        <w:rPr>
          <w:sz w:val="24"/>
          <w:szCs w:val="24"/>
          <w:rtl/>
        </w:rPr>
        <w:t>–</w:t>
      </w:r>
      <w:r>
        <w:rPr>
          <w:rFonts w:hint="cs"/>
          <w:sz w:val="24"/>
          <w:szCs w:val="24"/>
          <w:rtl/>
        </w:rPr>
        <w:t xml:space="preserve"> </w:t>
      </w:r>
      <w:r w:rsidRPr="00930816">
        <w:rPr>
          <w:sz w:val="24"/>
          <w:szCs w:val="24"/>
          <w:rtl/>
        </w:rPr>
        <w:t>הטעם שלא יכנס כי אם בקטרת שיעשה ענן, ולא יראה הכבוד פן ימות.</w:t>
      </w:r>
      <w:r>
        <w:rPr>
          <w:rFonts w:hint="cs"/>
          <w:sz w:val="24"/>
          <w:szCs w:val="24"/>
          <w:rtl/>
        </w:rPr>
        <w:t xml:space="preserve"> </w:t>
      </w:r>
    </w:p>
    <w:p w:rsidR="00C26E1A" w:rsidRDefault="00C26E1A" w:rsidP="00C26E1A">
      <w:pPr>
        <w:spacing w:before="200" w:line="276" w:lineRule="auto"/>
        <w:ind w:firstLine="720"/>
        <w:jc w:val="right"/>
        <w:rPr>
          <w:sz w:val="24"/>
          <w:szCs w:val="24"/>
          <w:rtl/>
        </w:rPr>
      </w:pPr>
      <w:r>
        <w:rPr>
          <w:rFonts w:hint="cs"/>
          <w:sz w:val="20"/>
          <w:szCs w:val="20"/>
          <w:rtl/>
        </w:rPr>
        <w:t>[ראב"ע, שם]</w:t>
      </w:r>
    </w:p>
    <w:p w:rsidR="00C26E1A" w:rsidRDefault="00C26E1A" w:rsidP="00C26E1A">
      <w:pPr>
        <w:spacing w:before="200" w:line="276" w:lineRule="auto"/>
        <w:ind w:left="720"/>
        <w:rPr>
          <w:sz w:val="24"/>
          <w:szCs w:val="24"/>
        </w:rPr>
      </w:pPr>
      <w:r w:rsidRPr="00930816">
        <w:rPr>
          <w:sz w:val="24"/>
          <w:szCs w:val="24"/>
          <w:rtl/>
        </w:rPr>
        <w:t xml:space="preserve">ונתן את הקטרת </w:t>
      </w:r>
      <w:r>
        <w:rPr>
          <w:sz w:val="24"/>
          <w:szCs w:val="24"/>
          <w:rtl/>
        </w:rPr>
        <w:t>–</w:t>
      </w:r>
      <w:r>
        <w:rPr>
          <w:rFonts w:hint="cs"/>
          <w:sz w:val="24"/>
          <w:szCs w:val="24"/>
          <w:rtl/>
        </w:rPr>
        <w:t xml:space="preserve"> </w:t>
      </w:r>
      <w:r w:rsidRPr="00930816">
        <w:rPr>
          <w:sz w:val="24"/>
          <w:szCs w:val="24"/>
          <w:rtl/>
        </w:rPr>
        <w:t xml:space="preserve">שהרי נאמר למעלה כי בענן אראה על הכפורת וכדי שלא להסתכל בשכינה כדכתיב כי לא יראני האדם וחי, צריך להחשיך את הבית תחלה בנתינת הקטרת זהו שנאמר </w:t>
      </w:r>
      <w:r>
        <w:rPr>
          <w:rFonts w:hint="cs"/>
          <w:sz w:val="24"/>
          <w:szCs w:val="24"/>
          <w:rtl/>
        </w:rPr>
        <w:t>'</w:t>
      </w:r>
      <w:r w:rsidRPr="00930816">
        <w:rPr>
          <w:sz w:val="24"/>
          <w:szCs w:val="24"/>
          <w:rtl/>
        </w:rPr>
        <w:t>וכסה ענן הקטרת את הכפרת</w:t>
      </w:r>
      <w:r>
        <w:rPr>
          <w:rFonts w:hint="cs"/>
          <w:sz w:val="24"/>
          <w:szCs w:val="24"/>
          <w:rtl/>
        </w:rPr>
        <w:t>'</w:t>
      </w:r>
      <w:r w:rsidRPr="00930816">
        <w:rPr>
          <w:sz w:val="24"/>
          <w:szCs w:val="24"/>
          <w:rtl/>
        </w:rPr>
        <w:t xml:space="preserve"> ואחר כך יביא את הדמים שם.</w:t>
      </w:r>
      <w:r>
        <w:rPr>
          <w:sz w:val="24"/>
          <w:szCs w:val="24"/>
          <w:rtl/>
        </w:rPr>
        <w:tab/>
      </w:r>
      <w:r>
        <w:rPr>
          <w:rFonts w:hint="cs"/>
          <w:sz w:val="20"/>
          <w:szCs w:val="20"/>
          <w:rtl/>
        </w:rPr>
        <w:t>[חזקוני שם, יג]</w:t>
      </w:r>
    </w:p>
    <w:p w:rsidR="00C26E1A" w:rsidRDefault="00C26E1A" w:rsidP="00C26E1A">
      <w:pPr>
        <w:spacing w:before="200" w:line="276" w:lineRule="auto"/>
        <w:ind w:firstLine="227"/>
        <w:rPr>
          <w:sz w:val="24"/>
          <w:szCs w:val="24"/>
          <w:rtl/>
        </w:rPr>
      </w:pPr>
      <w:r>
        <w:rPr>
          <w:rFonts w:hint="cs"/>
          <w:sz w:val="24"/>
          <w:szCs w:val="24"/>
          <w:rtl/>
        </w:rPr>
        <w:t xml:space="preserve">לעומת הבנה זו, ניתן להבין את תפקיד "ענן הקטורת" בדרך הפוכה: לא כמאפיל ומונע מלראות את השכינה השורה בקודש הקדשים, אלא דווקא כגורם להשראת השכינה באותה שעה; השכינה מתגלית בענן </w:t>
      </w:r>
      <w:r>
        <w:rPr>
          <w:sz w:val="24"/>
          <w:szCs w:val="24"/>
          <w:rtl/>
        </w:rPr>
        <w:t>–</w:t>
      </w:r>
      <w:r>
        <w:rPr>
          <w:rFonts w:hint="cs"/>
          <w:sz w:val="24"/>
          <w:szCs w:val="24"/>
          <w:rtl/>
        </w:rPr>
        <w:t xml:space="preserve"> "הנה אנכי בא אליך בעב הענן" </w:t>
      </w:r>
      <w:r>
        <w:rPr>
          <w:rFonts w:hint="cs"/>
          <w:sz w:val="20"/>
          <w:szCs w:val="20"/>
          <w:rtl/>
        </w:rPr>
        <w:t>[שמות יט, ט]</w:t>
      </w:r>
      <w:r>
        <w:rPr>
          <w:rFonts w:hint="cs"/>
          <w:sz w:val="24"/>
          <w:szCs w:val="24"/>
          <w:rtl/>
        </w:rPr>
        <w:t xml:space="preserve">, וכך ענן הקטורת המכסה את הכפורת והבית המתמלא עשן הם ביטוי לשכינה השורה בקודש הקדשים </w:t>
      </w:r>
      <w:r>
        <w:rPr>
          <w:sz w:val="24"/>
          <w:szCs w:val="24"/>
          <w:rtl/>
        </w:rPr>
        <w:t>–</w:t>
      </w:r>
      <w:r>
        <w:rPr>
          <w:rFonts w:hint="cs"/>
          <w:sz w:val="24"/>
          <w:szCs w:val="24"/>
          <w:rtl/>
        </w:rPr>
        <w:t xml:space="preserve"> "וה' בהיכל קדשו" </w:t>
      </w:r>
      <w:r>
        <w:rPr>
          <w:rFonts w:hint="cs"/>
          <w:sz w:val="20"/>
          <w:szCs w:val="20"/>
          <w:rtl/>
        </w:rPr>
        <w:t>[חבקוק ב, כ]</w:t>
      </w:r>
      <w:r>
        <w:rPr>
          <w:rFonts w:hint="cs"/>
          <w:sz w:val="24"/>
          <w:szCs w:val="24"/>
          <w:rtl/>
        </w:rPr>
        <w:t>.</w:t>
      </w:r>
    </w:p>
    <w:p w:rsidR="00C26E1A" w:rsidRDefault="00C26E1A" w:rsidP="00C26E1A">
      <w:pPr>
        <w:spacing w:before="200" w:line="276" w:lineRule="auto"/>
        <w:ind w:firstLine="227"/>
        <w:rPr>
          <w:sz w:val="24"/>
          <w:szCs w:val="24"/>
          <w:rtl/>
        </w:rPr>
      </w:pPr>
      <w:r>
        <w:rPr>
          <w:rFonts w:hint="cs"/>
          <w:sz w:val="24"/>
          <w:szCs w:val="24"/>
          <w:rtl/>
        </w:rPr>
        <w:t>גם להבנה זו בית אב בדברי הראשונים:</w:t>
      </w:r>
    </w:p>
    <w:p w:rsidR="00C26E1A" w:rsidRDefault="00C26E1A" w:rsidP="00C26E1A">
      <w:pPr>
        <w:spacing w:before="200" w:line="276" w:lineRule="auto"/>
        <w:ind w:left="720"/>
        <w:rPr>
          <w:sz w:val="24"/>
          <w:szCs w:val="24"/>
          <w:rtl/>
        </w:rPr>
      </w:pPr>
      <w:r>
        <w:rPr>
          <w:rFonts w:hint="cs"/>
          <w:sz w:val="24"/>
          <w:szCs w:val="24"/>
          <w:rtl/>
        </w:rPr>
        <w:lastRenderedPageBreak/>
        <w:t>ו</w:t>
      </w:r>
      <w:r w:rsidRPr="00926193">
        <w:rPr>
          <w:rFonts w:hint="cs"/>
          <w:sz w:val="24"/>
          <w:szCs w:val="24"/>
          <w:rtl/>
        </w:rPr>
        <w:t xml:space="preserve">כל אדם לא יהיה באהל </w:t>
      </w:r>
      <w:r w:rsidRPr="00926193">
        <w:rPr>
          <w:sz w:val="24"/>
          <w:szCs w:val="24"/>
          <w:rtl/>
        </w:rPr>
        <w:t>–</w:t>
      </w:r>
      <w:r w:rsidRPr="00926193">
        <w:rPr>
          <w:rFonts w:hint="cs"/>
          <w:sz w:val="24"/>
          <w:szCs w:val="24"/>
          <w:rtl/>
        </w:rPr>
        <w:t xml:space="preserve"> מפני אימת השכינה שבאה בענן הקטרת, כדכתיב: 'כי בענן אראה על הכפרת'.</w:t>
      </w:r>
      <w:r>
        <w:rPr>
          <w:rFonts w:hint="cs"/>
          <w:sz w:val="24"/>
          <w:szCs w:val="24"/>
          <w:rtl/>
        </w:rPr>
        <w:t xml:space="preserve"> </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sidR="00A527D5">
        <w:rPr>
          <w:rFonts w:hint="cs"/>
          <w:sz w:val="24"/>
          <w:szCs w:val="24"/>
          <w:rtl/>
        </w:rPr>
        <w:t xml:space="preserve">        </w:t>
      </w:r>
      <w:r>
        <w:rPr>
          <w:rFonts w:hint="cs"/>
          <w:sz w:val="20"/>
          <w:szCs w:val="20"/>
          <w:rtl/>
        </w:rPr>
        <w:t>[בכור שור ויקרא טז, יז]</w:t>
      </w:r>
      <w:r>
        <w:rPr>
          <w:rStyle w:val="a7"/>
          <w:sz w:val="24"/>
          <w:szCs w:val="24"/>
          <w:rtl/>
        </w:rPr>
        <w:footnoteReference w:id="104"/>
      </w:r>
    </w:p>
    <w:p w:rsidR="00C26E1A" w:rsidRDefault="00C26E1A" w:rsidP="00C26E1A">
      <w:pPr>
        <w:spacing w:before="200" w:line="276" w:lineRule="auto"/>
        <w:rPr>
          <w:color w:val="FF0000"/>
          <w:sz w:val="24"/>
          <w:szCs w:val="24"/>
          <w:rtl/>
        </w:rPr>
      </w:pPr>
    </w:p>
    <w:p w:rsidR="00C26E1A" w:rsidRDefault="00C26E1A" w:rsidP="00C26E1A">
      <w:pPr>
        <w:spacing w:before="200" w:line="276" w:lineRule="auto"/>
        <w:ind w:firstLine="227"/>
        <w:rPr>
          <w:sz w:val="24"/>
          <w:szCs w:val="24"/>
          <w:rtl/>
        </w:rPr>
      </w:pPr>
      <w:r>
        <w:rPr>
          <w:rFonts w:hint="cs"/>
          <w:sz w:val="24"/>
          <w:szCs w:val="24"/>
          <w:rtl/>
        </w:rPr>
        <w:t xml:space="preserve">על פי האמור נראה שדווקא הקטרת הקטורת בקודש הקדשים באה לשם השראת השכינה, אך קטורת של כל יום עניינה שונה: העלאת ריח טוב לכבוד ה' יתברך. עם זאת, בדברי דעת זקנים מבעלי התוספות עולה כי גם הקטורת הנעשית בכל יום באה לשם השראת השכינה. דבריו אמורים על הכתוב בפרשת תרומה </w:t>
      </w:r>
      <w:r>
        <w:rPr>
          <w:rFonts w:hint="cs"/>
          <w:sz w:val="20"/>
          <w:szCs w:val="20"/>
          <w:rtl/>
        </w:rPr>
        <w:t>[שמות כה, ו]</w:t>
      </w:r>
      <w:r>
        <w:rPr>
          <w:rFonts w:hint="cs"/>
          <w:sz w:val="24"/>
          <w:szCs w:val="24"/>
          <w:rtl/>
        </w:rPr>
        <w:t>: "</w:t>
      </w:r>
      <w:r w:rsidRPr="005555A9">
        <w:rPr>
          <w:sz w:val="24"/>
          <w:szCs w:val="24"/>
          <w:rtl/>
        </w:rPr>
        <w:t>שמן למאר</w:t>
      </w:r>
      <w:r>
        <w:rPr>
          <w:rFonts w:hint="cs"/>
          <w:sz w:val="24"/>
          <w:szCs w:val="24"/>
          <w:rtl/>
        </w:rPr>
        <w:t>,</w:t>
      </w:r>
      <w:r w:rsidRPr="005555A9">
        <w:rPr>
          <w:sz w:val="24"/>
          <w:szCs w:val="24"/>
          <w:rtl/>
        </w:rPr>
        <w:t xml:space="preserve"> בשמים לשמן המשחה ולקטרת הסמים</w:t>
      </w:r>
      <w:r>
        <w:rPr>
          <w:rFonts w:hint="cs"/>
          <w:sz w:val="24"/>
          <w:szCs w:val="24"/>
          <w:rtl/>
        </w:rPr>
        <w:t>". על כך כותב דעת זקנים מבעלי התוספות:</w:t>
      </w:r>
    </w:p>
    <w:p w:rsidR="00C26E1A" w:rsidRPr="005555A9" w:rsidRDefault="00C26E1A" w:rsidP="00C26E1A">
      <w:pPr>
        <w:spacing w:before="200" w:line="276" w:lineRule="auto"/>
        <w:ind w:left="720"/>
        <w:rPr>
          <w:sz w:val="20"/>
          <w:szCs w:val="20"/>
          <w:rtl/>
        </w:rPr>
      </w:pPr>
      <w:r w:rsidRPr="005555A9">
        <w:rPr>
          <w:sz w:val="24"/>
          <w:szCs w:val="24"/>
          <w:rtl/>
        </w:rPr>
        <w:t>תימה</w:t>
      </w:r>
      <w:r>
        <w:rPr>
          <w:rFonts w:hint="cs"/>
          <w:sz w:val="24"/>
          <w:szCs w:val="24"/>
          <w:rtl/>
        </w:rPr>
        <w:t>,</w:t>
      </w:r>
      <w:r w:rsidRPr="005555A9">
        <w:rPr>
          <w:sz w:val="24"/>
          <w:szCs w:val="24"/>
          <w:rtl/>
        </w:rPr>
        <w:t xml:space="preserve"> שכל הפרשה בצרכי בנין חוץ מפסוק זה שהוא צורך שלחן גבוה</w:t>
      </w:r>
      <w:r>
        <w:rPr>
          <w:rFonts w:hint="cs"/>
          <w:sz w:val="24"/>
          <w:szCs w:val="24"/>
          <w:rtl/>
        </w:rPr>
        <w:t>,</w:t>
      </w:r>
      <w:r w:rsidRPr="005555A9">
        <w:rPr>
          <w:sz w:val="24"/>
          <w:szCs w:val="24"/>
          <w:rtl/>
        </w:rPr>
        <w:t xml:space="preserve"> ואינו אומר </w:t>
      </w:r>
      <w:r>
        <w:rPr>
          <w:rFonts w:hint="cs"/>
          <w:sz w:val="24"/>
          <w:szCs w:val="24"/>
          <w:rtl/>
        </w:rPr>
        <w:t>'</w:t>
      </w:r>
      <w:r w:rsidRPr="005555A9">
        <w:rPr>
          <w:sz w:val="24"/>
          <w:szCs w:val="24"/>
          <w:rtl/>
        </w:rPr>
        <w:t>חטים ללחם הפנים וכבשים לתמידין ועצים למערכה</w:t>
      </w:r>
      <w:r>
        <w:rPr>
          <w:rFonts w:hint="cs"/>
          <w:sz w:val="24"/>
          <w:szCs w:val="24"/>
          <w:rtl/>
        </w:rPr>
        <w:t>'.</w:t>
      </w:r>
      <w:r>
        <w:rPr>
          <w:sz w:val="24"/>
          <w:szCs w:val="24"/>
          <w:rtl/>
        </w:rPr>
        <w:t xml:space="preserve"> וי</w:t>
      </w:r>
      <w:r>
        <w:rPr>
          <w:rFonts w:hint="cs"/>
          <w:sz w:val="24"/>
          <w:szCs w:val="24"/>
          <w:rtl/>
        </w:rPr>
        <w:t>ש לומר,</w:t>
      </w:r>
      <w:r w:rsidRPr="005555A9">
        <w:rPr>
          <w:sz w:val="24"/>
          <w:szCs w:val="24"/>
          <w:rtl/>
        </w:rPr>
        <w:t xml:space="preserve"> ששלשתן צורך בנין הן</w:t>
      </w:r>
      <w:r>
        <w:rPr>
          <w:rFonts w:hint="cs"/>
          <w:sz w:val="24"/>
          <w:szCs w:val="24"/>
          <w:rtl/>
        </w:rPr>
        <w:t>:</w:t>
      </w:r>
      <w:r w:rsidRPr="005555A9">
        <w:rPr>
          <w:sz w:val="24"/>
          <w:szCs w:val="24"/>
          <w:rtl/>
        </w:rPr>
        <w:t xml:space="preserve"> שמן המשחה שבו נמשחו ונתקדשו כל כלי המשכן</w:t>
      </w:r>
      <w:r>
        <w:rPr>
          <w:rFonts w:hint="cs"/>
          <w:sz w:val="24"/>
          <w:szCs w:val="24"/>
          <w:rtl/>
        </w:rPr>
        <w:t>,</w:t>
      </w:r>
      <w:r w:rsidRPr="005555A9">
        <w:rPr>
          <w:sz w:val="24"/>
          <w:szCs w:val="24"/>
          <w:rtl/>
        </w:rPr>
        <w:t xml:space="preserve"> וקט</w:t>
      </w:r>
      <w:r>
        <w:rPr>
          <w:rFonts w:hint="cs"/>
          <w:sz w:val="24"/>
          <w:szCs w:val="24"/>
          <w:rtl/>
        </w:rPr>
        <w:t>ו</w:t>
      </w:r>
      <w:r w:rsidRPr="005555A9">
        <w:rPr>
          <w:sz w:val="24"/>
          <w:szCs w:val="24"/>
          <w:rtl/>
        </w:rPr>
        <w:t>רת נמי שכן דרך מלכים שמבשמין להם הבית קודם שיכנסו לתוכה</w:t>
      </w:r>
      <w:r>
        <w:rPr>
          <w:rFonts w:hint="cs"/>
          <w:sz w:val="24"/>
          <w:szCs w:val="24"/>
          <w:rtl/>
        </w:rPr>
        <w:t>, וכל שכן לפני מלך מלכי המלכים</w:t>
      </w:r>
      <w:r w:rsidRPr="005555A9">
        <w:rPr>
          <w:sz w:val="24"/>
          <w:szCs w:val="24"/>
          <w:rtl/>
        </w:rPr>
        <w:t xml:space="preserve"> הקדוש ברוך הוא</w:t>
      </w:r>
      <w:r>
        <w:rPr>
          <w:rFonts w:hint="cs"/>
          <w:sz w:val="24"/>
          <w:szCs w:val="24"/>
          <w:rtl/>
        </w:rPr>
        <w:t>,</w:t>
      </w:r>
      <w:r w:rsidRPr="005555A9">
        <w:rPr>
          <w:sz w:val="24"/>
          <w:szCs w:val="24"/>
          <w:rtl/>
        </w:rPr>
        <w:t xml:space="preserve"> </w:t>
      </w:r>
      <w:r w:rsidRPr="005555A9">
        <w:rPr>
          <w:b/>
          <w:bCs/>
          <w:sz w:val="24"/>
          <w:szCs w:val="24"/>
          <w:rtl/>
        </w:rPr>
        <w:t>וכן מצינו שעל ידי הקט</w:t>
      </w:r>
      <w:r>
        <w:rPr>
          <w:rFonts w:hint="cs"/>
          <w:b/>
          <w:bCs/>
          <w:sz w:val="24"/>
          <w:szCs w:val="24"/>
          <w:rtl/>
        </w:rPr>
        <w:t>ו</w:t>
      </w:r>
      <w:r w:rsidRPr="005555A9">
        <w:rPr>
          <w:b/>
          <w:bCs/>
          <w:sz w:val="24"/>
          <w:szCs w:val="24"/>
          <w:rtl/>
        </w:rPr>
        <w:t>רת שכינה נראית</w:t>
      </w:r>
      <w:r>
        <w:rPr>
          <w:rFonts w:hint="cs"/>
          <w:b/>
          <w:bCs/>
          <w:sz w:val="24"/>
          <w:szCs w:val="24"/>
          <w:rtl/>
        </w:rPr>
        <w:t>,</w:t>
      </w:r>
      <w:r w:rsidRPr="005555A9">
        <w:rPr>
          <w:b/>
          <w:bCs/>
          <w:sz w:val="24"/>
          <w:szCs w:val="24"/>
          <w:rtl/>
        </w:rPr>
        <w:t xml:space="preserve"> דכתיב </w:t>
      </w:r>
      <w:r>
        <w:rPr>
          <w:rFonts w:hint="cs"/>
          <w:b/>
          <w:bCs/>
          <w:sz w:val="24"/>
          <w:szCs w:val="24"/>
          <w:rtl/>
        </w:rPr>
        <w:t>'</w:t>
      </w:r>
      <w:r w:rsidRPr="005555A9">
        <w:rPr>
          <w:b/>
          <w:bCs/>
          <w:sz w:val="24"/>
          <w:szCs w:val="24"/>
          <w:rtl/>
        </w:rPr>
        <w:t>וכסה ענן הקטרת</w:t>
      </w:r>
      <w:r>
        <w:rPr>
          <w:rFonts w:hint="cs"/>
          <w:b/>
          <w:bCs/>
          <w:sz w:val="24"/>
          <w:szCs w:val="24"/>
          <w:rtl/>
        </w:rPr>
        <w:t>'</w:t>
      </w:r>
      <w:r w:rsidRPr="005555A9">
        <w:rPr>
          <w:b/>
          <w:bCs/>
          <w:sz w:val="24"/>
          <w:szCs w:val="24"/>
          <w:rtl/>
        </w:rPr>
        <w:t xml:space="preserve"> וכתיב </w:t>
      </w:r>
      <w:r>
        <w:rPr>
          <w:rFonts w:hint="cs"/>
          <w:b/>
          <w:bCs/>
          <w:sz w:val="24"/>
          <w:szCs w:val="24"/>
          <w:rtl/>
        </w:rPr>
        <w:t>'</w:t>
      </w:r>
      <w:r w:rsidRPr="005555A9">
        <w:rPr>
          <w:b/>
          <w:bCs/>
          <w:sz w:val="24"/>
          <w:szCs w:val="24"/>
          <w:rtl/>
        </w:rPr>
        <w:t>כי בענן אראה</w:t>
      </w:r>
      <w:r>
        <w:rPr>
          <w:rFonts w:hint="cs"/>
          <w:sz w:val="24"/>
          <w:szCs w:val="24"/>
          <w:rtl/>
        </w:rPr>
        <w:t>'</w:t>
      </w:r>
      <w:r w:rsidRPr="005555A9">
        <w:rPr>
          <w:sz w:val="24"/>
          <w:szCs w:val="24"/>
          <w:rtl/>
        </w:rPr>
        <w:t>. ושמן למאור</w:t>
      </w:r>
      <w:r>
        <w:rPr>
          <w:rFonts w:hint="cs"/>
          <w:sz w:val="24"/>
          <w:szCs w:val="24"/>
          <w:rtl/>
        </w:rPr>
        <w:t>,</w:t>
      </w:r>
      <w:r w:rsidRPr="005555A9">
        <w:rPr>
          <w:sz w:val="24"/>
          <w:szCs w:val="24"/>
          <w:rtl/>
        </w:rPr>
        <w:t xml:space="preserve"> שכן דרך המלכים להדליק נר לפניהם קודם שיכנסו לבית</w:t>
      </w:r>
      <w:r>
        <w:rPr>
          <w:rFonts w:hint="cs"/>
          <w:sz w:val="24"/>
          <w:szCs w:val="24"/>
          <w:rtl/>
        </w:rPr>
        <w:t>,</w:t>
      </w:r>
      <w:r w:rsidRPr="005555A9">
        <w:rPr>
          <w:sz w:val="24"/>
          <w:szCs w:val="24"/>
          <w:rtl/>
        </w:rPr>
        <w:t xml:space="preserve"> ואף על גב דלאו לאורה </w:t>
      </w:r>
      <w:r>
        <w:rPr>
          <w:sz w:val="24"/>
          <w:szCs w:val="24"/>
          <w:rtl/>
        </w:rPr>
        <w:t>הוא צריך מ</w:t>
      </w:r>
      <w:r>
        <w:rPr>
          <w:rFonts w:hint="cs"/>
          <w:sz w:val="24"/>
          <w:szCs w:val="24"/>
          <w:rtl/>
        </w:rPr>
        <w:t>כל מקום</w:t>
      </w:r>
      <w:r>
        <w:rPr>
          <w:sz w:val="24"/>
          <w:szCs w:val="24"/>
          <w:rtl/>
        </w:rPr>
        <w:t xml:space="preserve"> הוא כבוד של מעלה</w:t>
      </w:r>
      <w:r>
        <w:rPr>
          <w:rFonts w:hint="cs"/>
          <w:sz w:val="24"/>
          <w:szCs w:val="24"/>
          <w:rtl/>
        </w:rPr>
        <w:t>.</w:t>
      </w:r>
      <w:r>
        <w:rPr>
          <w:sz w:val="24"/>
          <w:szCs w:val="24"/>
          <w:rtl/>
        </w:rPr>
        <w:tab/>
      </w:r>
      <w:r>
        <w:rPr>
          <w:sz w:val="24"/>
          <w:szCs w:val="24"/>
          <w:rtl/>
        </w:rPr>
        <w:tab/>
      </w:r>
      <w:r>
        <w:rPr>
          <w:rFonts w:hint="cs"/>
          <w:sz w:val="24"/>
          <w:szCs w:val="24"/>
          <w:rtl/>
        </w:rPr>
        <w:t xml:space="preserve">        </w:t>
      </w:r>
      <w:r>
        <w:rPr>
          <w:rFonts w:hint="cs"/>
          <w:sz w:val="20"/>
          <w:szCs w:val="20"/>
          <w:rtl/>
        </w:rPr>
        <w:t>[דעת זקנים מבעלי התוס' שמות כה, ו]</w:t>
      </w:r>
    </w:p>
    <w:p w:rsidR="00C26E1A" w:rsidRDefault="00C26E1A" w:rsidP="00C26E1A">
      <w:pPr>
        <w:spacing w:before="200" w:line="276" w:lineRule="auto"/>
        <w:ind w:firstLine="266"/>
        <w:rPr>
          <w:sz w:val="24"/>
          <w:szCs w:val="24"/>
          <w:rtl/>
        </w:rPr>
      </w:pPr>
      <w:r>
        <w:rPr>
          <w:rFonts w:hint="cs"/>
          <w:sz w:val="24"/>
          <w:szCs w:val="24"/>
          <w:rtl/>
        </w:rPr>
        <w:t>דעת זקנים מבעלי התוספות כותב כי השמן והקטורת הם מצרכי הבית, ולכן הם מנויים בפרשת תרומה</w:t>
      </w:r>
      <w:r>
        <w:rPr>
          <w:rStyle w:val="a7"/>
          <w:sz w:val="24"/>
          <w:szCs w:val="24"/>
          <w:rtl/>
        </w:rPr>
        <w:footnoteReference w:id="105"/>
      </w:r>
      <w:r>
        <w:rPr>
          <w:rFonts w:hint="cs"/>
          <w:sz w:val="24"/>
          <w:szCs w:val="24"/>
          <w:rtl/>
        </w:rPr>
        <w:t>. הדעת זקנים מבאר את טעם הדבר, כי הקטורת גורמת להשראת השכינה, והוא מביא כמקור לכך את הנאמר לגבי הקטורת של יום הכיפורים. עולה מכך, כי לשיטתו אין הבדל עקרוני בין הקטורת של יום הכיפורים המוקטרת לפני ולפנים לבין הקטורת שבכל יום המוקטרת בהיכל, ומגמת הקטורת בכל מקום היא השראת השכינה</w:t>
      </w:r>
      <w:r>
        <w:rPr>
          <w:rStyle w:val="a7"/>
          <w:sz w:val="24"/>
          <w:szCs w:val="24"/>
          <w:rtl/>
        </w:rPr>
        <w:footnoteReference w:id="106"/>
      </w:r>
      <w:r>
        <w:rPr>
          <w:rFonts w:hint="cs"/>
          <w:sz w:val="24"/>
          <w:szCs w:val="24"/>
          <w:rtl/>
        </w:rPr>
        <w:t>.</w:t>
      </w:r>
    </w:p>
    <w:p w:rsidR="00C26E1A" w:rsidRDefault="00C26E1A" w:rsidP="00C26E1A">
      <w:pPr>
        <w:spacing w:before="200" w:line="276" w:lineRule="auto"/>
        <w:ind w:firstLine="266"/>
        <w:rPr>
          <w:sz w:val="24"/>
          <w:szCs w:val="24"/>
          <w:rtl/>
        </w:rPr>
      </w:pPr>
      <w:r>
        <w:rPr>
          <w:rFonts w:hint="cs"/>
          <w:sz w:val="24"/>
          <w:szCs w:val="24"/>
          <w:rtl/>
        </w:rPr>
        <w:t>הבנה זו עולה גם מדברי הבכור שור שהובאו לעיל:</w:t>
      </w:r>
    </w:p>
    <w:p w:rsidR="00C26E1A" w:rsidRPr="00F429C0" w:rsidRDefault="00C26E1A" w:rsidP="00C26E1A">
      <w:pPr>
        <w:spacing w:before="200" w:line="276" w:lineRule="auto"/>
        <w:ind w:firstLine="720"/>
        <w:rPr>
          <w:sz w:val="24"/>
          <w:szCs w:val="24"/>
          <w:rtl/>
        </w:rPr>
      </w:pPr>
      <w:r>
        <w:rPr>
          <w:rFonts w:hint="cs"/>
          <w:sz w:val="24"/>
          <w:szCs w:val="24"/>
          <w:rtl/>
        </w:rPr>
        <w:t xml:space="preserve">וכל אדם לא יהיה באהל </w:t>
      </w:r>
      <w:r>
        <w:rPr>
          <w:sz w:val="24"/>
          <w:szCs w:val="24"/>
          <w:rtl/>
        </w:rPr>
        <w:t>–</w:t>
      </w:r>
      <w:r>
        <w:rPr>
          <w:rFonts w:hint="cs"/>
          <w:sz w:val="24"/>
          <w:szCs w:val="24"/>
          <w:rtl/>
        </w:rPr>
        <w:t xml:space="preserve"> </w:t>
      </w:r>
      <w:r w:rsidRPr="00926193">
        <w:rPr>
          <w:rFonts w:hint="cs"/>
          <w:sz w:val="24"/>
          <w:szCs w:val="24"/>
          <w:rtl/>
        </w:rPr>
        <w:t>מפני אימת השכינה שבאה בענן הקטרת</w:t>
      </w:r>
      <w:r>
        <w:rPr>
          <w:rFonts w:hint="cs"/>
          <w:sz w:val="24"/>
          <w:szCs w:val="24"/>
          <w:rtl/>
        </w:rPr>
        <w:t xml:space="preserve">. </w:t>
      </w:r>
      <w:r>
        <w:rPr>
          <w:rFonts w:hint="cs"/>
          <w:sz w:val="20"/>
          <w:szCs w:val="20"/>
          <w:rtl/>
        </w:rPr>
        <w:t xml:space="preserve">  [בכור שור ויקרא טז, יד]</w:t>
      </w:r>
      <w:r>
        <w:rPr>
          <w:rFonts w:hint="cs"/>
          <w:sz w:val="24"/>
          <w:szCs w:val="24"/>
          <w:rtl/>
        </w:rPr>
        <w:t xml:space="preserve"> </w:t>
      </w:r>
    </w:p>
    <w:p w:rsidR="00C26E1A" w:rsidRDefault="00C26E1A" w:rsidP="00C26E1A">
      <w:pPr>
        <w:spacing w:before="200" w:line="276" w:lineRule="auto"/>
        <w:ind w:firstLine="227"/>
        <w:rPr>
          <w:sz w:val="24"/>
          <w:szCs w:val="24"/>
          <w:rtl/>
        </w:rPr>
      </w:pPr>
      <w:r>
        <w:rPr>
          <w:rFonts w:hint="cs"/>
          <w:sz w:val="24"/>
          <w:szCs w:val="24"/>
          <w:rtl/>
        </w:rPr>
        <w:t xml:space="preserve">לפי דבריו, החובה לפרוש מהיכל בשעת ההקטרה נובעת מהשכינה השורה באותה שעה. ואם כן, מכך שחכמים למדו מכתוב זה עיקרון כללי שאסור להימצא בהיכל בשעת הקטרת הקטורת </w:t>
      </w:r>
      <w:r>
        <w:rPr>
          <w:sz w:val="24"/>
          <w:szCs w:val="24"/>
          <w:rtl/>
        </w:rPr>
        <w:t>–</w:t>
      </w:r>
      <w:r>
        <w:rPr>
          <w:rFonts w:hint="cs"/>
          <w:sz w:val="24"/>
          <w:szCs w:val="24"/>
          <w:rtl/>
        </w:rPr>
        <w:t xml:space="preserve"> כדברי המשנה </w:t>
      </w:r>
      <w:r>
        <w:rPr>
          <w:rFonts w:hint="cs"/>
          <w:sz w:val="20"/>
          <w:szCs w:val="20"/>
          <w:rtl/>
        </w:rPr>
        <w:t>[כלים פ"א מ"ט]</w:t>
      </w:r>
      <w:r>
        <w:rPr>
          <w:rFonts w:hint="cs"/>
          <w:sz w:val="24"/>
          <w:szCs w:val="24"/>
          <w:rtl/>
        </w:rPr>
        <w:t xml:space="preserve">: "ופורשין מבין האולם ולמזבח בשעת הקטרה" </w:t>
      </w:r>
      <w:r>
        <w:rPr>
          <w:sz w:val="24"/>
          <w:szCs w:val="24"/>
          <w:rtl/>
        </w:rPr>
        <w:t>–</w:t>
      </w:r>
      <w:r>
        <w:rPr>
          <w:rFonts w:hint="cs"/>
          <w:sz w:val="24"/>
          <w:szCs w:val="24"/>
          <w:rtl/>
        </w:rPr>
        <w:t xml:space="preserve"> יש ללמוד שגם הקטרת הקטורת הנעשית בכל יום עניינה הוא השראת השכינה. </w:t>
      </w:r>
    </w:p>
    <w:p w:rsidR="00C26E1A" w:rsidRDefault="00C26E1A" w:rsidP="00C26E1A">
      <w:pPr>
        <w:spacing w:before="200" w:line="276" w:lineRule="auto"/>
        <w:ind w:firstLine="227"/>
        <w:rPr>
          <w:sz w:val="24"/>
          <w:szCs w:val="24"/>
          <w:rtl/>
        </w:rPr>
      </w:pPr>
    </w:p>
    <w:p w:rsidR="00C26E1A" w:rsidRPr="00407FF4" w:rsidRDefault="00C26E1A" w:rsidP="00C26E1A">
      <w:pPr>
        <w:spacing w:before="200" w:line="276" w:lineRule="auto"/>
        <w:ind w:firstLine="227"/>
        <w:rPr>
          <w:sz w:val="24"/>
          <w:szCs w:val="24"/>
          <w:rtl/>
        </w:rPr>
      </w:pPr>
      <w:r>
        <w:rPr>
          <w:rFonts w:hint="cs"/>
          <w:sz w:val="24"/>
          <w:szCs w:val="24"/>
          <w:rtl/>
        </w:rPr>
        <w:t>דברי הבכור שור בביאור הכתוב "וכל אדם לא יהיה באהל מועד" תלויים בהבנת גדר חובת הפרישה בשעת ההקטרה. בעזרת ה' נעסוק בכך בשיעור הבא.</w:t>
      </w:r>
    </w:p>
    <w:p w:rsidR="00C26E1A" w:rsidRDefault="00C26E1A" w:rsidP="00C26E1A">
      <w:pPr>
        <w:spacing w:after="120" w:line="276" w:lineRule="auto"/>
        <w:ind w:firstLine="227"/>
        <w:jc w:val="right"/>
        <w:rPr>
          <w:rtl/>
        </w:rPr>
      </w:pPr>
      <w:r w:rsidRPr="00691B4C">
        <w:rPr>
          <w:rFonts w:hint="cs"/>
          <w:sz w:val="24"/>
          <w:szCs w:val="24"/>
          <w:u w:val="single"/>
          <w:rtl/>
        </w:rPr>
        <w:t>להערות ולתגובות</w:t>
      </w:r>
      <w:r w:rsidRPr="00691B4C">
        <w:rPr>
          <w:rFonts w:hint="cs"/>
          <w:sz w:val="24"/>
          <w:szCs w:val="24"/>
          <w:rtl/>
        </w:rPr>
        <w:t>: שלמה ליפשיץ</w:t>
      </w:r>
    </w:p>
    <w:p w:rsidR="00C26E1A" w:rsidRDefault="00C26E1A" w:rsidP="00782FFD">
      <w:pPr>
        <w:spacing w:after="0" w:line="276" w:lineRule="auto"/>
        <w:ind w:firstLine="227"/>
        <w:jc w:val="right"/>
        <w:rPr>
          <w:rtl/>
        </w:rPr>
      </w:pPr>
      <w:hyperlink r:id="rId20" w:history="1">
        <w:r w:rsidRPr="00691B4C">
          <w:rPr>
            <w:rStyle w:val="Hyperlink"/>
            <w:sz w:val="24"/>
            <w:szCs w:val="24"/>
          </w:rPr>
          <w:t>lshlomo26@gmail.com</w:t>
        </w:r>
      </w:hyperlink>
    </w:p>
    <w:p w:rsidR="00A527D5" w:rsidRPr="00477EEA" w:rsidRDefault="00A527D5" w:rsidP="00A527D5">
      <w:pPr>
        <w:keepNext/>
        <w:keepLines/>
        <w:spacing w:before="240" w:after="0" w:line="276" w:lineRule="auto"/>
        <w:jc w:val="center"/>
        <w:outlineLvl w:val="0"/>
        <w:rPr>
          <w:rFonts w:asciiTheme="majorHAnsi" w:eastAsiaTheme="majorEastAsia" w:hAnsiTheme="majorHAnsi"/>
          <w:bCs/>
          <w:sz w:val="36"/>
          <w:szCs w:val="36"/>
          <w:rtl/>
        </w:rPr>
      </w:pPr>
      <w:bookmarkStart w:id="86" w:name="_Toc76719177"/>
      <w:r>
        <w:rPr>
          <w:rFonts w:asciiTheme="majorHAnsi" w:eastAsiaTheme="majorEastAsia" w:hAnsiTheme="majorHAnsi" w:hint="cs"/>
          <w:bCs/>
          <w:sz w:val="40"/>
          <w:szCs w:val="40"/>
          <w:rtl/>
        </w:rPr>
        <w:lastRenderedPageBreak/>
        <w:t>יס</w:t>
      </w:r>
      <w:r>
        <w:rPr>
          <w:rFonts w:asciiTheme="majorHAnsi" w:eastAsiaTheme="majorEastAsia" w:hAnsiTheme="majorHAnsi" w:hint="cs"/>
          <w:bCs/>
          <w:sz w:val="36"/>
          <w:szCs w:val="36"/>
          <w:rtl/>
        </w:rPr>
        <w:t>ודות יומא</w:t>
      </w:r>
      <w:bookmarkEnd w:id="86"/>
    </w:p>
    <w:p w:rsidR="00A527D5" w:rsidRPr="00477EEA" w:rsidRDefault="00A527D5" w:rsidP="00A527D5">
      <w:pPr>
        <w:keepNext/>
        <w:keepLines/>
        <w:spacing w:before="240" w:after="0" w:line="276" w:lineRule="auto"/>
        <w:jc w:val="center"/>
        <w:outlineLvl w:val="0"/>
        <w:rPr>
          <w:rFonts w:asciiTheme="majorHAnsi" w:eastAsiaTheme="majorEastAsia" w:hAnsiTheme="majorHAnsi"/>
          <w:b/>
          <w:sz w:val="32"/>
          <w:szCs w:val="32"/>
          <w:rtl/>
        </w:rPr>
      </w:pPr>
      <w:bookmarkStart w:id="87" w:name="_Toc76719178"/>
      <w:r>
        <w:rPr>
          <w:rFonts w:asciiTheme="majorHAnsi" w:eastAsiaTheme="majorEastAsia" w:hAnsiTheme="majorHAnsi" w:hint="cs"/>
          <w:b/>
          <w:sz w:val="32"/>
          <w:szCs w:val="32"/>
          <w:rtl/>
        </w:rPr>
        <w:t>שיעור ארבעה עשר</w:t>
      </w:r>
      <w:bookmarkEnd w:id="87"/>
    </w:p>
    <w:p w:rsidR="00A527D5" w:rsidRPr="00403FB1" w:rsidRDefault="00A527D5" w:rsidP="00A527D5">
      <w:pPr>
        <w:keepNext/>
        <w:keepLines/>
        <w:spacing w:before="240" w:after="0" w:line="276" w:lineRule="auto"/>
        <w:jc w:val="center"/>
        <w:outlineLvl w:val="0"/>
        <w:rPr>
          <w:rFonts w:asciiTheme="majorHAnsi" w:eastAsiaTheme="majorEastAsia" w:hAnsiTheme="majorHAnsi"/>
          <w:bCs/>
          <w:sz w:val="32"/>
          <w:szCs w:val="32"/>
          <w:highlight w:val="green"/>
          <w:rtl/>
        </w:rPr>
      </w:pPr>
      <w:bookmarkStart w:id="88" w:name="_Toc76719179"/>
      <w:r>
        <w:rPr>
          <w:rFonts w:asciiTheme="majorHAnsi" w:eastAsiaTheme="majorEastAsia" w:hAnsiTheme="majorHAnsi" w:hint="cs"/>
          <w:bCs/>
          <w:sz w:val="36"/>
          <w:szCs w:val="36"/>
          <w:rtl/>
        </w:rPr>
        <w:t xml:space="preserve">פרישה מן ההיכל בשעת </w:t>
      </w:r>
      <w:r w:rsidRPr="00477EEA">
        <w:rPr>
          <w:rFonts w:asciiTheme="majorHAnsi" w:eastAsiaTheme="majorEastAsia" w:hAnsiTheme="majorHAnsi" w:hint="cs"/>
          <w:bCs/>
          <w:sz w:val="36"/>
          <w:szCs w:val="36"/>
          <w:rtl/>
        </w:rPr>
        <w:t>הקטרה</w:t>
      </w:r>
      <w:bookmarkEnd w:id="88"/>
    </w:p>
    <w:p w:rsidR="00A527D5" w:rsidRPr="00403FB1" w:rsidRDefault="00A527D5" w:rsidP="00A527D5">
      <w:pPr>
        <w:spacing w:line="276" w:lineRule="exact"/>
        <w:rPr>
          <w:highlight w:val="green"/>
          <w:rtl/>
        </w:rPr>
      </w:pPr>
      <w:r w:rsidRPr="00403FB1">
        <w:rPr>
          <w:noProof/>
          <w:highlight w:val="green"/>
          <w:rtl/>
        </w:rPr>
        <mc:AlternateContent>
          <mc:Choice Requires="wps">
            <w:drawing>
              <wp:anchor distT="0" distB="0" distL="114300" distR="114300" simplePos="0" relativeHeight="251734016" behindDoc="1" locked="0" layoutInCell="1" allowOverlap="1" wp14:anchorId="396FABAD" wp14:editId="0C19CDB7">
                <wp:simplePos x="0" y="0"/>
                <wp:positionH relativeFrom="column">
                  <wp:posOffset>-213360</wp:posOffset>
                </wp:positionH>
                <wp:positionV relativeFrom="paragraph">
                  <wp:posOffset>278130</wp:posOffset>
                </wp:positionV>
                <wp:extent cx="5765800" cy="7566660"/>
                <wp:effectExtent l="0" t="0" r="25400" b="15240"/>
                <wp:wrapNone/>
                <wp:docPr id="48" name="מלבן 48"/>
                <wp:cNvGraphicFramePr/>
                <a:graphic xmlns:a="http://schemas.openxmlformats.org/drawingml/2006/main">
                  <a:graphicData uri="http://schemas.microsoft.com/office/word/2010/wordprocessingShape">
                    <wps:wsp>
                      <wps:cNvSpPr/>
                      <wps:spPr>
                        <a:xfrm>
                          <a:off x="0" y="0"/>
                          <a:ext cx="5765800" cy="756666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3BEDF" id="מלבן 48" o:spid="_x0000_s1026" style="position:absolute;left:0;text-align:left;margin-left:-16.8pt;margin-top:21.9pt;width:454pt;height:595.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dGhwIAAAMFAAAOAAAAZHJzL2Uyb0RvYy54bWysVEtu2zAQ3RfoHQjuG9mGHSdC5MBw4KJA&#10;kARIiqxpirIE8FeStuzeovuiPZav00dKcT7NqigX1AxnOJ/HN7q43ClJtsL5xuiCDk8GlAjNTdno&#10;dUG/Piw/nVHiA9Mlk0aLgu6Fp5ezjx8uWpuLkamNLIUjCKJ93tqC1iHYPMs8r4Vi/sRYoWGsjFMs&#10;QHXrrHSsRXQls9FgcJq1xpXWGS68x+lVZ6SzFL+qBA+3VeVFILKgqC2k3aV9FfdsdsHytWO2bnhf&#10;BvuHKhRrNJIeQ12xwMjGNX+FUg13xpsqnHCjMlNVDRepB3QzHLzp5r5mVqReAI63R5j8/wvLb7Z3&#10;jjRlQcd4Kc0U3ujw6/Dz8OPwm+AI+LTW53C7t3eu1zzE2Oyucip+0QbZJUz3R0zFLhCOw8n0dHI2&#10;APQctunkFCuhnj1ft86Hz8IoEoWCOjxawpJtr31ASrg+ucRs3simXDZSJmXvF9KRLcP7ghalaSmR&#10;zAccFnSZVuwBIV5dk5q0oOv5YBIrYyBeJVmAqCyg8HpNCZNrMJoHl2p5ddu79eqYdTyejhbj95LE&#10;oq+Yr7vqUoToxnLVBJBeNqqggAarvy11tIpE2771CH4Hd5RWptzjuZzpeOwtXzZIco2G75gDcdEN&#10;hjHcYqukQYumlyipjfv+3nn0B59gpaTFIKD9bxvmBHD8osG08+F4HCcnKePJdATFvbSsXlr0Ri0M&#10;3mKIsbc8idE/yKfTyhn1iJmdx6wwMc2RuwO6VxahG1BMPRfzeXLDtFgWrvW95TF4xCnC+7B7ZM72&#10;xAng3I15GhqWv+FP5xtvajPfBFM1iVzPuIImUcGkJcL0f4U4yi/15PX875r9AQAA//8DAFBLAwQU&#10;AAYACAAAACEA+J/O8OAAAAALAQAADwAAAGRycy9kb3ducmV2LnhtbEyPwU7DMBBE70j8g7VI3Fq7&#10;TQhViFNRJAQcimhBnN3YOBH2OsRuE/6e5QTH1T7NvKnWk3fsZIbYBZSwmAtgBpugO7QS3l7vZytg&#10;MSnUygU0Er5NhHV9flapUocRd+a0T5ZRCMZSSWhT6kvOY9Mar+I89Abp9xEGrxKdg+V6UCOFe8eX&#10;QhTcqw6poVW9uWtN87k/eglPG/v1/mgXu8K7l3GDD+J5G4SUlxfT7Q2wZKb0B8OvPqlDTU6HcEQd&#10;mZMwy7KCUAl5RhMIWF3nObADkcvsKgdeV/z/hvoHAAD//wMAUEsBAi0AFAAGAAgAAAAhALaDOJL+&#10;AAAA4QEAABMAAAAAAAAAAAAAAAAAAAAAAFtDb250ZW50X1R5cGVzXS54bWxQSwECLQAUAAYACAAA&#10;ACEAOP0h/9YAAACUAQAACwAAAAAAAAAAAAAAAAAvAQAAX3JlbHMvLnJlbHNQSwECLQAUAAYACAAA&#10;ACEAh0r3RocCAAADBQAADgAAAAAAAAAAAAAAAAAuAgAAZHJzL2Uyb0RvYy54bWxQSwECLQAUAAYA&#10;CAAAACEA+J/O8OAAAAALAQAADwAAAAAAAAAAAAAAAADhBAAAZHJzL2Rvd25yZXYueG1sUEsFBgAA&#10;AAAEAAQA8wAAAO4FAAAAAA==&#10;" fillcolor="window" strokecolor="#4472c4" strokeweight="1.5pt"/>
            </w:pict>
          </mc:Fallback>
        </mc:AlternateContent>
      </w:r>
    </w:p>
    <w:p w:rsidR="00A527D5" w:rsidRPr="005A2C37" w:rsidRDefault="00A527D5" w:rsidP="00A527D5">
      <w:pPr>
        <w:spacing w:line="276" w:lineRule="exact"/>
        <w:jc w:val="center"/>
        <w:rPr>
          <w:b/>
          <w:bCs/>
          <w:sz w:val="24"/>
          <w:szCs w:val="24"/>
          <w:rtl/>
        </w:rPr>
      </w:pPr>
      <w:r w:rsidRPr="005A2C37">
        <w:rPr>
          <w:rFonts w:hint="cs"/>
          <w:b/>
          <w:bCs/>
          <w:sz w:val="24"/>
          <w:szCs w:val="24"/>
          <w:rtl/>
        </w:rPr>
        <w:t>מקורות</w:t>
      </w:r>
    </w:p>
    <w:p w:rsidR="00A527D5" w:rsidRDefault="00A527D5" w:rsidP="00A527D5">
      <w:pPr>
        <w:spacing w:line="276" w:lineRule="exact"/>
        <w:rPr>
          <w:sz w:val="24"/>
          <w:szCs w:val="24"/>
          <w:rtl/>
        </w:rPr>
      </w:pPr>
      <w:r w:rsidRPr="005A2C37">
        <w:rPr>
          <w:rFonts w:hint="cs"/>
          <w:sz w:val="24"/>
          <w:szCs w:val="24"/>
          <w:rtl/>
        </w:rPr>
        <w:t>א. ויקרא פרק טז פס' יז</w:t>
      </w:r>
      <w:r>
        <w:rPr>
          <w:rFonts w:hint="cs"/>
          <w:sz w:val="24"/>
          <w:szCs w:val="24"/>
          <w:rtl/>
        </w:rPr>
        <w:t>; בכור שור, שם</w:t>
      </w:r>
    </w:p>
    <w:p w:rsidR="00A527D5" w:rsidRDefault="00A527D5" w:rsidP="00A527D5">
      <w:pPr>
        <w:spacing w:line="276" w:lineRule="exact"/>
        <w:rPr>
          <w:sz w:val="24"/>
          <w:szCs w:val="24"/>
          <w:rtl/>
        </w:rPr>
      </w:pPr>
      <w:r>
        <w:rPr>
          <w:rFonts w:hint="cs"/>
          <w:sz w:val="24"/>
          <w:szCs w:val="24"/>
          <w:rtl/>
        </w:rPr>
        <w:t>ב. גמ' יומא מג:-מד: "תנו רבנן וכל אדם... שתי קדושות"</w:t>
      </w:r>
    </w:p>
    <w:p w:rsidR="00A527D5" w:rsidRDefault="00A527D5" w:rsidP="00A527D5">
      <w:pPr>
        <w:spacing w:line="276" w:lineRule="exact"/>
        <w:rPr>
          <w:sz w:val="24"/>
          <w:szCs w:val="24"/>
          <w:rtl/>
        </w:rPr>
      </w:pPr>
      <w:r>
        <w:rPr>
          <w:rFonts w:hint="cs"/>
          <w:sz w:val="24"/>
          <w:szCs w:val="24"/>
          <w:rtl/>
        </w:rPr>
        <w:t>ג. רש"י יומא מד: ד"ה קדושת היכל</w:t>
      </w:r>
    </w:p>
    <w:p w:rsidR="00A527D5" w:rsidRDefault="00A527D5" w:rsidP="00A527D5">
      <w:pPr>
        <w:spacing w:line="276" w:lineRule="exact"/>
        <w:rPr>
          <w:sz w:val="24"/>
          <w:szCs w:val="24"/>
          <w:rtl/>
        </w:rPr>
      </w:pPr>
      <w:r>
        <w:rPr>
          <w:rFonts w:hint="cs"/>
          <w:sz w:val="24"/>
          <w:szCs w:val="24"/>
          <w:rtl/>
        </w:rPr>
        <w:t>ד. ביאור הרי"פ פערלא לספר המצוות לרס"ג, לאוין ל"ת קפג</w:t>
      </w:r>
    </w:p>
    <w:p w:rsidR="00A527D5" w:rsidRPr="005A2C37" w:rsidRDefault="00A527D5" w:rsidP="00A527D5">
      <w:pPr>
        <w:spacing w:line="276" w:lineRule="exact"/>
        <w:rPr>
          <w:sz w:val="24"/>
          <w:szCs w:val="24"/>
          <w:rtl/>
        </w:rPr>
      </w:pPr>
      <w:r>
        <w:rPr>
          <w:rFonts w:hint="cs"/>
          <w:sz w:val="24"/>
          <w:szCs w:val="24"/>
          <w:rtl/>
        </w:rPr>
        <w:t>ה. שיעורי הגרי"ד, הלכות יום הכיפורים, עמ' צא-צב</w:t>
      </w:r>
    </w:p>
    <w:p w:rsidR="00A527D5" w:rsidRPr="00403FB1" w:rsidRDefault="00A527D5" w:rsidP="00A527D5">
      <w:pPr>
        <w:spacing w:line="276" w:lineRule="exact"/>
        <w:rPr>
          <w:sz w:val="24"/>
          <w:szCs w:val="24"/>
          <w:highlight w:val="green"/>
          <w:rtl/>
        </w:rPr>
      </w:pPr>
    </w:p>
    <w:p w:rsidR="00A527D5" w:rsidRPr="00BD74C3" w:rsidRDefault="00A527D5" w:rsidP="00A527D5">
      <w:pPr>
        <w:spacing w:line="276" w:lineRule="exact"/>
        <w:rPr>
          <w:rFonts w:ascii="FrankRuehl" w:hAnsi="FrankRuehl" w:cs="FrankRuehl"/>
          <w:b/>
          <w:bCs/>
          <w:sz w:val="24"/>
          <w:szCs w:val="24"/>
          <w:rtl/>
        </w:rPr>
      </w:pPr>
      <w:r>
        <w:rPr>
          <w:rFonts w:ascii="FrankRuehl" w:hAnsi="FrankRuehl" w:cs="FrankRuehl" w:hint="cs"/>
          <w:b/>
          <w:bCs/>
          <w:sz w:val="24"/>
          <w:szCs w:val="24"/>
          <w:rtl/>
        </w:rPr>
        <w:t>בכור שור ויקרא טז, יז</w:t>
      </w:r>
    </w:p>
    <w:p w:rsidR="00A527D5" w:rsidRPr="00BD74C3" w:rsidRDefault="00A527D5" w:rsidP="00A527D5">
      <w:pPr>
        <w:spacing w:line="276" w:lineRule="exact"/>
        <w:rPr>
          <w:rFonts w:ascii="FrankRuehl" w:hAnsi="FrankRuehl" w:cs="FrankRuehl"/>
          <w:sz w:val="24"/>
          <w:szCs w:val="24"/>
          <w:highlight w:val="green"/>
          <w:rtl/>
        </w:rPr>
      </w:pPr>
      <w:r w:rsidRPr="00BD74C3">
        <w:rPr>
          <w:rFonts w:ascii="FrankRuehl" w:hAnsi="FrankRuehl" w:cs="FrankRuehl"/>
          <w:sz w:val="24"/>
          <w:szCs w:val="24"/>
          <w:rtl/>
        </w:rPr>
        <w:t xml:space="preserve">וכל אדם לא יהיה באהל </w:t>
      </w:r>
      <w:r>
        <w:rPr>
          <w:rFonts w:ascii="FrankRuehl" w:hAnsi="FrankRuehl" w:cs="FrankRuehl" w:hint="cs"/>
          <w:sz w:val="24"/>
          <w:szCs w:val="24"/>
          <w:rtl/>
        </w:rPr>
        <w:t>-</w:t>
      </w:r>
      <w:r w:rsidRPr="00BD74C3">
        <w:rPr>
          <w:rFonts w:ascii="FrankRuehl" w:hAnsi="FrankRuehl" w:cs="FrankRuehl"/>
          <w:sz w:val="24"/>
          <w:szCs w:val="24"/>
          <w:rtl/>
        </w:rPr>
        <w:t xml:space="preserve"> מפני אימת השכינה שבאה בענן הקטרת, כדכתיב: 'כי בענן אראה על הכפרת'. וגם שלא יזונו עיניהם מבית קדשי הקדשים כשהוא פותח פתח האמה טרקסון ליכנס.</w:t>
      </w:r>
    </w:p>
    <w:p w:rsidR="00A527D5" w:rsidRDefault="00A527D5" w:rsidP="00A527D5">
      <w:pPr>
        <w:spacing w:line="276" w:lineRule="exact"/>
        <w:rPr>
          <w:rFonts w:ascii="FrankRuehl" w:hAnsi="FrankRuehl" w:cs="FrankRuehl"/>
          <w:b/>
          <w:bCs/>
          <w:sz w:val="24"/>
          <w:szCs w:val="24"/>
          <w:rtl/>
        </w:rPr>
      </w:pPr>
    </w:p>
    <w:p w:rsidR="00A527D5" w:rsidRPr="005A2C37" w:rsidRDefault="00A527D5" w:rsidP="00A527D5">
      <w:pPr>
        <w:spacing w:line="276" w:lineRule="exact"/>
        <w:rPr>
          <w:rFonts w:ascii="FrankRuehl" w:hAnsi="FrankRuehl" w:cs="FrankRuehl"/>
          <w:b/>
          <w:bCs/>
          <w:sz w:val="24"/>
          <w:szCs w:val="24"/>
          <w:rtl/>
        </w:rPr>
      </w:pPr>
      <w:r w:rsidRPr="005A2C37">
        <w:rPr>
          <w:rFonts w:ascii="FrankRuehl" w:hAnsi="FrankRuehl" w:cs="FrankRuehl"/>
          <w:b/>
          <w:bCs/>
          <w:sz w:val="24"/>
          <w:szCs w:val="24"/>
          <w:rtl/>
        </w:rPr>
        <w:t>ביאור</w:t>
      </w:r>
      <w:r w:rsidRPr="005A2C37">
        <w:rPr>
          <w:rFonts w:ascii="FrankRuehl" w:hAnsi="FrankRuehl" w:cs="FrankRuehl" w:hint="cs"/>
          <w:b/>
          <w:bCs/>
          <w:sz w:val="24"/>
          <w:szCs w:val="24"/>
          <w:rtl/>
        </w:rPr>
        <w:t xml:space="preserve"> הרי"פ פערלא ל</w:t>
      </w:r>
      <w:r w:rsidRPr="005A2C37">
        <w:rPr>
          <w:rFonts w:ascii="FrankRuehl" w:hAnsi="FrankRuehl" w:cs="FrankRuehl"/>
          <w:b/>
          <w:bCs/>
          <w:sz w:val="24"/>
          <w:szCs w:val="24"/>
          <w:rtl/>
        </w:rPr>
        <w:t>ספר המצוות לרס"</w:t>
      </w:r>
      <w:r w:rsidRPr="005A2C37">
        <w:rPr>
          <w:rFonts w:ascii="FrankRuehl" w:hAnsi="FrankRuehl" w:cs="FrankRuehl" w:hint="cs"/>
          <w:b/>
          <w:bCs/>
          <w:sz w:val="24"/>
          <w:szCs w:val="24"/>
          <w:rtl/>
        </w:rPr>
        <w:t xml:space="preserve">ג, </w:t>
      </w:r>
      <w:r w:rsidRPr="005A2C37">
        <w:rPr>
          <w:rFonts w:ascii="FrankRuehl" w:hAnsi="FrankRuehl" w:cs="FrankRuehl"/>
          <w:b/>
          <w:bCs/>
          <w:sz w:val="24"/>
          <w:szCs w:val="24"/>
          <w:rtl/>
        </w:rPr>
        <w:t>לאוין ל"ת קפג</w:t>
      </w:r>
    </w:p>
    <w:p w:rsidR="00A527D5" w:rsidRPr="005A2C37" w:rsidRDefault="00A527D5" w:rsidP="00A527D5">
      <w:pPr>
        <w:spacing w:line="276" w:lineRule="exact"/>
        <w:rPr>
          <w:rFonts w:ascii="FrankRuehl" w:hAnsi="FrankRuehl" w:cs="FrankRuehl"/>
          <w:sz w:val="24"/>
          <w:szCs w:val="24"/>
          <w:rtl/>
        </w:rPr>
      </w:pPr>
      <w:r w:rsidRPr="005A2C37">
        <w:rPr>
          <w:rFonts w:ascii="FrankRuehl" w:hAnsi="FrankRuehl" w:cs="FrankRuehl"/>
          <w:sz w:val="24"/>
          <w:szCs w:val="24"/>
          <w:rtl/>
        </w:rPr>
        <w:t>וע"פ מה שביארנו יתבאר מה שכבר נתעוררו רבים לתמוה על כל מוני המצות שלא מנו במנין הלאוין הלאו המפורש בתורה (בפרשת אחרי) וכל אדם לא יהיה באהל מועד בבואו לכפר בקודש עד צאתו. והוא אזהרה שלא יהא שום אדם בהיכל בשעה שמקטירין קטורת בכל יום. וביוה"כ כשמקטיר כה"ג לפני ולפנים. ובשעת מתן דמים של חטאות הפנימיות. כדאמרינן ביומא (פרק טרף בקלפי מ"ד ע"א) עיין שם וברמב"ם (פ"ג מהלכות תמידין. ובפ"ד מהלכות עבודת יוה"כ) עיין שם. והוא דבר מתמיה. ולא ראיתי מי שעלה בידו לסלק תמיהא זו אפילו במקצת.</w:t>
      </w:r>
      <w:r w:rsidRPr="005A2C37">
        <w:rPr>
          <w:rFonts w:ascii="FrankRuehl" w:hAnsi="FrankRuehl" w:cs="FrankRuehl" w:hint="cs"/>
          <w:sz w:val="24"/>
          <w:szCs w:val="24"/>
          <w:rtl/>
        </w:rPr>
        <w:t>..</w:t>
      </w:r>
    </w:p>
    <w:p w:rsidR="00A527D5" w:rsidRPr="005A2C37" w:rsidRDefault="00A527D5" w:rsidP="00A527D5">
      <w:pPr>
        <w:spacing w:line="276" w:lineRule="exact"/>
        <w:rPr>
          <w:rFonts w:ascii="FrankRuehl" w:hAnsi="FrankRuehl" w:cs="FrankRuehl"/>
          <w:sz w:val="24"/>
          <w:szCs w:val="24"/>
          <w:rtl/>
        </w:rPr>
      </w:pPr>
      <w:r w:rsidRPr="005A2C37">
        <w:rPr>
          <w:rFonts w:ascii="FrankRuehl" w:hAnsi="FrankRuehl" w:cs="FrankRuehl"/>
          <w:sz w:val="24"/>
          <w:szCs w:val="24"/>
          <w:rtl/>
        </w:rPr>
        <w:t>והנראה בזה ע"פ מאי דאמרינן ביומא (פרק טרף בקלפי מ"ד ע"א) תני רב חנניא למדנו לקטורת שמכפרת שנאמר ויתן את הקטורת ויכפר על העם ותנא דבי רבי ישמעאל על מה הקטורת מכפרת. על לשון הרע. יבא דבר שבחשאי ויכפר על מעשה חשאי. ופירש"י. וז"ל סתם לשון הרע בחשאי הוא עיין שם. ומשמע מזה דדבר שבחשאי הו"ל דומיא דמעשה חשאי מה מעשה חשאי. דהיינו לשון הרע. העושה המעשה. דהיינו המדבר לשון הרע. הוא נזהר לעשות מעשיו בחשאי שלא ישמעו אחרים את דבריו. ובכך יתודע הדבר להאיש שדיבר עליו רעות שהוא המדבר. אף דבר שבחשאי דהיינו קטורת על העושה המעשה דהיינו המקטיר. הוא שמוטל עליו שלא יקטיר אלא בחשאי. ולא יהיה כל אדם באהל מועד בבואו להקטיר. אבל אחרים לא הוזהרו מלהיות שם בשעת הקטרה. וא"כ אין זה אלא אחד מדקדוקי מצות הקטרה שצריכה להיות דוקא בחשאי. והכי נמי משמע לישנא דקרא דכתיב וכל אדם לא יהיה באהל מועד בבואו לכפר בקדש עד צאתו. דמשמע ודאי דכך היא עבודה זו בענין שלא יהיה שם אדם משום דהו"ל דבר שבחשאי. אבל אין אדם מוזהר על כך שלא יהיה שם. דא"כ הכי הו"ל למיכתב וכל אדם יצא מאהל מועד וגו'. או וכל אדם לא יראה באה"מ או לא יבא באהל מועד וגו'. אלא ודאי אינו אלא מדקדוקי העבודה ועל המקטיר הוא שהטיל הכתוב שלא להקטיר אלא בחשאי כשאין אדם שם דומיא דמעשה חשאי דבעל המעשה הוא צריך להזהר לעשות בחשאי ולא הרואה והשומע ממנו. ולכן אמרו יבא דבר שבחשאי ויכפר על מעשה חשאי. דמשמע דשניהם בענין אחד ממש הם</w:t>
      </w:r>
      <w:r w:rsidRPr="005A2C37">
        <w:rPr>
          <w:rFonts w:ascii="FrankRuehl" w:hAnsi="FrankRuehl" w:cs="FrankRuehl" w:hint="cs"/>
          <w:sz w:val="24"/>
          <w:szCs w:val="24"/>
          <w:rtl/>
        </w:rPr>
        <w:t>...</w:t>
      </w:r>
    </w:p>
    <w:p w:rsidR="00A527D5" w:rsidRDefault="00A527D5" w:rsidP="00A527D5">
      <w:pPr>
        <w:spacing w:line="276" w:lineRule="exact"/>
        <w:rPr>
          <w:rFonts w:ascii="FrankRuehl" w:hAnsi="FrankRuehl" w:cs="FrankRuehl"/>
          <w:sz w:val="24"/>
          <w:szCs w:val="24"/>
          <w:rtl/>
        </w:rPr>
      </w:pPr>
      <w:r w:rsidRPr="005A2C37">
        <w:rPr>
          <w:rFonts w:ascii="FrankRuehl" w:hAnsi="FrankRuehl" w:cs="FrankRuehl"/>
          <w:sz w:val="24"/>
          <w:szCs w:val="24"/>
          <w:rtl/>
        </w:rPr>
        <w:t xml:space="preserve">ועכ"פ מתבאר לנו עפ"ז דקרא דוכל אדם לא יהיה באהל מועד לא אתי לאזהרה להנכנסים שם. אלא אינו אלא אחד מדקדוקי עבודת הקטורת ומתן דמים בפנים. ונראה להביא ראיה לזה מדברי הירושלמי (פ"ה דיומא ה"ב) דגרסינן התם ארבעים שנה שימש שמעון הצדיק את ישראל בכהונה גדולה. ובשנה האחרונה אמר להם בשנה </w:t>
      </w:r>
      <w:r w:rsidR="00782FFD" w:rsidRPr="00403FB1">
        <w:rPr>
          <w:noProof/>
          <w:highlight w:val="green"/>
          <w:rtl/>
        </w:rPr>
        <w:lastRenderedPageBreak/>
        <mc:AlternateContent>
          <mc:Choice Requires="wps">
            <w:drawing>
              <wp:anchor distT="0" distB="0" distL="114300" distR="114300" simplePos="0" relativeHeight="251749376" behindDoc="1" locked="0" layoutInCell="1" allowOverlap="1" wp14:anchorId="6A222231" wp14:editId="3A869D53">
                <wp:simplePos x="0" y="0"/>
                <wp:positionH relativeFrom="margin">
                  <wp:align>center</wp:align>
                </wp:positionH>
                <wp:positionV relativeFrom="paragraph">
                  <wp:posOffset>-190500</wp:posOffset>
                </wp:positionV>
                <wp:extent cx="5684520" cy="5158740"/>
                <wp:effectExtent l="0" t="0" r="11430" b="22860"/>
                <wp:wrapNone/>
                <wp:docPr id="49" name="מלבן 49"/>
                <wp:cNvGraphicFramePr/>
                <a:graphic xmlns:a="http://schemas.openxmlformats.org/drawingml/2006/main">
                  <a:graphicData uri="http://schemas.microsoft.com/office/word/2010/wordprocessingShape">
                    <wps:wsp>
                      <wps:cNvSpPr/>
                      <wps:spPr>
                        <a:xfrm>
                          <a:off x="0" y="0"/>
                          <a:ext cx="5684520" cy="51587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79F5" id="מלבן 49" o:spid="_x0000_s1026" style="position:absolute;left:0;text-align:left;margin-left:0;margin-top:-15pt;width:447.6pt;height:406.2pt;z-index:-251567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fBiQIAAAMFAAAOAAAAZHJzL2Uyb0RvYy54bWysVMtuGjEU3VfqP1jeNwNoSMgoQ4SIqCpF&#10;SaSkytp4PDCSX7UNA/2L7qv2s/idHnsm5NGsqrIwvg/fx7nnzsXlTkmyFc43Rpd0eDKgRGhuqkav&#10;Svr1YfFpQokPTFdMGi1KuheeXk4/frhobSFGZm1kJRxBEO2L1pZ0HYItsszztVDMnxgrNIy1cYoF&#10;iG6VVY61iK5kNhoMTrPWuMo6w4X30F51RjpN8eta8HBb114EIkuK2kI6XTqX8cymF6xYOWbXDe/L&#10;YP9QhWKNRtJjqCsWGNm45q9QquHOeFOHE25UZuq64SL1gG6Ggzfd3K+ZFakXgOPtESb//8Lym+2d&#10;I01V0vycEs0UZnT4dfh5+HH4TaACPq31Bdzu7Z3rJY9rbHZXOxX/0QbZJUz3R0zFLhAO5fh0ko9H&#10;gJ7DNh6OJ2d5Qj17fm6dD5+FUSReSuowtIQl2177gJRwfXKJ2byRTbVopEzC3s+lI1uG+YIWlWkp&#10;kcwHKEu6SL/YA0K8eiY1aUHX88E4VsZAvFqygKuygMLrFSVMrsBoHlyq5dVr71bLY9Y8PxvN8/eS&#10;xKKvmF931aUI0Y0VqgkgvWxUSSeD+OtfSx2tItG2bz2C38Edb0tT7TEuZzoee8sXDZJco+E75kBc&#10;dINlDLc4amnQoulvlKyN+/6ePvqDT7BS0mIR0P63DXMCOH7RYNr5MMfESEhCPj6Ls3QvLcuXFr1R&#10;c4NZDLH2lqdr9A/ySVs7ox6xs7OYFSamOXJ3QPfCPHQLiq3nYjZLbtgWy8K1vrc8Bo84RXgfdo/M&#10;2Z44AZy7MU9Lw4o3/Ol840ttZptg6iaR6xlX0CQK2LREmP6rEFf5pZy8nr9d0z8AAAD//wMAUEsD&#10;BBQABgAIAAAAIQBA6f9n3wAAAAgBAAAPAAAAZHJzL2Rvd25yZXYueG1sTI/BTsMwEETvSPyDtUjc&#10;WrsBSgjZVBQJAQcQLYizG5skwl6H2G3C37Oc4DarWc28KVeTd+Jgh9gFQljMFQhLdTAdNQhvr3ez&#10;HERMmox2gSzCt42wqo6PSl2YMNLGHrapERxCsdAIbUp9IWWsW+t1nIfeEnsfYfA68Tk00gx65HDv&#10;ZKbUUnrdETe0ure3ra0/t3uP8Lhuvt4fmsVm6d3LuKZ79fwUFOLpyXRzDSLZKf09wy8+o0PFTLuw&#10;JxOFQ+AhCWF2pliwnV9dZCB2CJd5dg6yKuX/AdUPAAAA//8DAFBLAQItABQABgAIAAAAIQC2gziS&#10;/gAAAOEBAAATAAAAAAAAAAAAAAAAAAAAAABbQ29udGVudF9UeXBlc10ueG1sUEsBAi0AFAAGAAgA&#10;AAAhADj9If/WAAAAlAEAAAsAAAAAAAAAAAAAAAAALwEAAF9yZWxzLy5yZWxzUEsBAi0AFAAGAAgA&#10;AAAhAB4HR8GJAgAAAwUAAA4AAAAAAAAAAAAAAAAALgIAAGRycy9lMm9Eb2MueG1sUEsBAi0AFAAG&#10;AAgAAAAhAEDp/2ffAAAACAEAAA8AAAAAAAAAAAAAAAAA4wQAAGRycy9kb3ducmV2LnhtbFBLBQYA&#10;AAAABAAEAPMAAADvBQAAAAA=&#10;" fillcolor="window" strokecolor="#4472c4" strokeweight="1.5pt">
                <w10:wrap anchorx="margin"/>
              </v:rect>
            </w:pict>
          </mc:Fallback>
        </mc:AlternateContent>
      </w:r>
      <w:r w:rsidRPr="005A2C37">
        <w:rPr>
          <w:rFonts w:ascii="FrankRuehl" w:hAnsi="FrankRuehl" w:cs="FrankRuehl"/>
          <w:sz w:val="24"/>
          <w:szCs w:val="24"/>
          <w:rtl/>
        </w:rPr>
        <w:t>הזאת אני מת. אמרו לו מהיכן אתה יודע. אמר להם כל שנה ושנה שהייתי נכנס לבית היה זקן אחד נכנס עמי ויוצא עמי. ובשנה הזאת נכנס עמי ולא יצא עמי. בעון קומי רבי אבהו והכתיב וכל אדם לא יהיה באהל מועד וגו' אפילו אותן שכתוב בהן ודמות פניהם פני אדם לא יהיו באהל מועד. א"נ מי אמר לי דהוה בר נש אני אומר דהקב"ה היה עיין שם. והשתא אם איתא דהך קרא הוא אזהרה להנכנסין. מאי פריך אטו תורה ניתנה למלאכים שיהיו מוזהרים באזהרות שבתורה. תורה לא ניתנ' אלא לישראל ואין מלאכים מוזהרים עליה ועי' בשבת (פרק רבי עקיבא פ"ח ע"ב) ובפסיקתא רבתי (סוף פרשה כ"ו) עייש"ה. ומהאי טעמא קשה ג"כ בעיקר הך דרשא דירושלמי. דאם איתא דהך קרא לאזהרה לנכנסין הוא דאתי. היכי שייך לרבות מלאכים בכלל אזהרה זו כיון דלא ניתנה תורה למלאכים כלל אלא לישראל. אלא ודאי מוכרח מזה דהך קרא דוכל אדם לא יהיה באה"מ אינו אלא אחד מדקדוקי עבודת הקטרה ומתן דמים. ועל העובד הוא דרמיא מילתא שלא יקטיר ולא יזה אלא בחשאי כשאין שום אדם שם. ולענין זה הוא דקמרבינן בירושלמי אפילו אותן שכתוב בהן ודמות פניהם פני אדם. לומר דגם המלאכים בהיותם שם פוסלין ההקטרה. והיינו דפריך התם על שמעון הצדיק שהקטיר ועשה מתן דמים לפני ולפנים כשהיה עמו אותו זקן אף על פי שידע דמלאך הוה. ועל זה משני ליה שפיר דהקב"ה הוה. כלומר שהיה ידוע כך לשמעון הצדיק דזה היה הקדוש ברוך הוא בכבודו ובעצמו. וכיו"ב בפ"ק דברכות (ז' ע"א) עיין שם. ופשיטא דבזה לא</w:t>
      </w:r>
      <w:r>
        <w:rPr>
          <w:rFonts w:ascii="FrankRuehl" w:hAnsi="FrankRuehl" w:cs="FrankRuehl"/>
          <w:sz w:val="24"/>
          <w:szCs w:val="24"/>
          <w:rtl/>
        </w:rPr>
        <w:t xml:space="preserve"> שייך קרא דוכל אדם לא יהיה וגו'</w:t>
      </w:r>
      <w:r>
        <w:rPr>
          <w:rFonts w:ascii="FrankRuehl" w:hAnsi="FrankRuehl" w:cs="FrankRuehl" w:hint="cs"/>
          <w:sz w:val="24"/>
          <w:szCs w:val="24"/>
          <w:rtl/>
        </w:rPr>
        <w:t>.</w:t>
      </w:r>
    </w:p>
    <w:p w:rsidR="00A527D5" w:rsidRDefault="00A527D5" w:rsidP="00A527D5">
      <w:pPr>
        <w:spacing w:line="276" w:lineRule="exact"/>
        <w:rPr>
          <w:rFonts w:ascii="FrankRuehl" w:hAnsi="FrankRuehl" w:cs="FrankRuehl"/>
          <w:sz w:val="24"/>
          <w:szCs w:val="24"/>
          <w:rtl/>
        </w:rPr>
      </w:pPr>
    </w:p>
    <w:p w:rsidR="00A527D5" w:rsidRDefault="00A527D5" w:rsidP="00A527D5">
      <w:pPr>
        <w:spacing w:line="276" w:lineRule="exact"/>
        <w:rPr>
          <w:rFonts w:ascii="FrankRuehl" w:hAnsi="FrankRuehl" w:cs="FrankRuehl"/>
          <w:b/>
          <w:bCs/>
          <w:sz w:val="24"/>
          <w:szCs w:val="24"/>
          <w:rtl/>
        </w:rPr>
      </w:pPr>
      <w:r>
        <w:rPr>
          <w:rFonts w:ascii="FrankRuehl" w:hAnsi="FrankRuehl" w:cs="FrankRuehl" w:hint="cs"/>
          <w:b/>
          <w:bCs/>
          <w:sz w:val="24"/>
          <w:szCs w:val="24"/>
          <w:rtl/>
        </w:rPr>
        <w:t>שיעורי הגרי"ד, עבודת יום הכיפורים, עמ' צא-צב</w:t>
      </w:r>
    </w:p>
    <w:p w:rsidR="00A527D5" w:rsidRDefault="00A527D5" w:rsidP="00A527D5">
      <w:pPr>
        <w:spacing w:line="276" w:lineRule="exact"/>
        <w:rPr>
          <w:rFonts w:ascii="FrankRuehl" w:hAnsi="FrankRuehl" w:cs="FrankRuehl"/>
          <w:sz w:val="24"/>
          <w:szCs w:val="24"/>
          <w:rtl/>
        </w:rPr>
      </w:pPr>
      <w:r w:rsidRPr="005A2C37">
        <w:rPr>
          <w:rFonts w:ascii="FrankRuehl" w:hAnsi="FrankRuehl" w:cs="FrankRuehl"/>
          <w:sz w:val="24"/>
          <w:szCs w:val="24"/>
          <w:rtl/>
        </w:rPr>
        <w:t>חובת הפרישה הוזכרה על ידי הרמב"ם בהל' עבודת יוה"כ (פ"ד ה"ב) ובהל' תמידין ומוספין (פ"ג ה"ג) ביחס להקטרת הקטורת ומתן דמים בהיכל, אך לא הובאה בהל' ביאת מקדש, אשר שם לכאורה מקומה. ובטעם הדבר שמעתי מאבא מארי זצ"ל, שלא נקבע כאן איסור גברא דביאת מקדש, אלא דין בסדר וצורת העבודה, שהיא צריכה להתבצע בהעדר כל אדם.</w:t>
      </w:r>
      <w:r>
        <w:rPr>
          <w:rFonts w:ascii="FrankRuehl" w:hAnsi="FrankRuehl" w:cs="FrankRuehl" w:hint="cs"/>
          <w:sz w:val="24"/>
          <w:szCs w:val="24"/>
          <w:rtl/>
        </w:rPr>
        <w:t xml:space="preserve"> והביא ראיה עצומה לכך מדברי הירושלמי (פ"ה ה"ב) ביחס לזקן לבוש ועטוף הלבנים שהיה מלווה את שמעון הצדיק בכניסתו ויציאתו מקודש הקדשים: 'בעון קומי רבי אבהו: והכתיב 'וכל אדם לא יהיה באהל מועד בבאו לכפר בקודש עד צאתו', אפילו אותן שכתוב בהן 'ודמות פניהם פני אדם', לא יהיו באהל מועד. אמר לון: מה אמר לי דהוה בר נש, אני אומר הקב"ה היה'. והרי איסורים לא שייכים כלל ביחס למלאכים, שהרי לא ניתנה תורה למלאכי השרת. על כרחנו, אם כך, שלא נאסרה נוכחות אדם מפאת איסור הכניסה אלא מצד טיב ודרך העבודה.</w:t>
      </w:r>
    </w:p>
    <w:p w:rsidR="00A527D5" w:rsidRPr="005A2C37" w:rsidRDefault="00A527D5" w:rsidP="00A527D5">
      <w:pPr>
        <w:spacing w:line="276" w:lineRule="exact"/>
        <w:rPr>
          <w:rFonts w:ascii="FrankRuehl" w:hAnsi="FrankRuehl" w:cs="FrankRuehl"/>
          <w:sz w:val="24"/>
          <w:szCs w:val="24"/>
          <w:rtl/>
        </w:rPr>
      </w:pPr>
    </w:p>
    <w:p w:rsidR="00A527D5" w:rsidRDefault="00A527D5" w:rsidP="00A527D5">
      <w:pPr>
        <w:spacing w:line="276" w:lineRule="exact"/>
        <w:rPr>
          <w:rFonts w:ascii="FrankRuehl" w:hAnsi="FrankRuehl" w:cs="FrankRuehl"/>
          <w:b/>
          <w:bCs/>
          <w:sz w:val="24"/>
          <w:szCs w:val="24"/>
          <w:highlight w:val="green"/>
          <w:rtl/>
        </w:rPr>
      </w:pPr>
    </w:p>
    <w:p w:rsidR="00A527D5" w:rsidRDefault="00A527D5" w:rsidP="00A527D5">
      <w:pPr>
        <w:spacing w:before="200" w:line="276" w:lineRule="exact"/>
        <w:ind w:firstLine="227"/>
        <w:rPr>
          <w:sz w:val="24"/>
          <w:szCs w:val="24"/>
          <w:rtl/>
        </w:rPr>
      </w:pPr>
      <w:r>
        <w:rPr>
          <w:rFonts w:hint="cs"/>
          <w:sz w:val="24"/>
          <w:szCs w:val="24"/>
          <w:rtl/>
        </w:rPr>
        <w:t>בפרשת אחרי מות מפרטת את התורה סדר עבודת הכהן הגדול ביום הכיפורים. לאחר תיאור הקטרת הקטורת בקודש הקדשים והזאת הדמים בקודש הקדשים ובהיכל, אומרת התורה:</w:t>
      </w:r>
    </w:p>
    <w:p w:rsidR="00A527D5" w:rsidRPr="003B3199" w:rsidRDefault="00A527D5" w:rsidP="00A527D5">
      <w:pPr>
        <w:spacing w:before="200" w:line="276" w:lineRule="exact"/>
        <w:ind w:left="720"/>
        <w:rPr>
          <w:sz w:val="20"/>
          <w:szCs w:val="20"/>
          <w:rtl/>
        </w:rPr>
      </w:pPr>
      <w:r>
        <w:rPr>
          <w:rFonts w:hint="cs"/>
          <w:sz w:val="24"/>
          <w:szCs w:val="24"/>
          <w:rtl/>
        </w:rPr>
        <w:t>ו</w:t>
      </w:r>
      <w:r w:rsidRPr="003B3199">
        <w:rPr>
          <w:sz w:val="24"/>
          <w:szCs w:val="24"/>
          <w:rtl/>
        </w:rPr>
        <w:t>כל אדם לא יהיה באהל מועד בבאו לכפר בקדש עד צאתו</w:t>
      </w:r>
      <w:r>
        <w:rPr>
          <w:rFonts w:hint="cs"/>
          <w:sz w:val="24"/>
          <w:szCs w:val="24"/>
          <w:rtl/>
        </w:rPr>
        <w:t>,</w:t>
      </w:r>
      <w:r w:rsidRPr="003B3199">
        <w:rPr>
          <w:sz w:val="24"/>
          <w:szCs w:val="24"/>
          <w:rtl/>
        </w:rPr>
        <w:t xml:space="preserve"> וכפר בעדו ובעד ביתו ובעד כל קהל ישראל</w:t>
      </w:r>
      <w:r>
        <w:rPr>
          <w:rFonts w:hint="cs"/>
          <w:sz w:val="24"/>
          <w:szCs w:val="24"/>
          <w:rtl/>
        </w:rPr>
        <w:t xml:space="preserve">. </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[ויקרא טז, יז]</w:t>
      </w:r>
    </w:p>
    <w:p w:rsidR="00A527D5" w:rsidRDefault="00A527D5" w:rsidP="00A527D5">
      <w:pPr>
        <w:spacing w:before="200" w:line="276" w:lineRule="exact"/>
        <w:ind w:firstLine="227"/>
        <w:rPr>
          <w:sz w:val="24"/>
          <w:szCs w:val="24"/>
          <w:rtl/>
        </w:rPr>
      </w:pPr>
      <w:r>
        <w:rPr>
          <w:rFonts w:hint="cs"/>
          <w:sz w:val="24"/>
          <w:szCs w:val="24"/>
          <w:rtl/>
        </w:rPr>
        <w:t xml:space="preserve">מכתוב זה לומדים חז"ל </w:t>
      </w:r>
      <w:r>
        <w:rPr>
          <w:rFonts w:hint="cs"/>
          <w:sz w:val="20"/>
          <w:szCs w:val="20"/>
          <w:rtl/>
        </w:rPr>
        <w:t>[יומא מד.]</w:t>
      </w:r>
      <w:r>
        <w:rPr>
          <w:rFonts w:hint="cs"/>
          <w:sz w:val="24"/>
          <w:szCs w:val="24"/>
          <w:rtl/>
        </w:rPr>
        <w:t xml:space="preserve"> על איסור להימצא בהיכל בשעת הקטרת הקטורת ובשעת מתן הדמים בהיכל. </w:t>
      </w:r>
    </w:p>
    <w:p w:rsidR="00A527D5" w:rsidRDefault="00A527D5" w:rsidP="00A527D5">
      <w:pPr>
        <w:spacing w:before="200" w:line="276" w:lineRule="exact"/>
        <w:ind w:firstLine="227"/>
        <w:rPr>
          <w:sz w:val="24"/>
          <w:szCs w:val="24"/>
          <w:rtl/>
        </w:rPr>
      </w:pPr>
      <w:r>
        <w:rPr>
          <w:rFonts w:hint="cs"/>
          <w:sz w:val="24"/>
          <w:szCs w:val="24"/>
          <w:rtl/>
        </w:rPr>
        <w:t>הרי"פ פערלא תמה מדוע מוני המצוות לא מנו במניין הלאוין אזהרה זו, שלא להיכנס להיכל בשעת הקטרת הקטורת ובשעת מתן הדמים הנעשים בפנים. הרי"פ פערלא מתרץ:</w:t>
      </w:r>
    </w:p>
    <w:p w:rsidR="00A527D5" w:rsidRDefault="00A527D5" w:rsidP="00A527D5">
      <w:pPr>
        <w:spacing w:before="200" w:line="276" w:lineRule="exact"/>
        <w:ind w:left="720"/>
        <w:rPr>
          <w:sz w:val="24"/>
          <w:szCs w:val="24"/>
          <w:rtl/>
        </w:rPr>
      </w:pPr>
      <w:r w:rsidRPr="00F37BA8">
        <w:rPr>
          <w:sz w:val="24"/>
          <w:szCs w:val="24"/>
          <w:rtl/>
        </w:rPr>
        <w:t>דקרא ד</w:t>
      </w:r>
      <w:r>
        <w:rPr>
          <w:rFonts w:hint="cs"/>
          <w:sz w:val="24"/>
          <w:szCs w:val="24"/>
          <w:rtl/>
        </w:rPr>
        <w:t>'</w:t>
      </w:r>
      <w:r w:rsidRPr="00F37BA8">
        <w:rPr>
          <w:sz w:val="24"/>
          <w:szCs w:val="24"/>
          <w:rtl/>
        </w:rPr>
        <w:t>וכל אדם לא יהיה באהל מועד</w:t>
      </w:r>
      <w:r>
        <w:rPr>
          <w:rFonts w:hint="cs"/>
          <w:sz w:val="24"/>
          <w:szCs w:val="24"/>
          <w:rtl/>
        </w:rPr>
        <w:t>'</w:t>
      </w:r>
      <w:r>
        <w:rPr>
          <w:sz w:val="24"/>
          <w:szCs w:val="24"/>
          <w:rtl/>
        </w:rPr>
        <w:t xml:space="preserve"> לא אתי לאזהרה להנכנסים שם</w:t>
      </w:r>
      <w:r>
        <w:rPr>
          <w:rFonts w:hint="cs"/>
          <w:sz w:val="24"/>
          <w:szCs w:val="24"/>
          <w:rtl/>
        </w:rPr>
        <w:t>,</w:t>
      </w:r>
      <w:r w:rsidRPr="00F37BA8">
        <w:rPr>
          <w:sz w:val="24"/>
          <w:szCs w:val="24"/>
          <w:rtl/>
        </w:rPr>
        <w:t xml:space="preserve"> אלא אינו אלא אחד מדקדוקי עבודת הקטורת ומתן דמים בפנים.</w:t>
      </w:r>
      <w:r>
        <w:rPr>
          <w:sz w:val="24"/>
          <w:szCs w:val="24"/>
          <w:rtl/>
        </w:rPr>
        <w:tab/>
      </w:r>
      <w:r>
        <w:rPr>
          <w:rFonts w:hint="cs"/>
          <w:sz w:val="24"/>
          <w:szCs w:val="24"/>
          <w:rtl/>
        </w:rPr>
        <w:t xml:space="preserve">       </w:t>
      </w:r>
      <w:r>
        <w:rPr>
          <w:rFonts w:hint="cs"/>
          <w:sz w:val="20"/>
          <w:szCs w:val="20"/>
          <w:rtl/>
        </w:rPr>
        <w:t>[ביאור לספר המצוות לרס"ג, לאוין קפג]</w:t>
      </w:r>
    </w:p>
    <w:p w:rsidR="00A527D5" w:rsidRDefault="00A527D5" w:rsidP="00A527D5">
      <w:pPr>
        <w:spacing w:before="200" w:line="276" w:lineRule="exact"/>
        <w:ind w:firstLine="227"/>
        <w:rPr>
          <w:sz w:val="24"/>
          <w:szCs w:val="24"/>
          <w:rtl/>
        </w:rPr>
      </w:pPr>
      <w:r>
        <w:rPr>
          <w:rFonts w:hint="cs"/>
          <w:sz w:val="24"/>
          <w:szCs w:val="24"/>
          <w:rtl/>
        </w:rPr>
        <w:t xml:space="preserve">לטענת הרי"פ פערלא, כתוב זה אינו מזהיר את הכהנים שלא ייכנסו להיכל בשעת ההקטרה ובשעת מתן הדמים בפנים, אלא הוא מורה לכהן לעשות עבודות אלו בשעה בה אין איש בהיכל. </w:t>
      </w:r>
      <w:r>
        <w:rPr>
          <w:rFonts w:hint="cs"/>
          <w:sz w:val="24"/>
          <w:szCs w:val="24"/>
          <w:rtl/>
        </w:rPr>
        <w:lastRenderedPageBreak/>
        <w:t>בשל כך, דין זה הוא פרט בדיני הקטרת הקטורת ועבודות הדם בהיכל, ולכן הוא אינו נמנה כאזהרה</w:t>
      </w:r>
      <w:r>
        <w:rPr>
          <w:rStyle w:val="a7"/>
          <w:sz w:val="24"/>
          <w:szCs w:val="24"/>
          <w:rtl/>
        </w:rPr>
        <w:footnoteReference w:id="107"/>
      </w:r>
      <w:r>
        <w:rPr>
          <w:rFonts w:hint="cs"/>
          <w:sz w:val="24"/>
          <w:szCs w:val="24"/>
          <w:rtl/>
        </w:rPr>
        <w:t>.</w:t>
      </w:r>
    </w:p>
    <w:p w:rsidR="00A527D5" w:rsidRDefault="00A527D5" w:rsidP="00A527D5">
      <w:pPr>
        <w:spacing w:before="200" w:line="276" w:lineRule="exact"/>
        <w:ind w:firstLine="227"/>
        <w:rPr>
          <w:sz w:val="24"/>
          <w:szCs w:val="24"/>
          <w:rtl/>
        </w:rPr>
      </w:pPr>
      <w:r>
        <w:rPr>
          <w:rFonts w:hint="cs"/>
          <w:sz w:val="24"/>
          <w:szCs w:val="24"/>
          <w:rtl/>
        </w:rPr>
        <w:t>הרי"פ פערלא טוען כי הבנה זו מדויקת בלשון הכתוב:</w:t>
      </w:r>
    </w:p>
    <w:p w:rsidR="00A527D5" w:rsidRPr="00B8049A" w:rsidRDefault="00A527D5" w:rsidP="00A527D5">
      <w:pPr>
        <w:spacing w:before="200" w:line="276" w:lineRule="exact"/>
        <w:ind w:left="720"/>
        <w:rPr>
          <w:sz w:val="20"/>
          <w:szCs w:val="20"/>
          <w:rtl/>
        </w:rPr>
      </w:pPr>
      <w:r w:rsidRPr="00B8049A">
        <w:rPr>
          <w:sz w:val="24"/>
          <w:szCs w:val="24"/>
          <w:rtl/>
        </w:rPr>
        <w:t xml:space="preserve">והכי נמי משמע לישנא דקרא דכתיב </w:t>
      </w:r>
      <w:r>
        <w:rPr>
          <w:rFonts w:hint="cs"/>
          <w:sz w:val="24"/>
          <w:szCs w:val="24"/>
          <w:rtl/>
        </w:rPr>
        <w:t>'</w:t>
      </w:r>
      <w:r w:rsidRPr="00B8049A">
        <w:rPr>
          <w:sz w:val="24"/>
          <w:szCs w:val="24"/>
          <w:rtl/>
        </w:rPr>
        <w:t>וכל אדם לא יהיה באהל מועד בבואו לכפר בקדש עד צאתו</w:t>
      </w:r>
      <w:r>
        <w:rPr>
          <w:rFonts w:hint="cs"/>
          <w:sz w:val="24"/>
          <w:szCs w:val="24"/>
          <w:rtl/>
        </w:rPr>
        <w:t>'</w:t>
      </w:r>
      <w:r w:rsidRPr="00B8049A">
        <w:rPr>
          <w:sz w:val="24"/>
          <w:szCs w:val="24"/>
          <w:rtl/>
        </w:rPr>
        <w:t xml:space="preserve">. דמשמע ודאי דכך היא עבודה זו </w:t>
      </w:r>
      <w:r>
        <w:rPr>
          <w:sz w:val="24"/>
          <w:szCs w:val="24"/>
          <w:rtl/>
        </w:rPr>
        <w:t>בענין שלא יהיה שם אדם משום דהו</w:t>
      </w:r>
      <w:r>
        <w:rPr>
          <w:rFonts w:hint="cs"/>
          <w:sz w:val="24"/>
          <w:szCs w:val="24"/>
          <w:rtl/>
        </w:rPr>
        <w:t>י ליה</w:t>
      </w:r>
      <w:r w:rsidRPr="00B8049A">
        <w:rPr>
          <w:sz w:val="24"/>
          <w:szCs w:val="24"/>
          <w:rtl/>
        </w:rPr>
        <w:t xml:space="preserve"> דבר שבחשאי. אבל אין א</w:t>
      </w:r>
      <w:r>
        <w:rPr>
          <w:sz w:val="24"/>
          <w:szCs w:val="24"/>
          <w:rtl/>
        </w:rPr>
        <w:t>דם מוזהר על כך שלא יהיה שם. דא</w:t>
      </w:r>
      <w:r>
        <w:rPr>
          <w:rFonts w:hint="cs"/>
          <w:sz w:val="24"/>
          <w:szCs w:val="24"/>
          <w:rtl/>
        </w:rPr>
        <w:t>ם כן</w:t>
      </w:r>
      <w:r>
        <w:rPr>
          <w:sz w:val="24"/>
          <w:szCs w:val="24"/>
          <w:rtl/>
        </w:rPr>
        <w:t xml:space="preserve"> הכי הו</w:t>
      </w:r>
      <w:r>
        <w:rPr>
          <w:rFonts w:hint="cs"/>
          <w:sz w:val="24"/>
          <w:szCs w:val="24"/>
          <w:rtl/>
        </w:rPr>
        <w:t>י ליה</w:t>
      </w:r>
      <w:r w:rsidRPr="00B8049A">
        <w:rPr>
          <w:sz w:val="24"/>
          <w:szCs w:val="24"/>
          <w:rtl/>
        </w:rPr>
        <w:t xml:space="preserve"> למיכתב </w:t>
      </w:r>
      <w:r>
        <w:rPr>
          <w:rFonts w:hint="cs"/>
          <w:sz w:val="24"/>
          <w:szCs w:val="24"/>
          <w:rtl/>
        </w:rPr>
        <w:t>'</w:t>
      </w:r>
      <w:r w:rsidRPr="00B8049A">
        <w:rPr>
          <w:sz w:val="24"/>
          <w:szCs w:val="24"/>
          <w:rtl/>
        </w:rPr>
        <w:t>וכל אדם יצא מאהל מועד</w:t>
      </w:r>
      <w:r>
        <w:rPr>
          <w:rFonts w:hint="cs"/>
          <w:sz w:val="24"/>
          <w:szCs w:val="24"/>
          <w:rtl/>
        </w:rPr>
        <w:t>'</w:t>
      </w:r>
      <w:r>
        <w:rPr>
          <w:sz w:val="24"/>
          <w:szCs w:val="24"/>
          <w:rtl/>
        </w:rPr>
        <w:t xml:space="preserve"> וגו'</w:t>
      </w:r>
      <w:r>
        <w:rPr>
          <w:rFonts w:hint="cs"/>
          <w:sz w:val="24"/>
          <w:szCs w:val="24"/>
          <w:rtl/>
        </w:rPr>
        <w:t>,</w:t>
      </w:r>
      <w:r w:rsidRPr="00B8049A">
        <w:rPr>
          <w:sz w:val="24"/>
          <w:szCs w:val="24"/>
          <w:rtl/>
        </w:rPr>
        <w:t xml:space="preserve"> או </w:t>
      </w:r>
      <w:r>
        <w:rPr>
          <w:rFonts w:hint="cs"/>
          <w:sz w:val="24"/>
          <w:szCs w:val="24"/>
          <w:rtl/>
        </w:rPr>
        <w:t>'</w:t>
      </w:r>
      <w:r>
        <w:rPr>
          <w:sz w:val="24"/>
          <w:szCs w:val="24"/>
          <w:rtl/>
        </w:rPr>
        <w:t>וכל אדם לא יראה באה</w:t>
      </w:r>
      <w:r>
        <w:rPr>
          <w:rFonts w:hint="cs"/>
          <w:sz w:val="24"/>
          <w:szCs w:val="24"/>
          <w:rtl/>
        </w:rPr>
        <w:t>ל מועד'</w:t>
      </w:r>
      <w:r w:rsidRPr="00B8049A">
        <w:rPr>
          <w:sz w:val="24"/>
          <w:szCs w:val="24"/>
          <w:rtl/>
        </w:rPr>
        <w:t xml:space="preserve"> או </w:t>
      </w:r>
      <w:r>
        <w:rPr>
          <w:rFonts w:hint="cs"/>
          <w:sz w:val="24"/>
          <w:szCs w:val="24"/>
          <w:rtl/>
        </w:rPr>
        <w:t>'</w:t>
      </w:r>
      <w:r w:rsidRPr="00B8049A">
        <w:rPr>
          <w:sz w:val="24"/>
          <w:szCs w:val="24"/>
          <w:rtl/>
        </w:rPr>
        <w:t>לא יבא באהל מועד</w:t>
      </w:r>
      <w:r>
        <w:rPr>
          <w:rFonts w:hint="cs"/>
          <w:sz w:val="24"/>
          <w:szCs w:val="24"/>
          <w:rtl/>
        </w:rPr>
        <w:t>'</w:t>
      </w:r>
      <w:r w:rsidRPr="00B8049A">
        <w:rPr>
          <w:sz w:val="24"/>
          <w:szCs w:val="24"/>
          <w:rtl/>
        </w:rPr>
        <w:t xml:space="preserve"> וגו'.</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[שם]</w:t>
      </w:r>
    </w:p>
    <w:p w:rsidR="00A527D5" w:rsidRDefault="00A527D5" w:rsidP="00A527D5">
      <w:pPr>
        <w:spacing w:before="200" w:line="276" w:lineRule="exact"/>
        <w:ind w:firstLine="227"/>
        <w:rPr>
          <w:sz w:val="24"/>
          <w:szCs w:val="24"/>
          <w:rtl/>
        </w:rPr>
      </w:pPr>
      <w:r>
        <w:rPr>
          <w:rFonts w:hint="cs"/>
          <w:sz w:val="24"/>
          <w:szCs w:val="24"/>
          <w:rtl/>
        </w:rPr>
        <w:t>לפי דבריו, העובדה שלשון הכתוב מופנית כלפי הכהן העובד ולא כלפי הנכנס או הנמצא בהיכל, מלמדת כי זוהי אינה אזהרה לכהנים שלא ייכנסו להיכל, אלא זהו פרט בדיני עבודות אלו.</w:t>
      </w:r>
    </w:p>
    <w:p w:rsidR="00A527D5" w:rsidRDefault="00A527D5" w:rsidP="00A527D5">
      <w:pPr>
        <w:spacing w:before="200" w:line="276" w:lineRule="exact"/>
        <w:ind w:firstLine="227"/>
        <w:rPr>
          <w:sz w:val="24"/>
          <w:szCs w:val="24"/>
          <w:rtl/>
        </w:rPr>
      </w:pPr>
      <w:r>
        <w:rPr>
          <w:rFonts w:hint="cs"/>
          <w:sz w:val="24"/>
          <w:szCs w:val="24"/>
          <w:rtl/>
        </w:rPr>
        <w:t>הגרי"ד סולוביצ'יק מדייק הבנה זו ממיקומה של הלכה זו בפסקי הרמב"ם:</w:t>
      </w:r>
    </w:p>
    <w:p w:rsidR="00A527D5" w:rsidRDefault="00A527D5" w:rsidP="00A527D5">
      <w:pPr>
        <w:spacing w:before="200" w:line="276" w:lineRule="exact"/>
        <w:ind w:left="720"/>
        <w:rPr>
          <w:sz w:val="20"/>
          <w:szCs w:val="20"/>
          <w:rtl/>
        </w:rPr>
      </w:pPr>
      <w:r>
        <w:rPr>
          <w:rFonts w:hint="cs"/>
          <w:sz w:val="24"/>
          <w:szCs w:val="24"/>
          <w:rtl/>
        </w:rPr>
        <w:t xml:space="preserve">חובת הפרישה הוזכרה על ידי הרמב"ם בהל' עבודת יוה"כ (פ"ד ה"ב) ובהל' תמידין ומוספין (פ"ג ה"ג) ביחס להקטרת הקטורת ומתן דמים בהיכל, אך לא הובאה בהל' ביאת מקדש, אשר שם לכאורה מקומה. ובטעם הדבר שמעתי מאבא מארי זצ"ל, שלא נקבע כאן איסור גברא דביאת מקדש, אלא דין בסדר וצורת העבודה, שהיא צריכה להתבצע בהעדר כל אדם. </w:t>
      </w:r>
    </w:p>
    <w:p w:rsidR="00A527D5" w:rsidRDefault="00A527D5" w:rsidP="00A527D5">
      <w:pPr>
        <w:spacing w:before="200" w:line="276" w:lineRule="exact"/>
        <w:ind w:firstLine="227"/>
        <w:jc w:val="right"/>
        <w:rPr>
          <w:sz w:val="24"/>
          <w:szCs w:val="24"/>
          <w:rtl/>
        </w:rPr>
      </w:pPr>
      <w:r>
        <w:rPr>
          <w:rFonts w:hint="cs"/>
          <w:sz w:val="20"/>
          <w:szCs w:val="20"/>
          <w:rtl/>
        </w:rPr>
        <w:t>[שיעורי הגרי"ד, עבודת יום הכיפורים, עמ' צא-צב]</w:t>
      </w:r>
    </w:p>
    <w:p w:rsidR="00A527D5" w:rsidRDefault="00A527D5" w:rsidP="00A527D5">
      <w:pPr>
        <w:spacing w:before="200" w:line="276" w:lineRule="exact"/>
        <w:ind w:firstLine="227"/>
        <w:rPr>
          <w:sz w:val="24"/>
          <w:szCs w:val="24"/>
          <w:rtl/>
        </w:rPr>
      </w:pPr>
      <w:r>
        <w:rPr>
          <w:rFonts w:hint="cs"/>
          <w:sz w:val="24"/>
          <w:szCs w:val="24"/>
          <w:rtl/>
        </w:rPr>
        <w:t>הרי"פ פערלא והגרי"ד סולוביצ'יק מביאים להבנה זו ראיה מדברי הירושלמי:</w:t>
      </w:r>
    </w:p>
    <w:p w:rsidR="00A527D5" w:rsidRDefault="00A527D5" w:rsidP="00A527D5">
      <w:pPr>
        <w:spacing w:before="200" w:line="276" w:lineRule="exact"/>
        <w:ind w:left="720"/>
        <w:rPr>
          <w:sz w:val="24"/>
          <w:szCs w:val="24"/>
          <w:rtl/>
        </w:rPr>
      </w:pPr>
      <w:r w:rsidRPr="00A675D8">
        <w:rPr>
          <w:sz w:val="24"/>
          <w:szCs w:val="24"/>
          <w:rtl/>
        </w:rPr>
        <w:t>בעון קומי ר' אבהו</w:t>
      </w:r>
      <w:r>
        <w:rPr>
          <w:rFonts w:hint="cs"/>
          <w:sz w:val="24"/>
          <w:szCs w:val="24"/>
          <w:rtl/>
        </w:rPr>
        <w:t>:</w:t>
      </w:r>
      <w:r>
        <w:rPr>
          <w:sz w:val="24"/>
          <w:szCs w:val="24"/>
          <w:rtl/>
        </w:rPr>
        <w:t xml:space="preserve"> והא כתיב </w:t>
      </w:r>
      <w:r>
        <w:rPr>
          <w:rFonts w:hint="cs"/>
          <w:sz w:val="24"/>
          <w:szCs w:val="24"/>
          <w:rtl/>
        </w:rPr>
        <w:t>"</w:t>
      </w:r>
      <w:r w:rsidRPr="00A675D8">
        <w:rPr>
          <w:sz w:val="24"/>
          <w:szCs w:val="24"/>
          <w:rtl/>
        </w:rPr>
        <w:t>וכל אדם לא יהיה באהל מועד בבאו לכפר בקדש עד צאתו</w:t>
      </w:r>
      <w:r>
        <w:rPr>
          <w:rFonts w:hint="cs"/>
          <w:sz w:val="24"/>
          <w:szCs w:val="24"/>
          <w:rtl/>
        </w:rPr>
        <w:t xml:space="preserve">' </w:t>
      </w:r>
      <w:r>
        <w:rPr>
          <w:sz w:val="24"/>
          <w:szCs w:val="24"/>
          <w:rtl/>
        </w:rPr>
        <w:t>– אפי</w:t>
      </w:r>
      <w:r>
        <w:rPr>
          <w:rFonts w:hint="cs"/>
          <w:sz w:val="24"/>
          <w:szCs w:val="24"/>
          <w:rtl/>
        </w:rPr>
        <w:t>לו</w:t>
      </w:r>
      <w:r>
        <w:rPr>
          <w:sz w:val="24"/>
          <w:szCs w:val="24"/>
          <w:rtl/>
        </w:rPr>
        <w:t xml:space="preserve"> אותן שכתוב בהן </w:t>
      </w:r>
      <w:r>
        <w:rPr>
          <w:rFonts w:hint="cs"/>
          <w:sz w:val="24"/>
          <w:szCs w:val="24"/>
          <w:rtl/>
        </w:rPr>
        <w:t>'</w:t>
      </w:r>
      <w:r w:rsidRPr="00A675D8">
        <w:rPr>
          <w:sz w:val="24"/>
          <w:szCs w:val="24"/>
          <w:rtl/>
        </w:rPr>
        <w:t>ודמות פניהם פני אדם</w:t>
      </w:r>
      <w:r>
        <w:rPr>
          <w:rFonts w:hint="cs"/>
          <w:sz w:val="24"/>
          <w:szCs w:val="24"/>
          <w:rtl/>
        </w:rPr>
        <w:t>'</w:t>
      </w:r>
      <w:r w:rsidRPr="00A675D8">
        <w:rPr>
          <w:sz w:val="24"/>
          <w:szCs w:val="24"/>
          <w:rtl/>
        </w:rPr>
        <w:t xml:space="preserve"> לא יהיו באהל מועד</w:t>
      </w:r>
      <w:r>
        <w:rPr>
          <w:rFonts w:hint="cs"/>
          <w:sz w:val="24"/>
          <w:szCs w:val="24"/>
          <w:rtl/>
        </w:rPr>
        <w:t xml:space="preserve">. </w:t>
      </w:r>
    </w:p>
    <w:p w:rsidR="00A527D5" w:rsidRPr="00A675D8" w:rsidRDefault="00A527D5" w:rsidP="00A527D5">
      <w:pPr>
        <w:spacing w:before="200" w:line="276" w:lineRule="exact"/>
        <w:ind w:left="720"/>
        <w:jc w:val="right"/>
        <w:rPr>
          <w:sz w:val="20"/>
          <w:szCs w:val="20"/>
          <w:rtl/>
        </w:rPr>
      </w:pPr>
      <w:r>
        <w:rPr>
          <w:rFonts w:hint="cs"/>
          <w:sz w:val="20"/>
          <w:szCs w:val="20"/>
          <w:rtl/>
        </w:rPr>
        <w:t>[ירושלמי יומא פ"ה ה"ב]</w:t>
      </w:r>
    </w:p>
    <w:p w:rsidR="00A527D5" w:rsidRDefault="00A527D5" w:rsidP="00A527D5">
      <w:pPr>
        <w:spacing w:before="200" w:line="276" w:lineRule="exact"/>
        <w:ind w:firstLine="227"/>
        <w:rPr>
          <w:sz w:val="24"/>
          <w:szCs w:val="24"/>
          <w:rtl/>
        </w:rPr>
      </w:pPr>
      <w:r>
        <w:rPr>
          <w:rFonts w:hint="cs"/>
          <w:sz w:val="24"/>
          <w:szCs w:val="24"/>
          <w:rtl/>
        </w:rPr>
        <w:t xml:space="preserve">הירושלמי לומד מדרשה שגם מלאכים אינם נמצאים בהיכל "בבואו לכפר בקודש עד צאתו". לטענת הרי"פ פערלא והגרי"ד סולוביצי'ק, אם כתוב זה מלמד על איסור הימצאות בהיכל בשעת עבודות אלו, אין מקום להחיל איסור זה על מלאכים, שאינם שייכים באיסורים ובמצוות. ואם כן, מכך שכתוב זה אמור גם ביחס למלאכים עולה כי הוא אינו מלמד על איסור, אלא על אופיין של עבודות אלו: עבודות אלו צריכות להיעשות באין רואה, כאשר בהיכל אין נוכחות </w:t>
      </w:r>
      <w:r>
        <w:rPr>
          <w:sz w:val="24"/>
          <w:szCs w:val="24"/>
          <w:rtl/>
        </w:rPr>
        <w:t>–</w:t>
      </w:r>
      <w:r>
        <w:rPr>
          <w:rFonts w:hint="cs"/>
          <w:sz w:val="24"/>
          <w:szCs w:val="24"/>
          <w:rtl/>
        </w:rPr>
        <w:t xml:space="preserve"> לא של בני אדם ולא של מלאכים. </w:t>
      </w:r>
    </w:p>
    <w:p w:rsidR="00A527D5" w:rsidRDefault="00A527D5" w:rsidP="00A527D5">
      <w:pPr>
        <w:spacing w:before="200" w:line="276" w:lineRule="exact"/>
        <w:ind w:firstLine="227"/>
        <w:rPr>
          <w:sz w:val="24"/>
          <w:szCs w:val="24"/>
          <w:rtl/>
        </w:rPr>
      </w:pPr>
      <w:r>
        <w:rPr>
          <w:rFonts w:hint="cs"/>
          <w:sz w:val="24"/>
          <w:szCs w:val="24"/>
          <w:rtl/>
        </w:rPr>
        <w:t xml:space="preserve">על אף ראיות אלו, בדברי רש"י מבואר שלא כהבנה זו. רש"י כותב בביאור הגמ' </w:t>
      </w:r>
      <w:r>
        <w:rPr>
          <w:rFonts w:hint="cs"/>
          <w:sz w:val="20"/>
          <w:szCs w:val="20"/>
          <w:rtl/>
        </w:rPr>
        <w:t>[יומא מד:]</w:t>
      </w:r>
      <w:r>
        <w:rPr>
          <w:rFonts w:hint="cs"/>
          <w:sz w:val="24"/>
          <w:szCs w:val="24"/>
          <w:rtl/>
        </w:rPr>
        <w:t xml:space="preserve"> האומרת כי חכמים גזרו שלא להימצא בשעת ההקטרה גם 'בין האולם ולמזבח':</w:t>
      </w:r>
    </w:p>
    <w:p w:rsidR="00A527D5" w:rsidRDefault="00A527D5" w:rsidP="00A527D5">
      <w:pPr>
        <w:spacing w:before="200" w:line="276" w:lineRule="exact"/>
        <w:ind w:left="720"/>
        <w:rPr>
          <w:sz w:val="24"/>
          <w:szCs w:val="24"/>
          <w:rtl/>
        </w:rPr>
      </w:pPr>
      <w:r w:rsidRPr="00307B9E">
        <w:rPr>
          <w:sz w:val="24"/>
          <w:szCs w:val="24"/>
          <w:rtl/>
        </w:rPr>
        <w:t xml:space="preserve">ועביד הרחקה לפרוש מבין האולם ולמזבח פרישה לכל העזרה, דילמא עייל לאולם </w:t>
      </w:r>
      <w:r w:rsidRPr="00307B9E">
        <w:rPr>
          <w:b/>
          <w:bCs/>
          <w:sz w:val="24"/>
          <w:szCs w:val="24"/>
          <w:rtl/>
        </w:rPr>
        <w:t>וקא עבר א</w:t>
      </w:r>
      <w:r>
        <w:rPr>
          <w:rFonts w:hint="cs"/>
          <w:b/>
          <w:bCs/>
          <w:sz w:val="24"/>
          <w:szCs w:val="24"/>
          <w:rtl/>
        </w:rPr>
        <w:t>'</w:t>
      </w:r>
      <w:r w:rsidRPr="00307B9E">
        <w:rPr>
          <w:b/>
          <w:bCs/>
          <w:sz w:val="24"/>
          <w:szCs w:val="24"/>
          <w:rtl/>
        </w:rPr>
        <w:t>לא יהיה באהל מועד</w:t>
      </w:r>
      <w:r>
        <w:rPr>
          <w:rFonts w:hint="cs"/>
          <w:b/>
          <w:bCs/>
          <w:sz w:val="24"/>
          <w:szCs w:val="24"/>
          <w:rtl/>
        </w:rPr>
        <w:t>'</w:t>
      </w:r>
      <w:r w:rsidRPr="00307B9E">
        <w:rPr>
          <w:sz w:val="24"/>
          <w:szCs w:val="24"/>
          <w:rtl/>
        </w:rPr>
        <w:t>.</w:t>
      </w:r>
      <w:r>
        <w:rPr>
          <w:rFonts w:hint="cs"/>
          <w:sz w:val="24"/>
          <w:szCs w:val="24"/>
          <w:rtl/>
        </w:rPr>
        <w:t xml:space="preserve"> </w:t>
      </w:r>
      <w:r>
        <w:rPr>
          <w:sz w:val="20"/>
          <w:szCs w:val="20"/>
          <w:rtl/>
        </w:rPr>
        <w:tab/>
      </w:r>
      <w:r>
        <w:rPr>
          <w:sz w:val="20"/>
          <w:szCs w:val="20"/>
          <w:rtl/>
        </w:rPr>
        <w:tab/>
      </w:r>
      <w:r>
        <w:rPr>
          <w:sz w:val="20"/>
          <w:szCs w:val="20"/>
          <w:rtl/>
        </w:rPr>
        <w:tab/>
      </w:r>
      <w:r>
        <w:rPr>
          <w:sz w:val="20"/>
          <w:szCs w:val="20"/>
          <w:rtl/>
        </w:rPr>
        <w:tab/>
      </w:r>
      <w:r>
        <w:rPr>
          <w:sz w:val="20"/>
          <w:szCs w:val="20"/>
          <w:rtl/>
        </w:rPr>
        <w:tab/>
      </w:r>
      <w:r>
        <w:rPr>
          <w:rFonts w:hint="cs"/>
          <w:sz w:val="20"/>
          <w:szCs w:val="20"/>
          <w:rtl/>
        </w:rPr>
        <w:t xml:space="preserve">          [רש"י יומא מד: ד"ה קדושת]</w:t>
      </w:r>
    </w:p>
    <w:p w:rsidR="00A527D5" w:rsidRDefault="00A527D5" w:rsidP="00A527D5">
      <w:pPr>
        <w:spacing w:before="200" w:line="276" w:lineRule="exact"/>
        <w:ind w:firstLine="227"/>
        <w:rPr>
          <w:sz w:val="24"/>
          <w:szCs w:val="24"/>
          <w:rtl/>
        </w:rPr>
      </w:pPr>
      <w:r>
        <w:rPr>
          <w:rFonts w:hint="cs"/>
          <w:sz w:val="24"/>
          <w:szCs w:val="24"/>
          <w:rtl/>
        </w:rPr>
        <w:t xml:space="preserve">מבואר בדברי רש"י, כי הכתוב "וכל אדם לא יהיה באוהל מועד" אינו מופנה כלפי הכהן הגדול אלא כלפי שאר הכהנים, והוא מזהיר אותם שלא להימצא בהיכל בשעת עבודות אלו. </w:t>
      </w:r>
    </w:p>
    <w:p w:rsidR="00A527D5" w:rsidRDefault="00A527D5" w:rsidP="00A527D5">
      <w:pPr>
        <w:spacing w:before="200" w:line="276" w:lineRule="exact"/>
        <w:ind w:firstLine="227"/>
        <w:rPr>
          <w:sz w:val="24"/>
          <w:szCs w:val="24"/>
          <w:rtl/>
        </w:rPr>
      </w:pPr>
    </w:p>
    <w:p w:rsidR="00A527D5" w:rsidRDefault="00A527D5" w:rsidP="00A527D5">
      <w:pPr>
        <w:spacing w:before="200" w:line="276" w:lineRule="exact"/>
        <w:ind w:firstLine="227"/>
        <w:rPr>
          <w:sz w:val="24"/>
          <w:szCs w:val="24"/>
          <w:rtl/>
        </w:rPr>
      </w:pPr>
      <w:r>
        <w:rPr>
          <w:rFonts w:hint="cs"/>
          <w:sz w:val="24"/>
          <w:szCs w:val="24"/>
          <w:rtl/>
        </w:rPr>
        <w:t xml:space="preserve">מחלוקת זו בהבנת הכתוב "וכל אדם לא יהיה באהל מועד", האם זהו דין באופן ביצוע עבודות ההקטרה ומתן הדמים בהיכל או אזהרה האוסרת על הכהנים מלהימצא בהיכל בשעה זו, מלמדת </w:t>
      </w:r>
      <w:r>
        <w:rPr>
          <w:rFonts w:hint="cs"/>
          <w:sz w:val="24"/>
          <w:szCs w:val="24"/>
          <w:rtl/>
        </w:rPr>
        <w:lastRenderedPageBreak/>
        <w:t xml:space="preserve">על שתי תפיסות שונות בביאור מהותו של דין זה. לפי דרכם של הרי"פ פערלא והגרי"ד סולוביצ'יק, דין זה נובע מאופיין של עבודות ההקטרה ומתן הדמים בהיכל. עבודות אלו הן עבודות האמורות להיעשות ב'חשאי' </w:t>
      </w:r>
      <w:r>
        <w:rPr>
          <w:sz w:val="24"/>
          <w:szCs w:val="24"/>
          <w:rtl/>
        </w:rPr>
        <w:t>–</w:t>
      </w:r>
      <w:r>
        <w:rPr>
          <w:rFonts w:hint="cs"/>
          <w:sz w:val="24"/>
          <w:szCs w:val="24"/>
          <w:rtl/>
        </w:rPr>
        <w:t xml:space="preserve"> באופן אינטימי ונסתר מעין כל </w:t>
      </w:r>
      <w:r>
        <w:rPr>
          <w:sz w:val="24"/>
          <w:szCs w:val="24"/>
          <w:rtl/>
        </w:rPr>
        <w:t>–</w:t>
      </w:r>
      <w:r>
        <w:rPr>
          <w:rFonts w:hint="cs"/>
          <w:sz w:val="24"/>
          <w:szCs w:val="24"/>
          <w:rtl/>
        </w:rPr>
        <w:t xml:space="preserve"> ולכן הימצאות כהנים בשעה זו בהיכל פוגמת במהותן של עבודות אלו</w:t>
      </w:r>
      <w:r>
        <w:rPr>
          <w:rStyle w:val="a7"/>
          <w:sz w:val="24"/>
          <w:szCs w:val="24"/>
          <w:rtl/>
        </w:rPr>
        <w:footnoteReference w:id="108"/>
      </w:r>
      <w:r>
        <w:rPr>
          <w:rFonts w:hint="cs"/>
          <w:sz w:val="24"/>
          <w:szCs w:val="24"/>
          <w:rtl/>
        </w:rPr>
        <w:t>. לעומת זאת, לפי דרכו של רש"י, נראה כי דין זה נובע ממעמדו של ההיכל בשעת עשיית עבודות אלו. עבודות אלו גורמות להשראת שכינה בהיכל, ומחמתה אסור להימצא בשעה זו בהיכל.</w:t>
      </w:r>
    </w:p>
    <w:p w:rsidR="00A527D5" w:rsidRDefault="00A527D5" w:rsidP="00A527D5">
      <w:pPr>
        <w:spacing w:before="200" w:line="276" w:lineRule="exact"/>
        <w:ind w:firstLine="227"/>
        <w:rPr>
          <w:sz w:val="24"/>
          <w:szCs w:val="24"/>
          <w:rtl/>
        </w:rPr>
      </w:pPr>
      <w:r>
        <w:rPr>
          <w:rFonts w:hint="cs"/>
          <w:sz w:val="24"/>
          <w:szCs w:val="24"/>
          <w:rtl/>
        </w:rPr>
        <w:t>ההבנה המבוארת לפי דרכו של רש"י, כי איסור ההימצאות בהיכל נובע מחמת השראת השכינה בשעת עבודות אלו, מפורשת בדברי רבי יוסף בכור שור:</w:t>
      </w:r>
    </w:p>
    <w:p w:rsidR="00A527D5" w:rsidRDefault="00A527D5" w:rsidP="00A527D5">
      <w:pPr>
        <w:spacing w:before="200" w:line="276" w:lineRule="exact"/>
        <w:ind w:left="720"/>
        <w:rPr>
          <w:sz w:val="24"/>
          <w:szCs w:val="24"/>
          <w:rtl/>
        </w:rPr>
      </w:pPr>
      <w:r>
        <w:rPr>
          <w:rFonts w:hint="cs"/>
          <w:sz w:val="24"/>
          <w:szCs w:val="24"/>
          <w:rtl/>
        </w:rPr>
        <w:t>ו</w:t>
      </w:r>
      <w:r w:rsidRPr="00926193">
        <w:rPr>
          <w:rFonts w:hint="cs"/>
          <w:sz w:val="24"/>
          <w:szCs w:val="24"/>
          <w:rtl/>
        </w:rPr>
        <w:t xml:space="preserve">כל אדם לא יהיה באהל </w:t>
      </w:r>
      <w:r w:rsidRPr="00926193">
        <w:rPr>
          <w:sz w:val="24"/>
          <w:szCs w:val="24"/>
          <w:rtl/>
        </w:rPr>
        <w:t>–</w:t>
      </w:r>
      <w:r w:rsidRPr="00926193">
        <w:rPr>
          <w:rFonts w:hint="cs"/>
          <w:sz w:val="24"/>
          <w:szCs w:val="24"/>
          <w:rtl/>
        </w:rPr>
        <w:t xml:space="preserve"> מפני אימת השכינה שבאה בענן הקטרת, כדכתיב: 'כי בענן אראה על הכפרת'.</w:t>
      </w:r>
      <w:r>
        <w:rPr>
          <w:rFonts w:hint="cs"/>
          <w:sz w:val="24"/>
          <w:szCs w:val="24"/>
          <w:rtl/>
        </w:rPr>
        <w:t xml:space="preserve"> </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sz w:val="24"/>
          <w:szCs w:val="24"/>
          <w:rtl/>
        </w:rPr>
        <w:tab/>
      </w:r>
      <w:r>
        <w:rPr>
          <w:rFonts w:hint="cs"/>
          <w:sz w:val="24"/>
          <w:szCs w:val="24"/>
          <w:rtl/>
        </w:rPr>
        <w:t xml:space="preserve"> </w:t>
      </w:r>
      <w:r>
        <w:rPr>
          <w:rFonts w:hint="cs"/>
          <w:sz w:val="20"/>
          <w:szCs w:val="20"/>
          <w:rtl/>
        </w:rPr>
        <w:t>[בכור שור ויקרא טז, יז]</w:t>
      </w:r>
      <w:r w:rsidRPr="00EF55AC">
        <w:rPr>
          <w:rStyle w:val="a7"/>
          <w:sz w:val="24"/>
          <w:szCs w:val="24"/>
          <w:rtl/>
        </w:rPr>
        <w:footnoteReference w:id="109"/>
      </w:r>
    </w:p>
    <w:p w:rsidR="00A527D5" w:rsidRDefault="00A527D5" w:rsidP="00A527D5">
      <w:pPr>
        <w:spacing w:before="200" w:line="276" w:lineRule="exact"/>
        <w:ind w:firstLine="227"/>
        <w:rPr>
          <w:sz w:val="24"/>
          <w:szCs w:val="24"/>
          <w:rtl/>
        </w:rPr>
      </w:pPr>
      <w:r>
        <w:rPr>
          <w:rFonts w:hint="cs"/>
          <w:sz w:val="24"/>
          <w:szCs w:val="24"/>
          <w:rtl/>
        </w:rPr>
        <w:t>דברי רבי יוסף בכור שור אמורים לגבי הקטרת הקטורת, ואכן קל לראות את הקשר בין ענן הקטורת להשראת השכינה הנגלית בענן</w:t>
      </w:r>
      <w:r>
        <w:rPr>
          <w:rStyle w:val="a7"/>
          <w:sz w:val="24"/>
          <w:szCs w:val="24"/>
          <w:rtl/>
        </w:rPr>
        <w:footnoteReference w:id="110"/>
      </w:r>
      <w:r>
        <w:rPr>
          <w:rFonts w:hint="cs"/>
          <w:sz w:val="24"/>
          <w:szCs w:val="24"/>
          <w:rtl/>
        </w:rPr>
        <w:t>. קשה יותר להבין מדוע עבודות מתן הדמים בהיכל גורמות להשראת השכינה בהיכל</w:t>
      </w:r>
      <w:r>
        <w:rPr>
          <w:rStyle w:val="a7"/>
          <w:sz w:val="24"/>
          <w:szCs w:val="24"/>
          <w:rtl/>
        </w:rPr>
        <w:footnoteReference w:id="111"/>
      </w:r>
      <w:r>
        <w:rPr>
          <w:rFonts w:hint="cs"/>
          <w:sz w:val="24"/>
          <w:szCs w:val="24"/>
          <w:rtl/>
        </w:rPr>
        <w:t>. בביאור הדבר נראה, כי המשמעות של כפרת הקודש היא חידוש השראת השכינה בהיכל. הטומאה גורמת לסילוק השכינה וריחוק ממנה, ואילו כפרת הקודש יוצרת השראת שכינה מחודשת במקדש. באופן זה, שעת עשיית העבודות המכפרות את הקודש היא שעה בה השכינה נוכחת בכל ההיכל, ולכן אסור להימצא בהיכל באותה שעה.</w:t>
      </w:r>
    </w:p>
    <w:p w:rsidR="00A527D5" w:rsidRDefault="00A527D5" w:rsidP="00A527D5">
      <w:pPr>
        <w:spacing w:before="200" w:line="276" w:lineRule="exact"/>
        <w:ind w:firstLine="227"/>
        <w:rPr>
          <w:sz w:val="24"/>
          <w:szCs w:val="24"/>
          <w:rtl/>
        </w:rPr>
      </w:pPr>
      <w:r>
        <w:rPr>
          <w:rFonts w:hint="cs"/>
          <w:sz w:val="24"/>
          <w:szCs w:val="24"/>
          <w:rtl/>
        </w:rPr>
        <w:t>נראה להעמיק דברים אלו ולטעון כי אמנם ההיכל הוא "בית ה'", אך בדרך קבע השכינה נוכחת דווקא בקודש הקדשים, ואילו ההיכל מתפקד כמקום העבודה. עם זאת, בשעת הקטרת הקטורת בהיכל ובשעת מתן הדמים בהיכל, השכינה נוכחת בכל הבית. לכן, כשם שאסור להימצא בקודש הקדשים, כך אסור להימצא באותה שעה בהיכל כולו</w:t>
      </w:r>
      <w:r>
        <w:rPr>
          <w:rStyle w:val="a7"/>
          <w:sz w:val="24"/>
          <w:szCs w:val="24"/>
          <w:rtl/>
        </w:rPr>
        <w:footnoteReference w:id="112"/>
      </w:r>
      <w:r>
        <w:rPr>
          <w:rFonts w:hint="cs"/>
          <w:sz w:val="24"/>
          <w:szCs w:val="24"/>
          <w:rtl/>
        </w:rPr>
        <w:t>.</w:t>
      </w:r>
    </w:p>
    <w:p w:rsidR="00A527D5" w:rsidRDefault="00A527D5" w:rsidP="00A527D5">
      <w:pPr>
        <w:spacing w:before="200" w:line="276" w:lineRule="exact"/>
        <w:ind w:firstLine="227"/>
        <w:rPr>
          <w:sz w:val="24"/>
          <w:szCs w:val="24"/>
          <w:rtl/>
        </w:rPr>
      </w:pPr>
    </w:p>
    <w:p w:rsidR="00A527D5" w:rsidRDefault="00A527D5" w:rsidP="00A527D5">
      <w:pPr>
        <w:spacing w:before="200" w:line="276" w:lineRule="exact"/>
        <w:ind w:firstLine="227"/>
        <w:jc w:val="right"/>
        <w:rPr>
          <w:sz w:val="24"/>
          <w:szCs w:val="24"/>
          <w:rtl/>
        </w:rPr>
      </w:pPr>
      <w:r w:rsidRPr="0072457D">
        <w:rPr>
          <w:rFonts w:hint="cs"/>
          <w:sz w:val="24"/>
          <w:szCs w:val="24"/>
          <w:rtl/>
        </w:rPr>
        <w:t xml:space="preserve"> </w:t>
      </w:r>
      <w:r w:rsidRPr="0072457D">
        <w:rPr>
          <w:rFonts w:hint="cs"/>
          <w:sz w:val="24"/>
          <w:szCs w:val="24"/>
          <w:u w:val="single"/>
          <w:rtl/>
        </w:rPr>
        <w:t>להערות ולתגובות</w:t>
      </w:r>
      <w:r w:rsidRPr="0072457D">
        <w:rPr>
          <w:rFonts w:hint="cs"/>
          <w:sz w:val="24"/>
          <w:szCs w:val="24"/>
          <w:rtl/>
        </w:rPr>
        <w:t>: שלמה ליפשיץ</w:t>
      </w:r>
    </w:p>
    <w:p w:rsidR="00A527D5" w:rsidRDefault="00A527D5" w:rsidP="00A527D5">
      <w:pPr>
        <w:spacing w:before="200" w:line="276" w:lineRule="exact"/>
        <w:ind w:firstLine="227"/>
        <w:jc w:val="right"/>
        <w:rPr>
          <w:sz w:val="24"/>
          <w:szCs w:val="24"/>
          <w:rtl/>
        </w:rPr>
      </w:pPr>
      <w:hyperlink r:id="rId21" w:history="1">
        <w:r w:rsidRPr="00C00B0B">
          <w:rPr>
            <w:rStyle w:val="Hyperlink"/>
            <w:sz w:val="24"/>
            <w:szCs w:val="24"/>
          </w:rPr>
          <w:t>lshlomo26@gmail.com</w:t>
        </w:r>
      </w:hyperlink>
    </w:p>
    <w:p w:rsidR="00A527D5" w:rsidRPr="004258ED" w:rsidRDefault="00A527D5" w:rsidP="00A527D5">
      <w:pPr>
        <w:spacing w:before="200" w:line="276" w:lineRule="exact"/>
        <w:ind w:firstLine="227"/>
        <w:jc w:val="center"/>
        <w:rPr>
          <w:rFonts w:hint="cs"/>
          <w:sz w:val="24"/>
          <w:szCs w:val="24"/>
          <w:rtl/>
        </w:rPr>
      </w:pPr>
    </w:p>
    <w:p w:rsidR="00C26E1A" w:rsidRPr="00725EB4" w:rsidRDefault="00A527D5" w:rsidP="00782FFD">
      <w:pPr>
        <w:spacing w:after="0" w:line="240" w:lineRule="auto"/>
        <w:rPr>
          <w:rFonts w:ascii="Narkisim" w:hAnsi="Narkisim"/>
          <w:sz w:val="24"/>
          <w:szCs w:val="24"/>
          <w:rtl/>
        </w:rPr>
      </w:pPr>
      <w:r>
        <w:rPr>
          <w:rFonts w:ascii="Narkisim" w:hAnsi="Narkisim"/>
          <w:sz w:val="24"/>
          <w:szCs w:val="24"/>
          <w:rtl/>
        </w:rPr>
        <w:br w:type="page"/>
      </w:r>
    </w:p>
    <w:p w:rsidR="00C26E1A" w:rsidRPr="00725EB4" w:rsidRDefault="00C26E1A" w:rsidP="00C26E1A">
      <w:pPr>
        <w:keepNext/>
        <w:keepLines/>
        <w:spacing w:before="240" w:after="0" w:line="276" w:lineRule="exact"/>
        <w:jc w:val="center"/>
        <w:outlineLvl w:val="0"/>
        <w:rPr>
          <w:rFonts w:asciiTheme="majorHAnsi" w:eastAsiaTheme="majorEastAsia" w:hAnsiTheme="majorHAnsi"/>
          <w:bCs/>
          <w:sz w:val="36"/>
          <w:szCs w:val="36"/>
          <w:rtl/>
        </w:rPr>
      </w:pPr>
      <w:bookmarkStart w:id="89" w:name="_Toc76718837"/>
      <w:bookmarkStart w:id="90" w:name="_Toc76719180"/>
      <w:r w:rsidRPr="00725EB4">
        <w:rPr>
          <w:rFonts w:asciiTheme="majorHAnsi" w:eastAsiaTheme="majorEastAsia" w:hAnsiTheme="majorHAnsi" w:hint="cs"/>
          <w:bCs/>
          <w:sz w:val="40"/>
          <w:szCs w:val="40"/>
          <w:rtl/>
        </w:rPr>
        <w:lastRenderedPageBreak/>
        <w:t>יסודות יומא</w:t>
      </w:r>
      <w:bookmarkEnd w:id="89"/>
      <w:bookmarkEnd w:id="90"/>
    </w:p>
    <w:p w:rsidR="00C26E1A" w:rsidRPr="00725EB4" w:rsidRDefault="00C26E1A" w:rsidP="00C26E1A">
      <w:pPr>
        <w:keepNext/>
        <w:keepLines/>
        <w:spacing w:before="240" w:after="0" w:line="276" w:lineRule="exact"/>
        <w:jc w:val="center"/>
        <w:outlineLvl w:val="0"/>
        <w:rPr>
          <w:rFonts w:asciiTheme="majorHAnsi" w:eastAsiaTheme="majorEastAsia" w:hAnsiTheme="majorHAnsi"/>
          <w:b/>
          <w:sz w:val="32"/>
          <w:szCs w:val="32"/>
          <w:rtl/>
        </w:rPr>
      </w:pPr>
      <w:bookmarkStart w:id="91" w:name="_Toc76719181"/>
      <w:r w:rsidRPr="00725EB4">
        <w:rPr>
          <w:rFonts w:asciiTheme="majorHAnsi" w:eastAsiaTheme="majorEastAsia" w:hAnsiTheme="majorHAnsi" w:hint="cs"/>
          <w:b/>
          <w:sz w:val="32"/>
          <w:szCs w:val="32"/>
          <w:rtl/>
        </w:rPr>
        <w:t>שיעור חמישה עשר</w:t>
      </w:r>
      <w:bookmarkEnd w:id="91"/>
    </w:p>
    <w:p w:rsidR="00C26E1A" w:rsidRPr="00725EB4" w:rsidRDefault="00C26E1A" w:rsidP="00C26E1A">
      <w:pPr>
        <w:keepNext/>
        <w:keepLines/>
        <w:spacing w:before="240" w:after="0" w:line="276" w:lineRule="exact"/>
        <w:jc w:val="center"/>
        <w:outlineLvl w:val="0"/>
        <w:rPr>
          <w:rFonts w:asciiTheme="majorHAnsi" w:eastAsiaTheme="majorEastAsia" w:hAnsiTheme="majorHAnsi"/>
          <w:bCs/>
          <w:sz w:val="32"/>
          <w:szCs w:val="32"/>
          <w:rtl/>
        </w:rPr>
      </w:pPr>
      <w:bookmarkStart w:id="92" w:name="_Toc76719182"/>
      <w:r w:rsidRPr="00725EB4">
        <w:rPr>
          <w:rFonts w:asciiTheme="majorHAnsi" w:eastAsiaTheme="majorEastAsia" w:hAnsiTheme="majorHAnsi" w:hint="cs"/>
          <w:bCs/>
          <w:sz w:val="36"/>
          <w:szCs w:val="36"/>
          <w:rtl/>
        </w:rPr>
        <w:t>הזאות דם הפר ודם השעיר</w:t>
      </w:r>
      <w:bookmarkEnd w:id="92"/>
    </w:p>
    <w:p w:rsidR="00C26E1A" w:rsidRPr="00725EB4" w:rsidRDefault="00C26E1A" w:rsidP="00C26E1A">
      <w:pPr>
        <w:spacing w:line="276" w:lineRule="exact"/>
        <w:rPr>
          <w:highlight w:val="green"/>
          <w:rtl/>
        </w:rPr>
      </w:pPr>
      <w:r w:rsidRPr="00725EB4">
        <w:rPr>
          <w:noProof/>
          <w:highlight w:val="green"/>
          <w:rtl/>
        </w:rPr>
        <mc:AlternateContent>
          <mc:Choice Requires="wps">
            <w:drawing>
              <wp:anchor distT="0" distB="0" distL="114300" distR="114300" simplePos="0" relativeHeight="251697152" behindDoc="1" locked="0" layoutInCell="1" allowOverlap="1" wp14:anchorId="3ECBF727" wp14:editId="31D56D4F">
                <wp:simplePos x="0" y="0"/>
                <wp:positionH relativeFrom="margin">
                  <wp:align>center</wp:align>
                </wp:positionH>
                <wp:positionV relativeFrom="paragraph">
                  <wp:posOffset>228600</wp:posOffset>
                </wp:positionV>
                <wp:extent cx="5765800" cy="7284720"/>
                <wp:effectExtent l="0" t="0" r="25400" b="11430"/>
                <wp:wrapNone/>
                <wp:docPr id="24" name="מלבן 24"/>
                <wp:cNvGraphicFramePr/>
                <a:graphic xmlns:a="http://schemas.openxmlformats.org/drawingml/2006/main">
                  <a:graphicData uri="http://schemas.microsoft.com/office/word/2010/wordprocessingShape">
                    <wps:wsp>
                      <wps:cNvSpPr/>
                      <wps:spPr>
                        <a:xfrm>
                          <a:off x="0" y="0"/>
                          <a:ext cx="5765800" cy="728472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63748" id="מלבן 24" o:spid="_x0000_s1026" style="position:absolute;left:0;text-align:left;margin-left:0;margin-top:18pt;width:454pt;height:573.6pt;z-index:-251619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z7iAIAAAMFAAAOAAAAZHJzL2Uyb0RvYy54bWysVNtuGjEQfa/Uf7D83iwgyAVliRARVaUo&#10;jZRUeTZeL2vJt9qGhf5F36v2s/idHns35NI+VeXBeDzjmTnHZ/byaqcV2QofpDUlHZ4MKBGG20qa&#10;dUm/PCw/nFMSIjMVU9aIku5FoFez9+8uWzcVI9tYVQlPkMSEaetK2sTopkUReCM0CyfWCQNnbb1m&#10;EaZfF5VnLbJrVYwGg9Oitb5y3nIRAk6vOyed5fx1LXj8XNdBRKJKit5iXn1eV2ktZpdsuvbMNZL3&#10;bbB/6EIzaVD0mOqaRUY2Xv6RSkvubbB1POFWF7auJRcZA9AMB2/Q3DfMiYwF5AR3pCn8v7T8dnvn&#10;iaxKOhpTYpjGGx1+Hn4cvh9+ERyBn9aFKcLu3Z3vrYBtArurvU7/gEF2mdP9kVOxi4TjcHJ2Ojkf&#10;gHoO39nofHw2yqwXz9edD/GjsJqkTUk9Hi1zybY3IaIkQp9CUrVglayWUqls7MNCebJleF/IorIt&#10;JYqFiMOSLvMvYUCKV9eUIS3kejGYpM4YhFcrFrHVDlQEs6aEqTUUzaPPvby6Hfx6daw6BqJFJupt&#10;kdT0NQtN113O0OlNywjRK6lLCmrw61tUJkESWbY99ER+R3farWy1x3N52+k4OL6UKHIDwHfMQ7hA&#10;g2GMn7HUygKi7XeUNNZ/+9t5ioee4KWkxSAA/tcN8wI8fjJQ2sVwPE6Tk43xJD0f8S89q5ces9EL&#10;i7cYYuwdz9sUH9XTae2tfsTMzlNVuJjhqN0R3RuL2A0opp6L+TyHYVocizfm3vGUPPGU6H3YPTLv&#10;euFEaO7WPg0Nm77RTxebbho730RbyyyuZ14hk2Rg0rJg+q9CGuWXdo56/nbNfgMAAP//AwBQSwME&#10;FAAGAAgAAAAhAL9TaindAAAACAEAAA8AAABkcnMvZG93bnJldi54bWxMj0FPwzAMhe9I/IfISNxY&#10;0k2qSmk6MSQEHEDbQJyzxqQVjVOabC3/HnOCk229p+fvVevZ9+KEY+wCacgWCgRSE2xHTsPb6/1V&#10;ASImQ9b0gVDDN0ZY1+dnlSltmGiHp31ygkMolkZDm9JQShmbFr2JizAgsfYRRm8Sn6OTdjQTh/te&#10;LpXKpTcd8YfWDHjXYvO5P3oNTxv39f7osl3u++20oQf18hyU1pcX8+0NiIRz+jPDLz6jQ81Mh3Ak&#10;G0WvgYskDaucJ6vXquDlwLasWC1B1pX8X6D+AQAA//8DAFBLAQItABQABgAIAAAAIQC2gziS/gAA&#10;AOEBAAATAAAAAAAAAAAAAAAAAAAAAABbQ29udGVudF9UeXBlc10ueG1sUEsBAi0AFAAGAAgAAAAh&#10;ADj9If/WAAAAlAEAAAsAAAAAAAAAAAAAAAAALwEAAF9yZWxzLy5yZWxzUEsBAi0AFAAGAAgAAAAh&#10;AAFfrPuIAgAAAwUAAA4AAAAAAAAAAAAAAAAALgIAAGRycy9lMm9Eb2MueG1sUEsBAi0AFAAGAAgA&#10;AAAhAL9TaindAAAACAEAAA8AAAAAAAAAAAAAAAAA4gQAAGRycy9kb3ducmV2LnhtbFBLBQYAAAAA&#10;BAAEAPMAAADsBQAAAAA=&#10;" fillcolor="window" strokecolor="#4472c4" strokeweight="1.5pt">
                <w10:wrap anchorx="margin"/>
              </v:rect>
            </w:pict>
          </mc:Fallback>
        </mc:AlternateContent>
      </w:r>
    </w:p>
    <w:p w:rsidR="00C26E1A" w:rsidRPr="00725EB4" w:rsidRDefault="00C26E1A" w:rsidP="00C26E1A">
      <w:pPr>
        <w:spacing w:line="276" w:lineRule="exact"/>
        <w:jc w:val="center"/>
        <w:rPr>
          <w:b/>
          <w:bCs/>
          <w:sz w:val="24"/>
          <w:szCs w:val="24"/>
          <w:rtl/>
        </w:rPr>
      </w:pPr>
      <w:r w:rsidRPr="00725EB4">
        <w:rPr>
          <w:rFonts w:hint="cs"/>
          <w:b/>
          <w:bCs/>
          <w:sz w:val="24"/>
          <w:szCs w:val="24"/>
          <w:rtl/>
        </w:rPr>
        <w:t>מקורות</w:t>
      </w:r>
    </w:p>
    <w:p w:rsidR="00C26E1A" w:rsidRDefault="00C26E1A" w:rsidP="00C26E1A">
      <w:pPr>
        <w:spacing w:line="276" w:lineRule="exact"/>
        <w:rPr>
          <w:sz w:val="24"/>
          <w:szCs w:val="24"/>
          <w:rtl/>
        </w:rPr>
      </w:pPr>
      <w:r w:rsidRPr="00E25534">
        <w:rPr>
          <w:rFonts w:hint="cs"/>
          <w:sz w:val="24"/>
          <w:szCs w:val="24"/>
          <w:rtl/>
        </w:rPr>
        <w:t xml:space="preserve">א. </w:t>
      </w:r>
      <w:r>
        <w:rPr>
          <w:rFonts w:hint="cs"/>
          <w:sz w:val="24"/>
          <w:szCs w:val="24"/>
          <w:rtl/>
        </w:rPr>
        <w:t xml:space="preserve">שמות פרק ל פס' ט-י; </w:t>
      </w:r>
      <w:r w:rsidRPr="00E25534">
        <w:rPr>
          <w:rFonts w:hint="cs"/>
          <w:sz w:val="24"/>
          <w:szCs w:val="24"/>
          <w:rtl/>
        </w:rPr>
        <w:t>ויקרא פרק טז פס' יד-יט; [פרק ד פס' ה-ז ופס' טז-יח]</w:t>
      </w:r>
    </w:p>
    <w:p w:rsidR="00C26E1A" w:rsidRDefault="00C26E1A" w:rsidP="00C26E1A">
      <w:pPr>
        <w:spacing w:line="276" w:lineRule="exact"/>
        <w:rPr>
          <w:sz w:val="24"/>
          <w:szCs w:val="24"/>
          <w:rtl/>
        </w:rPr>
      </w:pPr>
      <w:r>
        <w:rPr>
          <w:rFonts w:hint="cs"/>
          <w:sz w:val="24"/>
          <w:szCs w:val="24"/>
          <w:rtl/>
        </w:rPr>
        <w:t>ב. משנה זבחים פ"ה מ"א-ב</w:t>
      </w:r>
    </w:p>
    <w:p w:rsidR="00C26E1A" w:rsidRDefault="00C26E1A" w:rsidP="00C26E1A">
      <w:pPr>
        <w:spacing w:line="276" w:lineRule="exact"/>
        <w:rPr>
          <w:sz w:val="24"/>
          <w:szCs w:val="24"/>
          <w:rtl/>
        </w:rPr>
      </w:pPr>
      <w:r>
        <w:rPr>
          <w:rFonts w:hint="cs"/>
          <w:sz w:val="24"/>
          <w:szCs w:val="24"/>
          <w:rtl/>
        </w:rPr>
        <w:t>ג. משנה יומא נג:; גמ' נה. "מנא הני מילי... למעלה בפר אחת"; נו:-נז. "תנו רבנן.... שלא כסדרן"; נח: "מתני'... חוץ למזבח ומזה"</w:t>
      </w:r>
    </w:p>
    <w:p w:rsidR="00C26E1A" w:rsidRDefault="00C26E1A" w:rsidP="00C26E1A">
      <w:pPr>
        <w:spacing w:line="276" w:lineRule="exact"/>
        <w:rPr>
          <w:sz w:val="24"/>
          <w:szCs w:val="24"/>
          <w:rtl/>
        </w:rPr>
      </w:pPr>
      <w:r>
        <w:rPr>
          <w:rFonts w:hint="cs"/>
          <w:sz w:val="24"/>
          <w:szCs w:val="24"/>
          <w:rtl/>
        </w:rPr>
        <w:t>ד. רמב"ם הל' מעשה הקרבנות פ"ה הי"ב-יג; הל' עבודת יום הכיפורים פ"ד ה"ב; [משנה למלך הל' מעשה הקרבנות, שם]</w:t>
      </w:r>
    </w:p>
    <w:p w:rsidR="00C26E1A" w:rsidRDefault="00C26E1A" w:rsidP="00C26E1A">
      <w:pPr>
        <w:spacing w:line="276" w:lineRule="exact"/>
        <w:rPr>
          <w:sz w:val="24"/>
          <w:szCs w:val="24"/>
          <w:rtl/>
        </w:rPr>
      </w:pPr>
      <w:r>
        <w:rPr>
          <w:rFonts w:hint="cs"/>
          <w:sz w:val="24"/>
          <w:szCs w:val="24"/>
          <w:rtl/>
        </w:rPr>
        <w:t>ה. גבורת ארי יומא נז. ד"ה אלא כנגד הפרוכת</w:t>
      </w:r>
    </w:p>
    <w:p w:rsidR="00C26E1A" w:rsidRPr="00E25534" w:rsidRDefault="00C26E1A" w:rsidP="00C26E1A">
      <w:pPr>
        <w:spacing w:line="276" w:lineRule="exact"/>
        <w:rPr>
          <w:sz w:val="24"/>
          <w:szCs w:val="24"/>
          <w:rtl/>
        </w:rPr>
      </w:pPr>
      <w:r>
        <w:rPr>
          <w:rFonts w:hint="cs"/>
          <w:sz w:val="24"/>
          <w:szCs w:val="24"/>
          <w:rtl/>
        </w:rPr>
        <w:t>ו. משנה יומא ס.;  חידושי הגרי"ז זבחים לט: תוס' ד"ה לפר</w:t>
      </w:r>
    </w:p>
    <w:p w:rsidR="00C26E1A" w:rsidRPr="00725EB4" w:rsidRDefault="00C26E1A" w:rsidP="00C26E1A">
      <w:pPr>
        <w:spacing w:line="276" w:lineRule="exact"/>
        <w:rPr>
          <w:sz w:val="24"/>
          <w:szCs w:val="24"/>
          <w:highlight w:val="green"/>
          <w:rtl/>
        </w:rPr>
      </w:pPr>
    </w:p>
    <w:p w:rsidR="00C26E1A"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גבורת ארי יומא נז. ד"ה אלא כנגד</w:t>
      </w:r>
    </w:p>
    <w:p w:rsidR="00C26E1A" w:rsidRDefault="00C26E1A" w:rsidP="00C26E1A">
      <w:pPr>
        <w:spacing w:line="276" w:lineRule="exact"/>
        <w:rPr>
          <w:rFonts w:ascii="FrankRuehl" w:hAnsi="FrankRuehl" w:cs="FrankRuehl"/>
          <w:sz w:val="24"/>
          <w:szCs w:val="24"/>
          <w:rtl/>
        </w:rPr>
      </w:pPr>
      <w:r w:rsidRPr="009A3A24">
        <w:rPr>
          <w:rFonts w:ascii="FrankRuehl" w:hAnsi="FrankRuehl" w:cs="FrankRuehl"/>
          <w:sz w:val="24"/>
          <w:szCs w:val="24"/>
          <w:rtl/>
        </w:rPr>
        <w:t>והמחוור נראה לי דהיינו טעמא דלא קאמר גבי יום הכיפורים 'ואם נגעו נגעו' כדתני גבי הני, משום דמקום הפרוכת של משכן קדושתו כלפנים ומחודו החיצון ולפנים הוי קודש הקדשים... וכיון שכן איכא למימר, דלתנא קמא בשל יום הכיפורים דכתב רחמנא 'וכן יעשה באוהל מועד', היינו היכל, אי אפשר להזות אלא כנגד הפרוכת, אבל לא יגעו בפרוכת כיון דפרוכת קדושת קודש הקדשים עליו הוה ליה כאלו מזה בקודש קדשים ולא בהיכל... מה שאין כן הזאת פר העלם דבר, דרחמנא לא תלי להו באוהל מועד אלא בפרוכת, כדכתיב 'והיזה את פני הפרוכת', לית לן בה אפילו אי נוגע בו.</w:t>
      </w:r>
    </w:p>
    <w:p w:rsidR="00C26E1A" w:rsidRPr="0019287E" w:rsidRDefault="00C26E1A" w:rsidP="00C26E1A">
      <w:pPr>
        <w:spacing w:line="276" w:lineRule="exact"/>
        <w:rPr>
          <w:rFonts w:ascii="FrankRuehl" w:hAnsi="FrankRuehl" w:cs="FrankRuehl"/>
          <w:b/>
          <w:bCs/>
          <w:sz w:val="24"/>
          <w:szCs w:val="24"/>
          <w:rtl/>
        </w:rPr>
      </w:pPr>
    </w:p>
    <w:p w:rsidR="00C26E1A" w:rsidRPr="0019287E" w:rsidRDefault="00C26E1A" w:rsidP="00C26E1A">
      <w:pPr>
        <w:spacing w:line="276" w:lineRule="exact"/>
        <w:rPr>
          <w:rFonts w:ascii="FrankRuehl" w:hAnsi="FrankRuehl" w:cs="FrankRuehl"/>
          <w:b/>
          <w:bCs/>
          <w:sz w:val="24"/>
          <w:szCs w:val="24"/>
          <w:rtl/>
        </w:rPr>
      </w:pPr>
      <w:r w:rsidRPr="0019287E">
        <w:rPr>
          <w:rFonts w:ascii="FrankRuehl" w:hAnsi="FrankRuehl" w:cs="FrankRuehl" w:hint="cs"/>
          <w:b/>
          <w:bCs/>
          <w:sz w:val="24"/>
          <w:szCs w:val="24"/>
          <w:rtl/>
        </w:rPr>
        <w:t>חדושי הגרי"ז זבחים לט: תוס' ד"ה לפר</w:t>
      </w:r>
    </w:p>
    <w:p w:rsidR="00C26E1A" w:rsidRPr="0019287E" w:rsidRDefault="00C26E1A" w:rsidP="00C26E1A">
      <w:pPr>
        <w:spacing w:line="276" w:lineRule="exact"/>
        <w:rPr>
          <w:rFonts w:ascii="FrankRuehl" w:hAnsi="FrankRuehl" w:cs="FrankRuehl"/>
          <w:sz w:val="24"/>
          <w:szCs w:val="24"/>
          <w:highlight w:val="green"/>
          <w:rtl/>
        </w:rPr>
      </w:pPr>
      <w:r w:rsidRPr="0019287E">
        <w:rPr>
          <w:rFonts w:ascii="FrankRuehl" w:hAnsi="FrankRuehl" w:cs="FrankRuehl"/>
          <w:sz w:val="24"/>
          <w:szCs w:val="24"/>
          <w:rtl/>
        </w:rPr>
        <w:t>דנראה דהא דמ"ג הזאות מעכבים אינם דין בעצם הקרבן, דהקרבן בעי להיתרו מ"ג הזאות, אלא שהוא דין בחובת היום, אבל בהיתרא דקרבן אינם מעכבים כלל, וראיה מהא דיכול להביא ד' קרבנות של פר וד' שעירים, ואי נימא דלהיתרא דגוף הקרבן בעי כל ההזאות, איך שייך שיותר בהזאות דחבירו, אלא ע"כ דבעצם הקרבן אין צריך כלל כל ההזאות אלא לחובת היום, ולחובת היום יוצא בד' פרים ג"כ, והראיה לזה מהא דאיתא ביומא (דף סא ע"ב) פלוגתא אם נשרפין כולם, או דאינו נשרף אלא האחרון משום שבו נגמר הכפרה, ואי נימא דעבודת השני עולה לראשון גם כן, א"כ מאי עדיפות יש בפר האחרון מהראשון, ומדוע נקרא שבו נגמר הכפרה, הלא כל פר היה לו כל המ"ג הזאות, ומוכרח מזה דעבודת האחד אינו עולה להשני, רק דיוצא משום דכל המ"ג הזאות לא בעינן להיתרא של הקרבן רק לחובת היום ולכן יוצא בד' פרים</w:t>
      </w:r>
      <w:r>
        <w:rPr>
          <w:rFonts w:ascii="FrankRuehl" w:hAnsi="FrankRuehl" w:cs="FrankRuehl" w:hint="cs"/>
          <w:sz w:val="24"/>
          <w:szCs w:val="24"/>
          <w:rtl/>
        </w:rPr>
        <w:t>...</w:t>
      </w:r>
      <w:r w:rsidRPr="0019287E">
        <w:rPr>
          <w:rFonts w:ascii="FrankRuehl" w:hAnsi="FrankRuehl" w:cs="FrankRuehl"/>
          <w:sz w:val="24"/>
          <w:szCs w:val="24"/>
          <w:rtl/>
        </w:rPr>
        <w:t xml:space="preserve"> וכן הא דמצינו ביומא שיכול מצורע להביא כמה לוגין, זהו ג"כ משום דהוי רק עיכוב</w:t>
      </w:r>
      <w:r>
        <w:rPr>
          <w:rFonts w:ascii="FrankRuehl" w:hAnsi="FrankRuehl" w:cs="FrankRuehl"/>
          <w:sz w:val="24"/>
          <w:szCs w:val="24"/>
          <w:rtl/>
        </w:rPr>
        <w:t>א בטהרת מצורע אבל לא בעצם הקרבן</w:t>
      </w:r>
      <w:r>
        <w:rPr>
          <w:rFonts w:ascii="FrankRuehl" w:hAnsi="FrankRuehl" w:cs="FrankRuehl" w:hint="cs"/>
          <w:sz w:val="24"/>
          <w:szCs w:val="24"/>
          <w:rtl/>
        </w:rPr>
        <w:t>.</w:t>
      </w:r>
      <w:r w:rsidRPr="0019287E">
        <w:rPr>
          <w:rFonts w:ascii="FrankRuehl" w:hAnsi="FrankRuehl" w:cs="FrankRuehl"/>
          <w:sz w:val="24"/>
          <w:szCs w:val="24"/>
          <w:rtl/>
        </w:rPr>
        <w:t xml:space="preserve"> ולפי"ז נמצא דבפר העלם דבר ושאר הפנימיים לא יוכל להביא פר אחר, אם נשפך לאחר שנתן על הפרוכת וליתן על המזבח, כיון דשם העיכוב הוא בעצם הקרבן, לא יועיל חבירו עליו ויצטרך להתחיל מתחילה, וא"כ נפ"מ גדולה בעיכוב של זה דיוהכ"פ משאר חטאות הפנימיים, אבל באמת יש פלוגתא בירושלמי יומא אם דין זה נוהג בפרים הנשרפים, אמנם נראה דהירושלמי אזיל ע"פ שיטה אחרת, דהא מיבעי' ליה שם (פ"ה סוה"ד) אם מפגל מזה על זה, ובע"כ דס"ל דהקרבנות מצטרפין להיות חד גופא, ומשום הכי שייך גם בפרים הנשרפין דין זה</w:t>
      </w:r>
      <w:r w:rsidRPr="0019287E">
        <w:rPr>
          <w:rFonts w:ascii="FrankRuehl" w:hAnsi="FrankRuehl" w:cs="FrankRuehl" w:hint="cs"/>
          <w:sz w:val="24"/>
          <w:szCs w:val="24"/>
          <w:rtl/>
        </w:rPr>
        <w:t>.</w:t>
      </w:r>
    </w:p>
    <w:p w:rsidR="00C26E1A" w:rsidRPr="00725EB4" w:rsidRDefault="00C26E1A" w:rsidP="00C26E1A">
      <w:pPr>
        <w:spacing w:line="276" w:lineRule="exact"/>
        <w:rPr>
          <w:rFonts w:ascii="FrankRuehl" w:hAnsi="FrankRuehl" w:cs="FrankRuehl"/>
          <w:sz w:val="24"/>
          <w:szCs w:val="24"/>
          <w:highlight w:val="green"/>
          <w:rtl/>
        </w:rPr>
      </w:pPr>
    </w:p>
    <w:p w:rsidR="00782FFD" w:rsidRDefault="00782FFD" w:rsidP="00C26E1A">
      <w:pPr>
        <w:spacing w:before="200" w:line="276" w:lineRule="exact"/>
        <w:ind w:firstLine="227"/>
        <w:rPr>
          <w:sz w:val="24"/>
          <w:szCs w:val="24"/>
          <w:rtl/>
        </w:rPr>
      </w:pPr>
    </w:p>
    <w:p w:rsidR="00C26E1A" w:rsidRDefault="00C26E1A" w:rsidP="00C26E1A">
      <w:pPr>
        <w:spacing w:before="200" w:line="276" w:lineRule="exact"/>
        <w:ind w:firstLine="227"/>
        <w:rPr>
          <w:sz w:val="24"/>
          <w:szCs w:val="24"/>
          <w:rtl/>
        </w:rPr>
      </w:pPr>
      <w:r>
        <w:rPr>
          <w:rFonts w:hint="cs"/>
          <w:sz w:val="24"/>
          <w:szCs w:val="24"/>
          <w:rtl/>
        </w:rPr>
        <w:lastRenderedPageBreak/>
        <w:t>המשנה במסכת זבחים מתארת את עבודתם הייחודית של פר ושעיר של יום הכיפורים:</w:t>
      </w:r>
    </w:p>
    <w:p w:rsidR="00C26E1A" w:rsidRPr="00725EB4" w:rsidRDefault="00C26E1A" w:rsidP="00C26E1A">
      <w:pPr>
        <w:spacing w:before="200" w:line="276" w:lineRule="exact"/>
        <w:ind w:left="720"/>
        <w:rPr>
          <w:sz w:val="20"/>
          <w:szCs w:val="20"/>
          <w:rtl/>
        </w:rPr>
      </w:pPr>
      <w:r w:rsidRPr="00725EB4">
        <w:rPr>
          <w:sz w:val="24"/>
          <w:szCs w:val="24"/>
          <w:rtl/>
        </w:rPr>
        <w:t>פר ושעיר של יום הכפורים שחיטתן בצפון</w:t>
      </w:r>
      <w:r>
        <w:rPr>
          <w:rFonts w:hint="cs"/>
          <w:sz w:val="24"/>
          <w:szCs w:val="24"/>
          <w:rtl/>
        </w:rPr>
        <w:t>,</w:t>
      </w:r>
      <w:r w:rsidRPr="00725EB4">
        <w:rPr>
          <w:sz w:val="24"/>
          <w:szCs w:val="24"/>
          <w:rtl/>
        </w:rPr>
        <w:t xml:space="preserve"> וק</w:t>
      </w:r>
      <w:r>
        <w:rPr>
          <w:rFonts w:hint="cs"/>
          <w:sz w:val="24"/>
          <w:szCs w:val="24"/>
          <w:rtl/>
        </w:rPr>
        <w:t>י</w:t>
      </w:r>
      <w:r w:rsidRPr="00725EB4">
        <w:rPr>
          <w:sz w:val="24"/>
          <w:szCs w:val="24"/>
          <w:rtl/>
        </w:rPr>
        <w:t>בול דמן בכלי שרת בצפון</w:t>
      </w:r>
      <w:r>
        <w:rPr>
          <w:rFonts w:hint="cs"/>
          <w:sz w:val="24"/>
          <w:szCs w:val="24"/>
          <w:rtl/>
        </w:rPr>
        <w:t>,</w:t>
      </w:r>
      <w:r w:rsidRPr="00725EB4">
        <w:rPr>
          <w:sz w:val="24"/>
          <w:szCs w:val="24"/>
          <w:rtl/>
        </w:rPr>
        <w:t xml:space="preserve"> ודמן טעון הזיה על בין הבדים ועל הפרוכת ועל מזבח הזהב</w:t>
      </w:r>
      <w:r>
        <w:rPr>
          <w:rFonts w:hint="cs"/>
          <w:sz w:val="24"/>
          <w:szCs w:val="24"/>
          <w:rtl/>
        </w:rPr>
        <w:t>.</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[זבחים פ"ה מ"א]</w:t>
      </w:r>
    </w:p>
    <w:p w:rsidR="00C26E1A" w:rsidRDefault="00C26E1A" w:rsidP="00C26E1A">
      <w:pPr>
        <w:spacing w:before="200" w:line="276" w:lineRule="exact"/>
        <w:ind w:firstLine="227"/>
        <w:rPr>
          <w:sz w:val="24"/>
          <w:szCs w:val="24"/>
          <w:rtl/>
        </w:rPr>
      </w:pPr>
      <w:r>
        <w:rPr>
          <w:rFonts w:hint="cs"/>
          <w:sz w:val="24"/>
          <w:szCs w:val="24"/>
          <w:rtl/>
        </w:rPr>
        <w:t>מקור שלוש הזאות אלו, "על בין הבדים ועל הפרוכת ועל מזבח הזהב", הוא בכתובים בפרשת אחרי מות:</w:t>
      </w:r>
    </w:p>
    <w:p w:rsidR="00C26E1A" w:rsidRDefault="00C26E1A" w:rsidP="00C26E1A">
      <w:pPr>
        <w:pStyle w:val="a8"/>
        <w:numPr>
          <w:ilvl w:val="0"/>
          <w:numId w:val="6"/>
        </w:numPr>
        <w:spacing w:before="200" w:line="276" w:lineRule="exact"/>
        <w:rPr>
          <w:sz w:val="24"/>
          <w:szCs w:val="24"/>
        </w:rPr>
      </w:pPr>
      <w:r w:rsidRPr="00063A72">
        <w:rPr>
          <w:rFonts w:hint="cs"/>
          <w:sz w:val="24"/>
          <w:szCs w:val="24"/>
          <w:rtl/>
        </w:rPr>
        <w:t xml:space="preserve">מפורש בכתוב </w:t>
      </w:r>
      <w:r w:rsidRPr="00063A72">
        <w:rPr>
          <w:rFonts w:hint="cs"/>
          <w:sz w:val="20"/>
          <w:szCs w:val="20"/>
          <w:rtl/>
        </w:rPr>
        <w:t>[ויקרא טז, יד-טו]</w:t>
      </w:r>
      <w:r w:rsidRPr="00063A72">
        <w:rPr>
          <w:rFonts w:hint="cs"/>
          <w:sz w:val="24"/>
          <w:szCs w:val="24"/>
          <w:rtl/>
        </w:rPr>
        <w:t xml:space="preserve"> כי יש להזות את דם הפר ואת דם השעיר בקודש הקדשים: </w:t>
      </w:r>
      <w:r>
        <w:rPr>
          <w:rFonts w:hint="cs"/>
          <w:sz w:val="24"/>
          <w:szCs w:val="24"/>
          <w:rtl/>
        </w:rPr>
        <w:t>"</w:t>
      </w:r>
      <w:r w:rsidRPr="00063A72">
        <w:rPr>
          <w:sz w:val="24"/>
          <w:szCs w:val="24"/>
          <w:rtl/>
        </w:rPr>
        <w:t>ולקח מדם הפר והזה באצבעו על פני הכפרת קדמה</w:t>
      </w:r>
      <w:r w:rsidRPr="00063A72">
        <w:rPr>
          <w:rFonts w:hint="cs"/>
          <w:sz w:val="24"/>
          <w:szCs w:val="24"/>
          <w:rtl/>
        </w:rPr>
        <w:t>,</w:t>
      </w:r>
      <w:r w:rsidRPr="00063A72">
        <w:rPr>
          <w:sz w:val="24"/>
          <w:szCs w:val="24"/>
          <w:rtl/>
        </w:rPr>
        <w:t xml:space="preserve"> ולפני הכפרת יזה שבע פעמים מן הדם באצבעו</w:t>
      </w:r>
      <w:r w:rsidRPr="00063A72">
        <w:rPr>
          <w:rFonts w:hint="cs"/>
          <w:sz w:val="24"/>
          <w:szCs w:val="24"/>
          <w:rtl/>
        </w:rPr>
        <w:t>.</w:t>
      </w:r>
      <w:r w:rsidRPr="00063A72">
        <w:rPr>
          <w:sz w:val="24"/>
          <w:szCs w:val="24"/>
          <w:rtl/>
        </w:rPr>
        <w:t xml:space="preserve"> ושחט את שעיר החטאת אשר לעם והביא את דמו אל מבית לפרכת</w:t>
      </w:r>
      <w:r w:rsidRPr="00063A72">
        <w:rPr>
          <w:rFonts w:hint="cs"/>
          <w:sz w:val="24"/>
          <w:szCs w:val="24"/>
          <w:rtl/>
        </w:rPr>
        <w:t>,</w:t>
      </w:r>
      <w:r w:rsidRPr="00063A72">
        <w:rPr>
          <w:sz w:val="24"/>
          <w:szCs w:val="24"/>
          <w:rtl/>
        </w:rPr>
        <w:t xml:space="preserve"> ועשה את דמו כאשר עשה לדם הפר והזה אתו על הכפרת ולפני הכפרת</w:t>
      </w:r>
      <w:r>
        <w:rPr>
          <w:rFonts w:hint="cs"/>
          <w:sz w:val="24"/>
          <w:szCs w:val="24"/>
          <w:rtl/>
        </w:rPr>
        <w:t>"</w:t>
      </w:r>
      <w:r w:rsidRPr="00063A72">
        <w:rPr>
          <w:rFonts w:hint="cs"/>
          <w:sz w:val="24"/>
          <w:szCs w:val="24"/>
          <w:rtl/>
        </w:rPr>
        <w:t xml:space="preserve">. </w:t>
      </w:r>
    </w:p>
    <w:p w:rsidR="00C26E1A" w:rsidRDefault="00C26E1A" w:rsidP="00C26E1A">
      <w:pPr>
        <w:pStyle w:val="a8"/>
        <w:numPr>
          <w:ilvl w:val="0"/>
          <w:numId w:val="6"/>
        </w:numPr>
        <w:spacing w:before="200" w:line="276" w:lineRule="exact"/>
        <w:rPr>
          <w:sz w:val="24"/>
          <w:szCs w:val="24"/>
        </w:rPr>
      </w:pPr>
      <w:r>
        <w:rPr>
          <w:rFonts w:hint="cs"/>
          <w:sz w:val="24"/>
          <w:szCs w:val="24"/>
          <w:rtl/>
        </w:rPr>
        <w:t xml:space="preserve">מהכתוב </w:t>
      </w:r>
      <w:r>
        <w:rPr>
          <w:rFonts w:hint="cs"/>
          <w:sz w:val="20"/>
          <w:szCs w:val="20"/>
          <w:rtl/>
        </w:rPr>
        <w:t>[שם, טז]</w:t>
      </w:r>
      <w:r>
        <w:rPr>
          <w:rFonts w:hint="cs"/>
          <w:sz w:val="24"/>
          <w:szCs w:val="24"/>
          <w:rtl/>
        </w:rPr>
        <w:t xml:space="preserve"> "וכן יעשה לאהל מועד" לומדים חז"ל </w:t>
      </w:r>
      <w:r>
        <w:rPr>
          <w:rFonts w:hint="cs"/>
          <w:sz w:val="20"/>
          <w:szCs w:val="20"/>
          <w:rtl/>
        </w:rPr>
        <w:t>[ספרא אחרי מות פרק ד הל' ה; יומא נו:]</w:t>
      </w:r>
      <w:r>
        <w:rPr>
          <w:rFonts w:hint="cs"/>
          <w:sz w:val="24"/>
          <w:szCs w:val="24"/>
          <w:rtl/>
        </w:rPr>
        <w:t xml:space="preserve"> כי ההזאות נעשות גם בהיכל.</w:t>
      </w:r>
    </w:p>
    <w:p w:rsidR="00C26E1A" w:rsidRPr="00063A72" w:rsidRDefault="00C26E1A" w:rsidP="00C26E1A">
      <w:pPr>
        <w:pStyle w:val="a8"/>
        <w:numPr>
          <w:ilvl w:val="0"/>
          <w:numId w:val="6"/>
        </w:numPr>
        <w:spacing w:before="200" w:line="276" w:lineRule="exact"/>
        <w:rPr>
          <w:sz w:val="24"/>
          <w:szCs w:val="24"/>
          <w:rtl/>
        </w:rPr>
      </w:pPr>
      <w:r>
        <w:rPr>
          <w:rFonts w:hint="cs"/>
          <w:sz w:val="24"/>
          <w:szCs w:val="24"/>
          <w:rtl/>
        </w:rPr>
        <w:t xml:space="preserve">מפורש בכתוב </w:t>
      </w:r>
      <w:r>
        <w:rPr>
          <w:rFonts w:hint="cs"/>
          <w:sz w:val="20"/>
          <w:szCs w:val="20"/>
          <w:rtl/>
        </w:rPr>
        <w:t>[שם, יח-יט]</w:t>
      </w:r>
      <w:r>
        <w:rPr>
          <w:rFonts w:hint="cs"/>
          <w:sz w:val="24"/>
          <w:szCs w:val="24"/>
          <w:rtl/>
        </w:rPr>
        <w:t xml:space="preserve"> כי לבסוף הכהן הגדול מזה מדם הפר והשעיר על מזבח הזהב: "</w:t>
      </w:r>
      <w:r w:rsidRPr="00063A72">
        <w:rPr>
          <w:sz w:val="24"/>
          <w:szCs w:val="24"/>
          <w:rtl/>
        </w:rPr>
        <w:t>ויצא אל המזבח אשר לפני ה' וכפר עליו</w:t>
      </w:r>
      <w:r w:rsidRPr="00063A72">
        <w:rPr>
          <w:rFonts w:hint="cs"/>
          <w:sz w:val="24"/>
          <w:szCs w:val="24"/>
          <w:rtl/>
        </w:rPr>
        <w:t>,</w:t>
      </w:r>
      <w:r w:rsidRPr="00063A72">
        <w:rPr>
          <w:sz w:val="24"/>
          <w:szCs w:val="24"/>
          <w:rtl/>
        </w:rPr>
        <w:t xml:space="preserve"> ולקח מדם הפר ומדם השעיר ונתן על קרנות המזבח סביב</w:t>
      </w:r>
      <w:r w:rsidRPr="00063A72">
        <w:rPr>
          <w:rFonts w:hint="cs"/>
          <w:sz w:val="24"/>
          <w:szCs w:val="24"/>
          <w:rtl/>
        </w:rPr>
        <w:t>.</w:t>
      </w:r>
      <w:r w:rsidRPr="00063A72">
        <w:rPr>
          <w:sz w:val="24"/>
          <w:szCs w:val="24"/>
          <w:rtl/>
        </w:rPr>
        <w:t xml:space="preserve"> והזה עליו מן הדם באצבעו שבע פעמים</w:t>
      </w:r>
      <w:r w:rsidRPr="00063A72">
        <w:rPr>
          <w:rFonts w:hint="cs"/>
          <w:sz w:val="24"/>
          <w:szCs w:val="24"/>
          <w:rtl/>
        </w:rPr>
        <w:t>,</w:t>
      </w:r>
      <w:r w:rsidRPr="00063A72">
        <w:rPr>
          <w:sz w:val="24"/>
          <w:szCs w:val="24"/>
          <w:rtl/>
        </w:rPr>
        <w:t xml:space="preserve"> וטהרו וקדשו מטמאת בני ישראל</w:t>
      </w:r>
      <w:r>
        <w:rPr>
          <w:rFonts w:hint="cs"/>
          <w:sz w:val="24"/>
          <w:szCs w:val="24"/>
          <w:rtl/>
        </w:rPr>
        <w:t>"</w:t>
      </w:r>
      <w:r w:rsidRPr="00063A72">
        <w:rPr>
          <w:rFonts w:hint="cs"/>
          <w:sz w:val="24"/>
          <w:szCs w:val="24"/>
          <w:rtl/>
        </w:rPr>
        <w:t xml:space="preserve">. </w:t>
      </w:r>
    </w:p>
    <w:p w:rsidR="00C26E1A" w:rsidRDefault="00C26E1A" w:rsidP="00C26E1A">
      <w:pPr>
        <w:spacing w:before="200" w:line="276" w:lineRule="exact"/>
        <w:ind w:firstLine="266"/>
        <w:rPr>
          <w:sz w:val="24"/>
          <w:szCs w:val="24"/>
          <w:rtl/>
        </w:rPr>
      </w:pPr>
      <w:r>
        <w:rPr>
          <w:rFonts w:hint="cs"/>
          <w:sz w:val="24"/>
          <w:szCs w:val="24"/>
          <w:rtl/>
        </w:rPr>
        <w:t>ואם כן, דם הפר והשעיר של יום הכיפורים אינו ניתן, כשאר הקרבנות, על המזבח החיצון</w:t>
      </w:r>
      <w:r>
        <w:rPr>
          <w:rStyle w:val="a7"/>
          <w:sz w:val="24"/>
          <w:szCs w:val="24"/>
          <w:rtl/>
        </w:rPr>
        <w:footnoteReference w:id="113"/>
      </w:r>
      <w:r>
        <w:rPr>
          <w:rFonts w:hint="cs"/>
          <w:sz w:val="24"/>
          <w:szCs w:val="24"/>
          <w:rtl/>
        </w:rPr>
        <w:t>; אלא הוא משמש להזאות לפני ולפנים, בהיכל ועל מזבח הזהב.</w:t>
      </w:r>
    </w:p>
    <w:p w:rsidR="00C26E1A" w:rsidRDefault="00C26E1A" w:rsidP="00C26E1A">
      <w:pPr>
        <w:spacing w:before="200" w:line="276" w:lineRule="exact"/>
        <w:ind w:firstLine="266"/>
        <w:rPr>
          <w:sz w:val="24"/>
          <w:szCs w:val="24"/>
          <w:rtl/>
        </w:rPr>
      </w:pPr>
      <w:r>
        <w:rPr>
          <w:rFonts w:hint="cs"/>
          <w:sz w:val="24"/>
          <w:szCs w:val="24"/>
          <w:rtl/>
        </w:rPr>
        <w:t xml:space="preserve">ניתן היה להבין כי החילוק בין פר ושעיר של יום הכיפורים לשאר הקרבנות הוא רק במקום נתינת הדם </w:t>
      </w:r>
      <w:r>
        <w:rPr>
          <w:sz w:val="24"/>
          <w:szCs w:val="24"/>
          <w:rtl/>
        </w:rPr>
        <w:t>–</w:t>
      </w:r>
      <w:r>
        <w:rPr>
          <w:rFonts w:hint="cs"/>
          <w:sz w:val="24"/>
          <w:szCs w:val="24"/>
          <w:rtl/>
        </w:rPr>
        <w:t xml:space="preserve"> על המזבח החיצון או בקודש פנימה, אך מצד אופי העבודה ומטרתה אין הבדל בין מתן דם הפר והשעיר של יום הכיפורים לעבודות מתן דמי שאר הקרבנות. עם </w:t>
      </w:r>
      <w:r w:rsidRPr="007D2F0A">
        <w:rPr>
          <w:rFonts w:hint="cs"/>
          <w:sz w:val="24"/>
          <w:szCs w:val="24"/>
          <w:rtl/>
        </w:rPr>
        <w:t xml:space="preserve">זאת, יש שדייקו </w:t>
      </w:r>
      <w:r w:rsidRPr="007D2F0A">
        <w:rPr>
          <w:rFonts w:hint="cs"/>
          <w:sz w:val="20"/>
          <w:szCs w:val="20"/>
          <w:rtl/>
        </w:rPr>
        <w:t>[שיעורי הגרב"ד פוברסקי זבחים ד. אות מב; שיעורי ברכת מרדכי שם, אות קנג]</w:t>
      </w:r>
      <w:r w:rsidRPr="007D2F0A">
        <w:rPr>
          <w:rFonts w:hint="cs"/>
          <w:sz w:val="24"/>
          <w:szCs w:val="24"/>
          <w:rtl/>
        </w:rPr>
        <w:t xml:space="preserve"> לא כך מדברי הגמרא בזבחים</w:t>
      </w:r>
      <w:r>
        <w:rPr>
          <w:rFonts w:hint="cs"/>
          <w:sz w:val="24"/>
          <w:szCs w:val="24"/>
          <w:rtl/>
        </w:rPr>
        <w:t xml:space="preserve"> הדנה במקור פסול מחשבת 'שלא לשמה' בעבודות השונות:</w:t>
      </w:r>
    </w:p>
    <w:p w:rsidR="00C26E1A" w:rsidRDefault="00C26E1A" w:rsidP="00C26E1A">
      <w:pPr>
        <w:spacing w:before="200" w:line="276" w:lineRule="exact"/>
        <w:ind w:firstLine="720"/>
        <w:rPr>
          <w:sz w:val="24"/>
          <w:szCs w:val="24"/>
          <w:rtl/>
        </w:rPr>
      </w:pPr>
      <w:r w:rsidRPr="009A2FAC">
        <w:rPr>
          <w:sz w:val="24"/>
          <w:szCs w:val="24"/>
          <w:rtl/>
        </w:rPr>
        <w:t>זריקה מנלן</w:t>
      </w:r>
      <w:r>
        <w:rPr>
          <w:rFonts w:hint="cs"/>
          <w:sz w:val="24"/>
          <w:szCs w:val="24"/>
          <w:rtl/>
        </w:rPr>
        <w:t>?</w:t>
      </w:r>
      <w:r w:rsidRPr="009A2FAC">
        <w:rPr>
          <w:sz w:val="24"/>
          <w:szCs w:val="24"/>
          <w:rtl/>
        </w:rPr>
        <w:t xml:space="preserve"> וכי תימא לילף מהני</w:t>
      </w:r>
      <w:r>
        <w:rPr>
          <w:rFonts w:hint="cs"/>
          <w:sz w:val="24"/>
          <w:szCs w:val="24"/>
          <w:rtl/>
        </w:rPr>
        <w:t>,</w:t>
      </w:r>
      <w:r w:rsidRPr="009A2FAC">
        <w:rPr>
          <w:sz w:val="24"/>
          <w:szCs w:val="24"/>
          <w:rtl/>
        </w:rPr>
        <w:t xml:space="preserve"> מה להני שכן טעונות צפון </w:t>
      </w:r>
      <w:r w:rsidRPr="00CD58B0">
        <w:rPr>
          <w:b/>
          <w:bCs/>
          <w:sz w:val="24"/>
          <w:szCs w:val="24"/>
          <w:rtl/>
        </w:rPr>
        <w:t>וישנן בחטאות הפנימיות</w:t>
      </w:r>
      <w:r>
        <w:rPr>
          <w:rFonts w:hint="cs"/>
          <w:sz w:val="24"/>
          <w:szCs w:val="24"/>
          <w:rtl/>
        </w:rPr>
        <w:t>.</w:t>
      </w:r>
    </w:p>
    <w:p w:rsidR="00C26E1A" w:rsidRDefault="00C26E1A" w:rsidP="00C26E1A">
      <w:pPr>
        <w:spacing w:before="200" w:line="276" w:lineRule="exact"/>
        <w:ind w:firstLine="720"/>
        <w:jc w:val="right"/>
        <w:rPr>
          <w:sz w:val="24"/>
          <w:szCs w:val="24"/>
          <w:rtl/>
        </w:rPr>
      </w:pPr>
      <w:r>
        <w:rPr>
          <w:rFonts w:hint="cs"/>
          <w:sz w:val="20"/>
          <w:szCs w:val="20"/>
          <w:rtl/>
        </w:rPr>
        <w:t>[זבחים ד.]</w:t>
      </w:r>
    </w:p>
    <w:p w:rsidR="00C26E1A" w:rsidRDefault="00C26E1A" w:rsidP="00C26E1A">
      <w:pPr>
        <w:spacing w:before="200" w:line="276" w:lineRule="exact"/>
        <w:ind w:firstLine="227"/>
        <w:rPr>
          <w:sz w:val="24"/>
          <w:szCs w:val="24"/>
          <w:rtl/>
        </w:rPr>
      </w:pPr>
      <w:r>
        <w:rPr>
          <w:rFonts w:hint="cs"/>
          <w:sz w:val="24"/>
          <w:szCs w:val="24"/>
          <w:rtl/>
        </w:rPr>
        <w:t>הגמרא אומרת כי לא ניתן ללמוד את פסול מחשבת 'שלא לשמה' בזריקה מהפסול הקיים בשאר עבודות הדם, הואיל וקיימת חומרה בשאר העבודות שאינה קיימת בזריקה: "טעונות צפון וישנן בחטאות הפנימיות". מבואר מדברי הגמרא כי עבודת הזריקה אינה מתקיימת בחטאות הפנימיות. ואם כן, ההזאות הנעשות בפנים אינן דומות במהותן לזריקה בשאר הקרבנות, אלא זהו מעשה בעל אופי אחר ומגמה שונה</w:t>
      </w:r>
      <w:r>
        <w:rPr>
          <w:rStyle w:val="a7"/>
          <w:sz w:val="24"/>
          <w:szCs w:val="24"/>
          <w:rtl/>
        </w:rPr>
        <w:footnoteReference w:id="114"/>
      </w:r>
      <w:r>
        <w:rPr>
          <w:rFonts w:hint="cs"/>
          <w:sz w:val="24"/>
          <w:szCs w:val="24"/>
          <w:rtl/>
        </w:rPr>
        <w:t>.</w:t>
      </w:r>
    </w:p>
    <w:p w:rsidR="00C26E1A" w:rsidRDefault="00C26E1A" w:rsidP="00C26E1A">
      <w:pPr>
        <w:spacing w:before="200" w:line="276" w:lineRule="exact"/>
        <w:ind w:firstLine="227"/>
        <w:rPr>
          <w:sz w:val="24"/>
          <w:szCs w:val="24"/>
          <w:rtl/>
        </w:rPr>
      </w:pPr>
      <w:r>
        <w:rPr>
          <w:rFonts w:hint="cs"/>
          <w:sz w:val="24"/>
          <w:szCs w:val="24"/>
          <w:rtl/>
        </w:rPr>
        <w:t>המשמעות הייחודית של הזאות דם הפר והשעיר עולה מתוך התורה עצמה:</w:t>
      </w:r>
    </w:p>
    <w:p w:rsidR="00C26E1A" w:rsidRDefault="00C26E1A" w:rsidP="00C26E1A">
      <w:pPr>
        <w:spacing w:before="200" w:line="276" w:lineRule="exact"/>
        <w:ind w:left="720"/>
        <w:rPr>
          <w:sz w:val="24"/>
          <w:szCs w:val="24"/>
          <w:rtl/>
        </w:rPr>
      </w:pPr>
      <w:r w:rsidRPr="00B1530E">
        <w:rPr>
          <w:b/>
          <w:bCs/>
          <w:sz w:val="24"/>
          <w:szCs w:val="24"/>
          <w:rtl/>
        </w:rPr>
        <w:t>וכפר על הקדש</w:t>
      </w:r>
      <w:r w:rsidRPr="00EB317C">
        <w:rPr>
          <w:sz w:val="24"/>
          <w:szCs w:val="24"/>
          <w:rtl/>
        </w:rPr>
        <w:t xml:space="preserve"> מטמאת בני ישראל ומפשעיהם לכל חטאתם</w:t>
      </w:r>
      <w:r>
        <w:rPr>
          <w:rFonts w:hint="cs"/>
          <w:sz w:val="24"/>
          <w:szCs w:val="24"/>
          <w:rtl/>
        </w:rPr>
        <w:t xml:space="preserve">... </w:t>
      </w:r>
      <w:r w:rsidRPr="00B1530E">
        <w:rPr>
          <w:sz w:val="24"/>
          <w:szCs w:val="24"/>
          <w:rtl/>
        </w:rPr>
        <w:t xml:space="preserve">ויצא אל המזבח אשר לפני ה' </w:t>
      </w:r>
      <w:r w:rsidRPr="00B1530E">
        <w:rPr>
          <w:b/>
          <w:bCs/>
          <w:sz w:val="24"/>
          <w:szCs w:val="24"/>
          <w:rtl/>
        </w:rPr>
        <w:t>וכפר עליו</w:t>
      </w:r>
      <w:r>
        <w:rPr>
          <w:rFonts w:hint="cs"/>
          <w:sz w:val="24"/>
          <w:szCs w:val="24"/>
          <w:rtl/>
        </w:rPr>
        <w:t>...</w:t>
      </w:r>
      <w:r w:rsidRPr="00B1530E">
        <w:rPr>
          <w:sz w:val="24"/>
          <w:szCs w:val="24"/>
          <w:rtl/>
        </w:rPr>
        <w:t xml:space="preserve"> </w:t>
      </w:r>
      <w:r w:rsidRPr="00B1530E">
        <w:rPr>
          <w:b/>
          <w:bCs/>
          <w:sz w:val="24"/>
          <w:szCs w:val="24"/>
          <w:rtl/>
        </w:rPr>
        <w:t>וטהרו וקדשו</w:t>
      </w:r>
      <w:r w:rsidRPr="00B1530E">
        <w:rPr>
          <w:sz w:val="24"/>
          <w:szCs w:val="24"/>
          <w:rtl/>
        </w:rPr>
        <w:t xml:space="preserve"> מטמאת בני ישרא</w:t>
      </w:r>
      <w:r>
        <w:rPr>
          <w:rFonts w:hint="cs"/>
          <w:sz w:val="24"/>
          <w:szCs w:val="24"/>
          <w:rtl/>
        </w:rPr>
        <w:t>ל.</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[ויקרא טז, טז-יט]</w:t>
      </w:r>
    </w:p>
    <w:p w:rsidR="00C26E1A" w:rsidRDefault="00C26E1A" w:rsidP="00C26E1A">
      <w:pPr>
        <w:spacing w:before="200" w:line="276" w:lineRule="exact"/>
        <w:ind w:firstLine="266"/>
        <w:rPr>
          <w:sz w:val="24"/>
          <w:szCs w:val="24"/>
          <w:rtl/>
        </w:rPr>
      </w:pPr>
      <w:r>
        <w:rPr>
          <w:rFonts w:hint="cs"/>
          <w:sz w:val="24"/>
          <w:szCs w:val="24"/>
          <w:rtl/>
        </w:rPr>
        <w:t>התורה מגדירה את הזאות הד</w:t>
      </w:r>
      <w:r w:rsidRPr="00B1530E">
        <w:rPr>
          <w:rFonts w:hint="cs"/>
          <w:sz w:val="24"/>
          <w:szCs w:val="24"/>
          <w:rtl/>
        </w:rPr>
        <w:t>ם</w:t>
      </w:r>
      <w:r>
        <w:rPr>
          <w:rFonts w:hint="cs"/>
          <w:sz w:val="24"/>
          <w:szCs w:val="24"/>
          <w:rtl/>
        </w:rPr>
        <w:t xml:space="preserve"> הנעשות לפני ולפנים</w:t>
      </w:r>
      <w:r w:rsidRPr="00B1530E">
        <w:rPr>
          <w:rFonts w:hint="cs"/>
          <w:sz w:val="24"/>
          <w:szCs w:val="24"/>
          <w:rtl/>
        </w:rPr>
        <w:t xml:space="preserve"> כ</w:t>
      </w:r>
      <w:r w:rsidRPr="00B1530E">
        <w:rPr>
          <w:rFonts w:hint="cs"/>
          <w:b/>
          <w:bCs/>
          <w:sz w:val="24"/>
          <w:szCs w:val="24"/>
          <w:rtl/>
        </w:rPr>
        <w:t>כפרת הקודש</w:t>
      </w:r>
      <w:r>
        <w:rPr>
          <w:rFonts w:hint="cs"/>
          <w:sz w:val="24"/>
          <w:szCs w:val="24"/>
          <w:rtl/>
        </w:rPr>
        <w:t>, ואת ההזאות הנעשות על מזבח הזהב כ</w:t>
      </w:r>
      <w:r w:rsidRPr="00B1530E">
        <w:rPr>
          <w:rFonts w:hint="cs"/>
          <w:b/>
          <w:bCs/>
          <w:sz w:val="24"/>
          <w:szCs w:val="24"/>
          <w:rtl/>
        </w:rPr>
        <w:t>כפרת המזבח</w:t>
      </w:r>
      <w:r w:rsidRPr="00B1530E">
        <w:rPr>
          <w:rFonts w:hint="cs"/>
          <w:sz w:val="24"/>
          <w:szCs w:val="24"/>
          <w:rtl/>
        </w:rPr>
        <w:t xml:space="preserve">. </w:t>
      </w:r>
      <w:r>
        <w:rPr>
          <w:rFonts w:hint="cs"/>
          <w:sz w:val="24"/>
          <w:szCs w:val="24"/>
          <w:rtl/>
        </w:rPr>
        <w:t>הזאות אלו באות לנקות ולהעביר את הטומאה שדבקה בו במשך השנה, וכך הוא נטהר ומתקדש</w:t>
      </w:r>
      <w:r>
        <w:rPr>
          <w:rStyle w:val="a7"/>
          <w:sz w:val="24"/>
          <w:szCs w:val="24"/>
          <w:rtl/>
        </w:rPr>
        <w:footnoteReference w:id="115"/>
      </w:r>
      <w:r>
        <w:rPr>
          <w:rFonts w:hint="cs"/>
          <w:sz w:val="24"/>
          <w:szCs w:val="24"/>
          <w:rtl/>
        </w:rPr>
        <w:t xml:space="preserve">. </w:t>
      </w:r>
    </w:p>
    <w:p w:rsidR="00C26E1A" w:rsidRDefault="00C26E1A" w:rsidP="00C26E1A">
      <w:pPr>
        <w:spacing w:before="200" w:line="276" w:lineRule="exact"/>
        <w:ind w:firstLine="266"/>
        <w:rPr>
          <w:sz w:val="24"/>
          <w:szCs w:val="24"/>
          <w:rtl/>
        </w:rPr>
      </w:pPr>
      <w:r>
        <w:rPr>
          <w:rFonts w:hint="cs"/>
          <w:sz w:val="24"/>
          <w:szCs w:val="24"/>
          <w:rtl/>
        </w:rPr>
        <w:t>על פי זה מבאר הרב דניאל וולף בספרו 'מנחה וזבח' את החילוק העקרוני בין הזאות דם הפר והשעיר למתן דם שאר הקרבנות:</w:t>
      </w:r>
    </w:p>
    <w:p w:rsidR="00C26E1A" w:rsidRDefault="00C26E1A" w:rsidP="00C26E1A">
      <w:pPr>
        <w:spacing w:before="200" w:line="276" w:lineRule="exact"/>
        <w:ind w:left="720"/>
        <w:rPr>
          <w:sz w:val="24"/>
          <w:szCs w:val="24"/>
          <w:rtl/>
        </w:rPr>
      </w:pPr>
      <w:r>
        <w:rPr>
          <w:rFonts w:hint="cs"/>
          <w:sz w:val="24"/>
          <w:szCs w:val="24"/>
          <w:rtl/>
        </w:rPr>
        <w:lastRenderedPageBreak/>
        <w:t xml:space="preserve">ברוב הקרבנות, </w:t>
      </w:r>
      <w:r>
        <w:rPr>
          <w:rFonts w:hint="cs"/>
          <w:b/>
          <w:bCs/>
          <w:sz w:val="24"/>
          <w:szCs w:val="24"/>
          <w:rtl/>
        </w:rPr>
        <w:t>המזבח משמש את הקרבן</w:t>
      </w:r>
      <w:r>
        <w:rPr>
          <w:rFonts w:hint="cs"/>
          <w:sz w:val="24"/>
          <w:szCs w:val="24"/>
          <w:rtl/>
        </w:rPr>
        <w:t xml:space="preserve">. כלומר: ישנה מצווה להקריב את הקרבן, ומקום קיומה הוא על המזבח. זריקת הדם על המזבח אינה מיועדת להשיג מטרות הקשורות למזבח עצמו; מבחינה זו, המזבח מתפקד אך ורק כמקום המיועד והראוי להקרבת הקרבן. עם זאת, נראה שבזריקות דם הפר והשעיר של יום הכיפורים קיימת מגמה נוספת... המזבח מהווה יעד מהותי של זריקת הדם, ולא רק מקום לקיים בו את מצוות הקרבת הקרבן: </w:t>
      </w:r>
      <w:r>
        <w:rPr>
          <w:rFonts w:hint="cs"/>
          <w:b/>
          <w:bCs/>
          <w:sz w:val="24"/>
          <w:szCs w:val="24"/>
          <w:rtl/>
        </w:rPr>
        <w:t>הדם נועד לטהר ולקדש את המזבח, 'לנקות' אותו מטומאות ומפגמים שאירעו לו בעבר, ולהכינו לקראת העבודה בעתיד</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[מנחה וזבח עמ' 321-322]</w:t>
      </w:r>
    </w:p>
    <w:p w:rsidR="00C26E1A" w:rsidRDefault="00C26E1A" w:rsidP="00C26E1A">
      <w:pPr>
        <w:spacing w:before="200" w:line="276" w:lineRule="exact"/>
        <w:ind w:firstLine="266"/>
        <w:rPr>
          <w:sz w:val="24"/>
          <w:szCs w:val="24"/>
          <w:rtl/>
        </w:rPr>
      </w:pPr>
      <w:r>
        <w:rPr>
          <w:rFonts w:hint="cs"/>
          <w:sz w:val="24"/>
          <w:szCs w:val="24"/>
          <w:rtl/>
        </w:rPr>
        <w:t xml:space="preserve">לפי דבריו, תורף ההבדל בין הפר והשעיר של יום הכיפורים לשאר הקרבנות הוא ביחס בין הקרבן לבין המזבח: ברוב הקרבנות המזבח משמש את הקרבן, ואילו בפר ושעיר של יום הכיפורים </w:t>
      </w:r>
      <w:r>
        <w:rPr>
          <w:sz w:val="24"/>
          <w:szCs w:val="24"/>
          <w:rtl/>
        </w:rPr>
        <w:t>–</w:t>
      </w:r>
      <w:r>
        <w:rPr>
          <w:rFonts w:hint="cs"/>
          <w:sz w:val="24"/>
          <w:szCs w:val="24"/>
          <w:rtl/>
        </w:rPr>
        <w:t xml:space="preserve"> הקרבנות באים לצורך כפרת המזבח (וכן לצורך כפרת הקודש).</w:t>
      </w:r>
    </w:p>
    <w:p w:rsidR="00C26E1A" w:rsidRDefault="00C26E1A" w:rsidP="00C26E1A">
      <w:pPr>
        <w:spacing w:before="200" w:line="276" w:lineRule="exact"/>
        <w:ind w:firstLine="266"/>
        <w:rPr>
          <w:sz w:val="24"/>
          <w:szCs w:val="24"/>
          <w:rtl/>
        </w:rPr>
      </w:pPr>
      <w:r>
        <w:rPr>
          <w:rFonts w:hint="cs"/>
          <w:sz w:val="24"/>
          <w:szCs w:val="24"/>
          <w:rtl/>
        </w:rPr>
        <w:t>על פי הבחנה מעין זו מבאר הגרי"ז את דין המשנה לגבי דם שנשפך באמצע מתנות הדם:</w:t>
      </w:r>
    </w:p>
    <w:p w:rsidR="00C26E1A" w:rsidRDefault="00C26E1A" w:rsidP="00C26E1A">
      <w:pPr>
        <w:spacing w:before="200" w:line="276" w:lineRule="exact"/>
        <w:ind w:left="720"/>
        <w:rPr>
          <w:sz w:val="24"/>
          <w:szCs w:val="24"/>
          <w:rtl/>
        </w:rPr>
      </w:pPr>
      <w:r w:rsidRPr="007F4D90">
        <w:rPr>
          <w:sz w:val="24"/>
          <w:szCs w:val="24"/>
          <w:rtl/>
        </w:rPr>
        <w:t>ואם עד שלא גמר את המתנות שבפנים נשפך הדם</w:t>
      </w:r>
      <w:r>
        <w:rPr>
          <w:rFonts w:hint="cs"/>
          <w:sz w:val="24"/>
          <w:szCs w:val="24"/>
          <w:rtl/>
        </w:rPr>
        <w:t>,</w:t>
      </w:r>
      <w:r w:rsidRPr="007F4D90">
        <w:rPr>
          <w:sz w:val="24"/>
          <w:szCs w:val="24"/>
          <w:rtl/>
        </w:rPr>
        <w:t xml:space="preserve"> יביא דם אחר ויחזור בתחילה מבפנים</w:t>
      </w:r>
      <w:r>
        <w:rPr>
          <w:rFonts w:hint="cs"/>
          <w:sz w:val="24"/>
          <w:szCs w:val="24"/>
          <w:rtl/>
        </w:rPr>
        <w:t>.</w:t>
      </w:r>
      <w:r w:rsidRPr="007F4D90">
        <w:rPr>
          <w:sz w:val="24"/>
          <w:szCs w:val="24"/>
          <w:rtl/>
        </w:rPr>
        <w:t xml:space="preserve"> וכן בהיכל וכן במזבח הזהב</w:t>
      </w:r>
      <w:r>
        <w:rPr>
          <w:rFonts w:hint="cs"/>
          <w:sz w:val="24"/>
          <w:szCs w:val="24"/>
          <w:rtl/>
        </w:rPr>
        <w:t>,</w:t>
      </w:r>
      <w:r w:rsidRPr="007F4D90">
        <w:rPr>
          <w:sz w:val="24"/>
          <w:szCs w:val="24"/>
          <w:rtl/>
        </w:rPr>
        <w:t xml:space="preserve"> שכולן כפרה בפני עצמן</w:t>
      </w:r>
      <w:r>
        <w:rPr>
          <w:rFonts w:hint="cs"/>
          <w:sz w:val="24"/>
          <w:szCs w:val="24"/>
          <w:rtl/>
        </w:rPr>
        <w:t>.</w:t>
      </w:r>
      <w:r>
        <w:rPr>
          <w:sz w:val="24"/>
          <w:szCs w:val="24"/>
          <w:rtl/>
        </w:rPr>
        <w:tab/>
      </w:r>
      <w:r>
        <w:rPr>
          <w:sz w:val="24"/>
          <w:szCs w:val="24"/>
          <w:rtl/>
        </w:rPr>
        <w:tab/>
      </w:r>
      <w:r>
        <w:rPr>
          <w:sz w:val="24"/>
          <w:szCs w:val="24"/>
          <w:rtl/>
        </w:rPr>
        <w:tab/>
      </w:r>
      <w:r>
        <w:rPr>
          <w:rFonts w:hint="cs"/>
          <w:sz w:val="20"/>
          <w:szCs w:val="20"/>
          <w:rtl/>
        </w:rPr>
        <w:t>[משנה יומא ס.]</w:t>
      </w:r>
    </w:p>
    <w:p w:rsidR="00C26E1A" w:rsidRDefault="00C26E1A" w:rsidP="00C26E1A">
      <w:pPr>
        <w:spacing w:before="200" w:line="276" w:lineRule="exact"/>
        <w:ind w:firstLine="266"/>
        <w:rPr>
          <w:sz w:val="24"/>
          <w:szCs w:val="24"/>
          <w:rtl/>
        </w:rPr>
      </w:pPr>
      <w:r>
        <w:rPr>
          <w:rFonts w:hint="cs"/>
          <w:sz w:val="24"/>
          <w:szCs w:val="24"/>
          <w:rtl/>
        </w:rPr>
        <w:t xml:space="preserve">המשנה מלמדת כי כפרת קודש הקדשים, ההיכל והמזבח יכולה להיעשות על ידי שלושה קרבנות שונים, הואיל וכל אחת מהן היא כפרה בפני עצמה. </w:t>
      </w:r>
    </w:p>
    <w:p w:rsidR="00C26E1A" w:rsidRDefault="00C26E1A" w:rsidP="00C26E1A">
      <w:pPr>
        <w:spacing w:before="200" w:line="276" w:lineRule="exact"/>
        <w:ind w:firstLine="266"/>
        <w:rPr>
          <w:sz w:val="24"/>
          <w:szCs w:val="24"/>
          <w:rtl/>
        </w:rPr>
      </w:pPr>
      <w:r>
        <w:rPr>
          <w:rFonts w:hint="cs"/>
          <w:sz w:val="24"/>
          <w:szCs w:val="24"/>
          <w:rtl/>
        </w:rPr>
        <w:t>הגרי"ז מבאר את טעם הדבר:</w:t>
      </w:r>
    </w:p>
    <w:p w:rsidR="00C26E1A" w:rsidRPr="003766A3" w:rsidRDefault="00C26E1A" w:rsidP="00C26E1A">
      <w:pPr>
        <w:spacing w:before="200" w:line="276" w:lineRule="exact"/>
        <w:ind w:left="720"/>
        <w:rPr>
          <w:sz w:val="20"/>
          <w:szCs w:val="20"/>
          <w:rtl/>
        </w:rPr>
      </w:pPr>
      <w:r w:rsidRPr="003766A3">
        <w:rPr>
          <w:sz w:val="24"/>
          <w:szCs w:val="24"/>
          <w:rtl/>
        </w:rPr>
        <w:t>דנראה דהא דמ"ג הזאות מעכבים אינם דין בעצם הקרבן, דהקרבן בעי להיתרו מ"ג הזאות, אלא שהוא דין בחובת היום, אבל בהיתרא דקרבן אינם מעכבים כלל, וראיה מהא דיכול להביא ד' קרבנות של פר וד' שעירים, ואי נימא דלהיתרא דגוף הקרבן בעי כל ההזאות, איך שייך שיותר בהזאות דחבי</w:t>
      </w:r>
      <w:r>
        <w:rPr>
          <w:sz w:val="24"/>
          <w:szCs w:val="24"/>
          <w:rtl/>
        </w:rPr>
        <w:t>רו, אלא ע</w:t>
      </w:r>
      <w:r>
        <w:rPr>
          <w:rFonts w:hint="cs"/>
          <w:sz w:val="24"/>
          <w:szCs w:val="24"/>
          <w:rtl/>
        </w:rPr>
        <w:t>ל כרחך</w:t>
      </w:r>
      <w:r w:rsidRPr="003766A3">
        <w:rPr>
          <w:sz w:val="24"/>
          <w:szCs w:val="24"/>
          <w:rtl/>
        </w:rPr>
        <w:t xml:space="preserve"> דבעצם הקרבן אין צריך כלל כל ההזאות אלא לחובת היו</w:t>
      </w:r>
      <w:r>
        <w:rPr>
          <w:sz w:val="24"/>
          <w:szCs w:val="24"/>
          <w:rtl/>
        </w:rPr>
        <w:t>ם, ולחובת היום יוצא בד' פרים ג</w:t>
      </w:r>
      <w:r>
        <w:rPr>
          <w:rFonts w:hint="cs"/>
          <w:sz w:val="24"/>
          <w:szCs w:val="24"/>
          <w:rtl/>
        </w:rPr>
        <w:t>ם כן.</w:t>
      </w:r>
      <w:r>
        <w:rPr>
          <w:sz w:val="24"/>
          <w:szCs w:val="24"/>
          <w:rtl/>
        </w:rPr>
        <w:tab/>
      </w:r>
      <w:r>
        <w:rPr>
          <w:sz w:val="24"/>
          <w:szCs w:val="24"/>
          <w:rtl/>
        </w:rPr>
        <w:tab/>
      </w:r>
      <w:r>
        <w:rPr>
          <w:rFonts w:hint="cs"/>
          <w:sz w:val="24"/>
          <w:szCs w:val="24"/>
          <w:rtl/>
        </w:rPr>
        <w:t xml:space="preserve">     </w:t>
      </w:r>
      <w:r>
        <w:rPr>
          <w:rFonts w:hint="cs"/>
          <w:sz w:val="20"/>
          <w:szCs w:val="20"/>
          <w:rtl/>
        </w:rPr>
        <w:t>[גרי"ז זבחים לט: תוס' ד"ה לפר]</w:t>
      </w:r>
    </w:p>
    <w:p w:rsidR="00C26E1A" w:rsidRPr="007F4D90" w:rsidRDefault="00C26E1A" w:rsidP="00C26E1A">
      <w:pPr>
        <w:spacing w:before="200" w:line="276" w:lineRule="exact"/>
        <w:ind w:firstLine="266"/>
        <w:rPr>
          <w:sz w:val="24"/>
          <w:szCs w:val="24"/>
          <w:rtl/>
        </w:rPr>
      </w:pPr>
      <w:r>
        <w:rPr>
          <w:rFonts w:hint="cs"/>
          <w:sz w:val="24"/>
          <w:szCs w:val="24"/>
          <w:rtl/>
        </w:rPr>
        <w:t xml:space="preserve">הגרי"ז מבאר, כי הואיל וההזאות אינן דין בקרבן אלא 'חובת היום' (כלומר, שהן באות לשם כפרת קודש הקדשים, ההיכל והמזבח), הן אינן צריכות להיעשות על ידי קרבן אחד, וכל כפרה יכולה להיעשות על ידי קרבן אחר. </w:t>
      </w:r>
    </w:p>
    <w:p w:rsidR="00C26E1A" w:rsidRDefault="00C26E1A" w:rsidP="00C26E1A">
      <w:pPr>
        <w:spacing w:before="200" w:line="276" w:lineRule="exact"/>
        <w:ind w:firstLine="266"/>
        <w:rPr>
          <w:sz w:val="24"/>
          <w:szCs w:val="24"/>
          <w:rtl/>
        </w:rPr>
      </w:pPr>
    </w:p>
    <w:p w:rsidR="00C26E1A" w:rsidRDefault="00C26E1A" w:rsidP="00C26E1A">
      <w:pPr>
        <w:spacing w:before="200" w:line="276" w:lineRule="exact"/>
        <w:ind w:firstLine="266"/>
        <w:rPr>
          <w:sz w:val="24"/>
          <w:szCs w:val="24"/>
          <w:rtl/>
        </w:rPr>
      </w:pPr>
      <w:r>
        <w:rPr>
          <w:rFonts w:hint="cs"/>
          <w:sz w:val="24"/>
          <w:szCs w:val="24"/>
          <w:rtl/>
        </w:rPr>
        <w:t>דברים אלו אמורים לגבי הזאות דם פר ושעיר של יום הכיפורים, והם מלמדים על הייחודיות שלהן לעומת מתנות דם שאר הקרבנות. עם זאת, המשנה במסכת זבחים מונה קרבנות נוספים שמתן דמם דומה למתן דם הפר והשעיר של יום הכיפורים:</w:t>
      </w:r>
    </w:p>
    <w:p w:rsidR="00C26E1A" w:rsidRDefault="00C26E1A" w:rsidP="00C26E1A">
      <w:pPr>
        <w:spacing w:before="200" w:line="276" w:lineRule="exact"/>
        <w:ind w:left="720"/>
        <w:rPr>
          <w:sz w:val="24"/>
          <w:szCs w:val="24"/>
          <w:rtl/>
        </w:rPr>
      </w:pPr>
      <w:r w:rsidRPr="00ED3FFF">
        <w:rPr>
          <w:sz w:val="24"/>
          <w:szCs w:val="24"/>
          <w:rtl/>
        </w:rPr>
        <w:t>פרים הנשרפים ושעירים הנשרפים שחיטתן בצפון וקבול דמן בכלי שרת בצפון</w:t>
      </w:r>
      <w:r>
        <w:rPr>
          <w:rFonts w:hint="cs"/>
          <w:sz w:val="24"/>
          <w:szCs w:val="24"/>
          <w:rtl/>
        </w:rPr>
        <w:t>,</w:t>
      </w:r>
      <w:r w:rsidRPr="00ED3FFF">
        <w:rPr>
          <w:sz w:val="24"/>
          <w:szCs w:val="24"/>
          <w:rtl/>
        </w:rPr>
        <w:t xml:space="preserve"> ודמן טעון הזיה על הפרוכת ועל מזבח הזהב</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[זבחים פ"ה מ"ב]</w:t>
      </w:r>
    </w:p>
    <w:p w:rsidR="00C26E1A" w:rsidRDefault="00C26E1A" w:rsidP="00C26E1A">
      <w:pPr>
        <w:spacing w:before="200" w:line="276" w:lineRule="exact"/>
        <w:ind w:firstLine="266"/>
        <w:rPr>
          <w:sz w:val="24"/>
          <w:szCs w:val="24"/>
          <w:rtl/>
        </w:rPr>
      </w:pPr>
      <w:r w:rsidRPr="00ED3FFF">
        <w:rPr>
          <w:sz w:val="24"/>
          <w:szCs w:val="24"/>
          <w:rtl/>
        </w:rPr>
        <w:t xml:space="preserve"> </w:t>
      </w:r>
      <w:r>
        <w:rPr>
          <w:rFonts w:hint="cs"/>
          <w:sz w:val="24"/>
          <w:szCs w:val="24"/>
          <w:rtl/>
        </w:rPr>
        <w:t>משנה זו מלמדת על דמיון רב בין פר ושעיר של יום הכיפורים לבין הפרים והשעירים הנשרפים (=פר העלם דבר של ציבור, פר של כהן משוח ושעירי עבודה זרה): בשניהם הדם אינו ניתן על המזבח החיצון, אלא יש להזות ממנו על הפרוכת ועל מזבח הזהב. אמנם, קיים הבדל ביניהם לגבי הזאת הדם בקודש הקדשים, הקיימת רק בדם פר ושעיר של יום הכיפורים, אך ניתן לבאר הבדל זה כנובע מאיסור הכניסה לקודש הקדשים הקיים בכל השנה: רק ביום הכיפורים מותרת הכניסה לקודש הקדשים, ולכן רק את דם פר ושעיר של יום הכיפורים ניתן להזות בקודש הקדשים; את דם הפרים והשעירים הנשרפים לא ניתן להזות בקודש הקדשים, ולכן מסתפקים בהזאה על הפרוכת ועל מזבח הזהב.</w:t>
      </w:r>
    </w:p>
    <w:p w:rsidR="00C26E1A" w:rsidRDefault="00C26E1A" w:rsidP="00C26E1A">
      <w:pPr>
        <w:spacing w:before="200" w:line="276" w:lineRule="exact"/>
        <w:ind w:firstLine="266"/>
        <w:rPr>
          <w:sz w:val="24"/>
          <w:szCs w:val="24"/>
          <w:rtl/>
        </w:rPr>
      </w:pPr>
      <w:r>
        <w:rPr>
          <w:rFonts w:hint="cs"/>
          <w:sz w:val="24"/>
          <w:szCs w:val="24"/>
          <w:rtl/>
        </w:rPr>
        <w:t>אמנם, הגמרא מציינת הבדל נוסף בין הזאות פר ושעיר של יום הכיפורים להזאות פרים ושעירים הנשרפים:</w:t>
      </w:r>
    </w:p>
    <w:p w:rsidR="00C26E1A" w:rsidRDefault="00C26E1A" w:rsidP="00C26E1A">
      <w:pPr>
        <w:spacing w:before="200" w:line="276" w:lineRule="exact"/>
        <w:ind w:left="720"/>
        <w:rPr>
          <w:sz w:val="24"/>
          <w:szCs w:val="24"/>
          <w:rtl/>
        </w:rPr>
      </w:pPr>
      <w:r w:rsidRPr="001D14AB">
        <w:rPr>
          <w:sz w:val="24"/>
          <w:szCs w:val="24"/>
          <w:rtl/>
        </w:rPr>
        <w:lastRenderedPageBreak/>
        <w:t xml:space="preserve">לפני ה' </w:t>
      </w:r>
      <w:r>
        <w:rPr>
          <w:sz w:val="24"/>
          <w:szCs w:val="24"/>
          <w:rtl/>
        </w:rPr>
        <w:t>–</w:t>
      </w:r>
      <w:r>
        <w:rPr>
          <w:rFonts w:hint="cs"/>
          <w:sz w:val="24"/>
          <w:szCs w:val="24"/>
          <w:rtl/>
        </w:rPr>
        <w:t xml:space="preserve"> </w:t>
      </w:r>
      <w:r w:rsidRPr="001D14AB">
        <w:rPr>
          <w:sz w:val="24"/>
          <w:szCs w:val="24"/>
          <w:rtl/>
        </w:rPr>
        <w:t>מה תלמוד לומר</w:t>
      </w:r>
      <w:r>
        <w:rPr>
          <w:rFonts w:hint="cs"/>
          <w:sz w:val="24"/>
          <w:szCs w:val="24"/>
          <w:rtl/>
        </w:rPr>
        <w:t>?</w:t>
      </w:r>
      <w:r w:rsidRPr="001D14AB">
        <w:rPr>
          <w:sz w:val="24"/>
          <w:szCs w:val="24"/>
          <w:rtl/>
        </w:rPr>
        <w:t xml:space="preserve"> אמר רבי נחמיה</w:t>
      </w:r>
      <w:r>
        <w:rPr>
          <w:rFonts w:hint="cs"/>
          <w:sz w:val="24"/>
          <w:szCs w:val="24"/>
          <w:rtl/>
        </w:rPr>
        <w:t>:</w:t>
      </w:r>
      <w:r w:rsidRPr="001D14AB">
        <w:rPr>
          <w:sz w:val="24"/>
          <w:szCs w:val="24"/>
          <w:rtl/>
        </w:rPr>
        <w:t xml:space="preserve"> לפי שמצינו בפר ושעיר של יום הכפורים שכהן עומד לפנים מן המזבח ומזה על הפרוכת בשעה שהוא מזה</w:t>
      </w:r>
      <w:r>
        <w:rPr>
          <w:rFonts w:hint="cs"/>
          <w:sz w:val="24"/>
          <w:szCs w:val="24"/>
          <w:rtl/>
        </w:rPr>
        <w:t>,</w:t>
      </w:r>
      <w:r w:rsidRPr="001D14AB">
        <w:rPr>
          <w:sz w:val="24"/>
          <w:szCs w:val="24"/>
          <w:rtl/>
        </w:rPr>
        <w:t xml:space="preserve"> יכול אף זה כן</w:t>
      </w:r>
      <w:r>
        <w:rPr>
          <w:rFonts w:hint="cs"/>
          <w:sz w:val="24"/>
          <w:szCs w:val="24"/>
          <w:rtl/>
        </w:rPr>
        <w:t>?</w:t>
      </w:r>
      <w:r w:rsidRPr="001D14AB">
        <w:rPr>
          <w:sz w:val="24"/>
          <w:szCs w:val="24"/>
          <w:rtl/>
        </w:rPr>
        <w:t xml:space="preserve"> תלמוד לומר </w:t>
      </w:r>
      <w:r>
        <w:rPr>
          <w:rFonts w:hint="cs"/>
          <w:sz w:val="24"/>
          <w:szCs w:val="24"/>
          <w:rtl/>
        </w:rPr>
        <w:t>'</w:t>
      </w:r>
      <w:r w:rsidRPr="001D14AB">
        <w:rPr>
          <w:sz w:val="24"/>
          <w:szCs w:val="24"/>
          <w:rtl/>
        </w:rPr>
        <w:t>מזבח קטרת הסמים לפני ה' אשר באהל מועד</w:t>
      </w:r>
      <w:r>
        <w:rPr>
          <w:rFonts w:hint="cs"/>
          <w:sz w:val="24"/>
          <w:szCs w:val="24"/>
          <w:rtl/>
        </w:rPr>
        <w:t xml:space="preserve">' </w:t>
      </w:r>
      <w:r>
        <w:rPr>
          <w:sz w:val="24"/>
          <w:szCs w:val="24"/>
          <w:rtl/>
        </w:rPr>
        <w:t>–</w:t>
      </w:r>
      <w:r w:rsidRPr="001D14AB">
        <w:rPr>
          <w:sz w:val="24"/>
          <w:szCs w:val="24"/>
          <w:rtl/>
        </w:rPr>
        <w:t xml:space="preserve"> מזבח לפני ה' ואין כהן לפני ה'</w:t>
      </w:r>
      <w:r>
        <w:rPr>
          <w:rFonts w:hint="cs"/>
          <w:sz w:val="24"/>
          <w:szCs w:val="24"/>
          <w:rtl/>
        </w:rPr>
        <w:t>.</w:t>
      </w:r>
      <w:r w:rsidRPr="001D14AB">
        <w:rPr>
          <w:sz w:val="24"/>
          <w:szCs w:val="24"/>
          <w:rtl/>
        </w:rPr>
        <w:t xml:space="preserve"> הא כיצד</w:t>
      </w:r>
      <w:r>
        <w:rPr>
          <w:rFonts w:hint="cs"/>
          <w:sz w:val="24"/>
          <w:szCs w:val="24"/>
          <w:rtl/>
        </w:rPr>
        <w:t>?</w:t>
      </w:r>
      <w:r w:rsidRPr="001D14AB">
        <w:rPr>
          <w:sz w:val="24"/>
          <w:szCs w:val="24"/>
          <w:rtl/>
        </w:rPr>
        <w:t xml:space="preserve"> עומד חוץ למזבח ומזה</w:t>
      </w:r>
      <w:r>
        <w:rPr>
          <w:rFonts w:hint="cs"/>
          <w:sz w:val="24"/>
          <w:szCs w:val="24"/>
          <w:rtl/>
        </w:rPr>
        <w:t>.</w:t>
      </w:r>
      <w:r>
        <w:rPr>
          <w:sz w:val="20"/>
          <w:szCs w:val="20"/>
          <w:rtl/>
        </w:rPr>
        <w:tab/>
      </w:r>
      <w:r>
        <w:rPr>
          <w:sz w:val="20"/>
          <w:szCs w:val="20"/>
          <w:rtl/>
        </w:rPr>
        <w:tab/>
      </w:r>
      <w:r>
        <w:rPr>
          <w:sz w:val="20"/>
          <w:szCs w:val="20"/>
          <w:rtl/>
        </w:rPr>
        <w:tab/>
      </w:r>
      <w:r>
        <w:rPr>
          <w:sz w:val="20"/>
          <w:szCs w:val="20"/>
          <w:rtl/>
        </w:rPr>
        <w:tab/>
      </w:r>
      <w:r>
        <w:rPr>
          <w:sz w:val="20"/>
          <w:szCs w:val="20"/>
          <w:rtl/>
        </w:rPr>
        <w:tab/>
      </w:r>
      <w:r>
        <w:rPr>
          <w:sz w:val="20"/>
          <w:szCs w:val="20"/>
          <w:rtl/>
        </w:rPr>
        <w:tab/>
      </w:r>
      <w:r>
        <w:rPr>
          <w:rFonts w:hint="cs"/>
          <w:sz w:val="20"/>
          <w:szCs w:val="20"/>
          <w:rtl/>
        </w:rPr>
        <w:t xml:space="preserve">       [יומא נח:]</w:t>
      </w:r>
    </w:p>
    <w:p w:rsidR="00C26E1A" w:rsidRPr="00747880" w:rsidRDefault="00C26E1A" w:rsidP="00C26E1A">
      <w:pPr>
        <w:spacing w:before="200" w:line="276" w:lineRule="exact"/>
        <w:ind w:firstLine="266"/>
        <w:rPr>
          <w:color w:val="FF0000"/>
          <w:sz w:val="24"/>
          <w:szCs w:val="24"/>
          <w:rtl/>
        </w:rPr>
      </w:pPr>
      <w:r>
        <w:rPr>
          <w:rFonts w:hint="cs"/>
          <w:sz w:val="24"/>
          <w:szCs w:val="24"/>
          <w:rtl/>
        </w:rPr>
        <w:t>רבי נחמיה מבחין ביניהן לגבי מקום עמידת הכהן המזה: בשעת הזאת דם פר ושעיר של יום הכיפורים הוא עומד "לפנים מן המזבח", ואילו בשעת הזאת הפרים והשעירים הנשרפים הוא עומד "חוץ למזבח"</w:t>
      </w:r>
      <w:r>
        <w:rPr>
          <w:rStyle w:val="a7"/>
          <w:sz w:val="24"/>
          <w:szCs w:val="24"/>
          <w:rtl/>
        </w:rPr>
        <w:footnoteReference w:id="116"/>
      </w:r>
      <w:r>
        <w:rPr>
          <w:rFonts w:hint="cs"/>
          <w:sz w:val="24"/>
          <w:szCs w:val="24"/>
          <w:rtl/>
        </w:rPr>
        <w:t>.</w:t>
      </w:r>
    </w:p>
    <w:p w:rsidR="00C26E1A" w:rsidRDefault="00C26E1A" w:rsidP="00C26E1A">
      <w:pPr>
        <w:spacing w:before="200" w:line="276" w:lineRule="exact"/>
        <w:ind w:firstLine="266"/>
        <w:rPr>
          <w:sz w:val="24"/>
          <w:szCs w:val="24"/>
          <w:rtl/>
        </w:rPr>
      </w:pPr>
      <w:r>
        <w:rPr>
          <w:rFonts w:hint="cs"/>
          <w:sz w:val="24"/>
          <w:szCs w:val="24"/>
          <w:rtl/>
        </w:rPr>
        <w:t>הגרי"ד סולוביצ'יק מציע הסבר לחילוק זה:</w:t>
      </w:r>
    </w:p>
    <w:p w:rsidR="00C26E1A" w:rsidRDefault="00C26E1A" w:rsidP="00C26E1A">
      <w:pPr>
        <w:spacing w:before="200" w:line="276" w:lineRule="exact"/>
        <w:ind w:left="720"/>
        <w:rPr>
          <w:sz w:val="24"/>
          <w:szCs w:val="24"/>
          <w:rtl/>
        </w:rPr>
      </w:pPr>
      <w:r>
        <w:rPr>
          <w:rFonts w:hint="cs"/>
          <w:sz w:val="24"/>
          <w:szCs w:val="24"/>
          <w:rtl/>
        </w:rPr>
        <w:t>ובהסבר הדבר ניתן כמובן לומר שאין זו אלא גזירת הכתוב לגבי מקום עמידת המזה. אך יותר נראה שמשתקף כאן חילוק עקרוני בין אופי ההזאות. בשאר פרים ושעירים מתייחסת ההזאה לחפצא של הפרוכת, ובכן כל שעומד בהיכל ומזה כנגדה, ההזאה כשרה ואין טעם לקבוע מקום לעמידתו. אך הזאות היכל דפר ושעיר ביוה"כ אינן קיום בחפצא של הפרוכת אלא במקומה, שכן לגבי עבודת יוה"כ מוגדר האזור שבין מזבח הזהב לפרוכת כמקום בפני עצמו.</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[שיעורי הגרי"ד עמ' קז]</w:t>
      </w:r>
    </w:p>
    <w:p w:rsidR="00C26E1A" w:rsidRDefault="00C26E1A" w:rsidP="00C26E1A">
      <w:pPr>
        <w:spacing w:before="200" w:line="276" w:lineRule="exact"/>
        <w:ind w:firstLine="266"/>
        <w:rPr>
          <w:sz w:val="24"/>
          <w:szCs w:val="24"/>
          <w:rtl/>
        </w:rPr>
      </w:pPr>
      <w:r>
        <w:rPr>
          <w:rFonts w:hint="cs"/>
          <w:sz w:val="24"/>
          <w:szCs w:val="24"/>
          <w:rtl/>
        </w:rPr>
        <w:t xml:space="preserve">לדברי הגרי"ד, אמנם גם בפר ושעיר של יום הכיפורים וגם בשאר הפרים והשעירים הנשרפים ההזאות נעשות כנגד הפרוכת, אך יש הבדל עקרוני ביניהם: בפר ושעיר של יום הכיפורים ההזאות מכוונות כלפי ההיכל עצמו </w:t>
      </w:r>
      <w:r>
        <w:rPr>
          <w:sz w:val="24"/>
          <w:szCs w:val="24"/>
          <w:rtl/>
        </w:rPr>
        <w:t>–</w:t>
      </w:r>
      <w:r>
        <w:rPr>
          <w:rFonts w:hint="cs"/>
          <w:sz w:val="24"/>
          <w:szCs w:val="24"/>
          <w:rtl/>
        </w:rPr>
        <w:t xml:space="preserve"> המקום שבין מזבח הזהב לפרוכת, ולכן הכהן צריך לעמוד במקום זה בשעת ההזאות. לעומת זאת, בשאר הפרים והשעירים הנשרפים, ההזאות מכוונות כלפי הפרוכת עצמה, ולכן אין צורך שהכהן יעמוד בין מזבח הזהב לפרוכת.</w:t>
      </w:r>
    </w:p>
    <w:p w:rsidR="00C26E1A" w:rsidRDefault="00C26E1A" w:rsidP="00C26E1A">
      <w:pPr>
        <w:spacing w:before="200" w:line="276" w:lineRule="exact"/>
        <w:ind w:firstLine="266"/>
        <w:rPr>
          <w:sz w:val="24"/>
          <w:szCs w:val="24"/>
          <w:rtl/>
        </w:rPr>
      </w:pPr>
      <w:r>
        <w:rPr>
          <w:rFonts w:hint="cs"/>
          <w:sz w:val="24"/>
          <w:szCs w:val="24"/>
          <w:rtl/>
        </w:rPr>
        <w:t xml:space="preserve">נראה להעמיק הבחנה זו. כפי שנאמר לעיל, יום הכיפורים הוא יום ניקוי וחיטוי המקדש. בשל כך, הכהן הגדול צריך לכפר (=לנקות) על כל חלק מחלקי המקדש: קודש הקדשים, ההיכל והמזבח. בשל כך, עליו להזות בכל אחד ממקומות אלו מדם הפר ומדם השעיר. לעומת זאת, הזאות שאר הפרים והשעירים הנשרפים אינם באים לשם כפרת המקדש, אלא לשם כפרת החטא הספציפי עליו קרבנות אלו באים. בשל כך, הזאות אלו אינן מכוונות אל חלקי המקדש השונים, אלא הן נעשות כנגד מקום השכינה </w:t>
      </w:r>
      <w:r>
        <w:rPr>
          <w:sz w:val="24"/>
          <w:szCs w:val="24"/>
          <w:rtl/>
        </w:rPr>
        <w:t>–</w:t>
      </w:r>
      <w:r>
        <w:rPr>
          <w:rFonts w:hint="cs"/>
          <w:sz w:val="24"/>
          <w:szCs w:val="24"/>
          <w:rtl/>
        </w:rPr>
        <w:t xml:space="preserve"> "לפני ה' את פני פרוכת הקודש" </w:t>
      </w:r>
      <w:r>
        <w:rPr>
          <w:rFonts w:hint="cs"/>
          <w:sz w:val="20"/>
          <w:szCs w:val="20"/>
          <w:rtl/>
        </w:rPr>
        <w:t>[ויקרא ד, ו]</w:t>
      </w:r>
      <w:r>
        <w:rPr>
          <w:rStyle w:val="a7"/>
          <w:sz w:val="24"/>
          <w:szCs w:val="24"/>
          <w:rtl/>
        </w:rPr>
        <w:footnoteReference w:id="117"/>
      </w:r>
      <w:r>
        <w:rPr>
          <w:rFonts w:hint="cs"/>
          <w:sz w:val="24"/>
          <w:szCs w:val="24"/>
          <w:rtl/>
        </w:rPr>
        <w:t>.</w:t>
      </w:r>
    </w:p>
    <w:p w:rsidR="00C26E1A" w:rsidRDefault="00C26E1A" w:rsidP="00C26E1A">
      <w:pPr>
        <w:spacing w:before="200" w:line="276" w:lineRule="exact"/>
        <w:ind w:firstLine="266"/>
        <w:rPr>
          <w:sz w:val="24"/>
          <w:szCs w:val="24"/>
          <w:rtl/>
        </w:rPr>
      </w:pPr>
      <w:r>
        <w:rPr>
          <w:rFonts w:hint="cs"/>
          <w:sz w:val="24"/>
          <w:szCs w:val="24"/>
          <w:rtl/>
        </w:rPr>
        <w:t xml:space="preserve">הגרי"ז מאמץ הבחנה זו, ועל פיה הוא טוען כי דין המשנה </w:t>
      </w:r>
      <w:r>
        <w:rPr>
          <w:rFonts w:hint="cs"/>
          <w:sz w:val="20"/>
          <w:szCs w:val="20"/>
          <w:rtl/>
        </w:rPr>
        <w:t>[ס.]</w:t>
      </w:r>
      <w:r>
        <w:rPr>
          <w:rFonts w:hint="cs"/>
          <w:sz w:val="24"/>
          <w:szCs w:val="24"/>
          <w:rtl/>
        </w:rPr>
        <w:t xml:space="preserve"> שהובא לעיל, כי ניתן להזות מקרבנות שונים, אמור רק לגבי פר ושעיר של יום הכיפורים ולא לגבי שאר החטאות הפנימיות:</w:t>
      </w:r>
    </w:p>
    <w:p w:rsidR="00C26E1A" w:rsidRDefault="00C26E1A" w:rsidP="00C26E1A">
      <w:pPr>
        <w:spacing w:before="200" w:line="276" w:lineRule="exact"/>
        <w:ind w:left="720"/>
        <w:rPr>
          <w:sz w:val="24"/>
          <w:szCs w:val="24"/>
          <w:rtl/>
        </w:rPr>
      </w:pPr>
      <w:r>
        <w:rPr>
          <w:sz w:val="24"/>
          <w:szCs w:val="24"/>
          <w:rtl/>
        </w:rPr>
        <w:t>ולפי</w:t>
      </w:r>
      <w:r>
        <w:rPr>
          <w:rFonts w:hint="cs"/>
          <w:sz w:val="24"/>
          <w:szCs w:val="24"/>
          <w:rtl/>
        </w:rPr>
        <w:t xml:space="preserve"> זה</w:t>
      </w:r>
      <w:r w:rsidRPr="005448F0">
        <w:rPr>
          <w:sz w:val="24"/>
          <w:szCs w:val="24"/>
          <w:rtl/>
        </w:rPr>
        <w:t xml:space="preserve"> נמצא</w:t>
      </w:r>
      <w:r>
        <w:rPr>
          <w:rFonts w:hint="cs"/>
          <w:sz w:val="24"/>
          <w:szCs w:val="24"/>
          <w:rtl/>
        </w:rPr>
        <w:t>,</w:t>
      </w:r>
      <w:r w:rsidRPr="005448F0">
        <w:rPr>
          <w:sz w:val="24"/>
          <w:szCs w:val="24"/>
          <w:rtl/>
        </w:rPr>
        <w:t xml:space="preserve"> דבפר העלם דבר ושא</w:t>
      </w:r>
      <w:r>
        <w:rPr>
          <w:sz w:val="24"/>
          <w:szCs w:val="24"/>
          <w:rtl/>
        </w:rPr>
        <w:t>ר הפנימיים לא יוכל להביא פר אחר</w:t>
      </w:r>
      <w:r w:rsidRPr="005448F0">
        <w:rPr>
          <w:sz w:val="24"/>
          <w:szCs w:val="24"/>
          <w:rtl/>
        </w:rPr>
        <w:t xml:space="preserve"> אם נשפך לאחר שנתן על הפרוכת וליתן על המזבח, כיון דשם העיכוב הוא בעצם הקרבן, לא יועיל חבירו עליו ויצטרך להתחיל מתחילה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[גרי"ז זבחים לט: תוס' ד"ה לפר]</w:t>
      </w:r>
    </w:p>
    <w:p w:rsidR="00C26E1A" w:rsidRPr="005448F0" w:rsidRDefault="00C26E1A" w:rsidP="00C26E1A">
      <w:pPr>
        <w:spacing w:before="200" w:line="276" w:lineRule="exact"/>
        <w:ind w:firstLine="266"/>
        <w:rPr>
          <w:sz w:val="24"/>
          <w:szCs w:val="24"/>
          <w:rtl/>
        </w:rPr>
      </w:pPr>
      <w:r>
        <w:rPr>
          <w:rFonts w:hint="cs"/>
          <w:sz w:val="24"/>
          <w:szCs w:val="24"/>
          <w:rtl/>
        </w:rPr>
        <w:t>כפי שהובא לעיל, הגרי"ז סבור שהדין שניתן להזות מקרבנות שונים נובע מכך שההזאות אינן דין בקרבן אלא מ'חובת היום' לכפר על המקדש. על פי עיקרון זה טוען הגרי"ז, כי דין זה אמור רק בהזאות פר ושעיר של יום הכיפורים, אך לא בהזאות שאר חטאות פנימיות, שהן חובת הקרבן</w:t>
      </w:r>
      <w:r>
        <w:rPr>
          <w:rStyle w:val="a7"/>
          <w:sz w:val="24"/>
          <w:szCs w:val="24"/>
          <w:rtl/>
        </w:rPr>
        <w:footnoteReference w:id="118"/>
      </w:r>
      <w:r>
        <w:rPr>
          <w:rFonts w:hint="cs"/>
          <w:sz w:val="24"/>
          <w:szCs w:val="24"/>
          <w:rtl/>
        </w:rPr>
        <w:t>.</w:t>
      </w:r>
    </w:p>
    <w:p w:rsidR="00C26E1A" w:rsidRDefault="00C26E1A" w:rsidP="00C26E1A">
      <w:pPr>
        <w:spacing w:before="200" w:line="276" w:lineRule="exact"/>
        <w:ind w:firstLine="266"/>
        <w:rPr>
          <w:sz w:val="24"/>
          <w:szCs w:val="24"/>
          <w:rtl/>
        </w:rPr>
      </w:pPr>
    </w:p>
    <w:p w:rsidR="00C26E1A" w:rsidRDefault="00C26E1A" w:rsidP="00C26E1A">
      <w:pPr>
        <w:spacing w:before="200" w:line="276" w:lineRule="exact"/>
        <w:ind w:firstLine="266"/>
        <w:rPr>
          <w:sz w:val="24"/>
          <w:szCs w:val="24"/>
          <w:rtl/>
        </w:rPr>
      </w:pPr>
      <w:r>
        <w:rPr>
          <w:rFonts w:hint="cs"/>
          <w:sz w:val="24"/>
          <w:szCs w:val="24"/>
          <w:rtl/>
        </w:rPr>
        <w:t>הבחנה זו עולה גם מחידושו של הגבורת ארי לגבי נגיעת דם ההזאות בכפורת. דברי הגבורת ארי אמורים ביחס לברייתא המובאת בגמרא:</w:t>
      </w:r>
    </w:p>
    <w:p w:rsidR="00C26E1A" w:rsidRDefault="00C26E1A" w:rsidP="00C26E1A">
      <w:pPr>
        <w:spacing w:before="200" w:line="276" w:lineRule="exact"/>
        <w:ind w:left="720"/>
        <w:rPr>
          <w:sz w:val="24"/>
          <w:szCs w:val="24"/>
          <w:rtl/>
        </w:rPr>
      </w:pPr>
      <w:r w:rsidRPr="00BD1295">
        <w:rPr>
          <w:sz w:val="24"/>
          <w:szCs w:val="24"/>
          <w:rtl/>
        </w:rPr>
        <w:t>תנא</w:t>
      </w:r>
      <w:r>
        <w:rPr>
          <w:rFonts w:hint="cs"/>
          <w:sz w:val="24"/>
          <w:szCs w:val="24"/>
          <w:rtl/>
        </w:rPr>
        <w:t>,</w:t>
      </w:r>
      <w:r w:rsidRPr="00BD1295">
        <w:rPr>
          <w:sz w:val="24"/>
          <w:szCs w:val="24"/>
          <w:rtl/>
        </w:rPr>
        <w:t xml:space="preserve"> כשהוא מזה אינו מזה על הפרוכת אלא כנגד הפרוכת</w:t>
      </w:r>
      <w:r>
        <w:rPr>
          <w:rFonts w:hint="cs"/>
          <w:sz w:val="24"/>
          <w:szCs w:val="24"/>
          <w:rtl/>
        </w:rPr>
        <w:t>.</w:t>
      </w:r>
      <w:r w:rsidRPr="00BD1295">
        <w:rPr>
          <w:sz w:val="24"/>
          <w:szCs w:val="24"/>
          <w:rtl/>
        </w:rPr>
        <w:t xml:space="preserve"> אמר רבי אלעזר ברבי יוסי</w:t>
      </w:r>
      <w:r>
        <w:rPr>
          <w:rFonts w:hint="cs"/>
          <w:sz w:val="24"/>
          <w:szCs w:val="24"/>
          <w:rtl/>
        </w:rPr>
        <w:t>:</w:t>
      </w:r>
      <w:r w:rsidRPr="00BD1295">
        <w:rPr>
          <w:sz w:val="24"/>
          <w:szCs w:val="24"/>
          <w:rtl/>
        </w:rPr>
        <w:t xml:space="preserve"> אני ראיתיה ברומי והיו עליה כמה טיפי דמים של פר ושעיר של יום הכפורים</w:t>
      </w:r>
      <w:r>
        <w:rPr>
          <w:rFonts w:hint="cs"/>
          <w:sz w:val="24"/>
          <w:szCs w:val="24"/>
          <w:rtl/>
        </w:rPr>
        <w:t>...</w:t>
      </w:r>
      <w:r w:rsidRPr="00BD1295">
        <w:rPr>
          <w:sz w:val="24"/>
          <w:szCs w:val="24"/>
          <w:rtl/>
        </w:rPr>
        <w:t xml:space="preserve"> ותנן נמי גבי פר העלם דבר של צבור כי האי גוונא</w:t>
      </w:r>
      <w:r>
        <w:rPr>
          <w:rFonts w:hint="cs"/>
          <w:sz w:val="24"/>
          <w:szCs w:val="24"/>
          <w:rtl/>
        </w:rPr>
        <w:t>:</w:t>
      </w:r>
      <w:r w:rsidRPr="00BD1295">
        <w:rPr>
          <w:sz w:val="24"/>
          <w:szCs w:val="24"/>
          <w:rtl/>
        </w:rPr>
        <w:t xml:space="preserve"> כשהוא מזה לא היו נוגעין בפרוכת</w:t>
      </w:r>
      <w:r>
        <w:rPr>
          <w:rFonts w:hint="cs"/>
          <w:sz w:val="24"/>
          <w:szCs w:val="24"/>
          <w:rtl/>
        </w:rPr>
        <w:t>,</w:t>
      </w:r>
      <w:r w:rsidRPr="00BD1295">
        <w:rPr>
          <w:sz w:val="24"/>
          <w:szCs w:val="24"/>
          <w:rtl/>
        </w:rPr>
        <w:t xml:space="preserve"> ואם נגעו נגעו</w:t>
      </w:r>
      <w:r>
        <w:rPr>
          <w:rFonts w:hint="cs"/>
          <w:sz w:val="24"/>
          <w:szCs w:val="24"/>
          <w:rtl/>
        </w:rPr>
        <w:t>.</w:t>
      </w:r>
      <w:r w:rsidRPr="00BD1295">
        <w:rPr>
          <w:sz w:val="24"/>
          <w:szCs w:val="24"/>
          <w:rtl/>
        </w:rPr>
        <w:t xml:space="preserve"> אמר רבי אלעזר ברבי יוסי</w:t>
      </w:r>
      <w:r>
        <w:rPr>
          <w:rFonts w:hint="cs"/>
          <w:sz w:val="24"/>
          <w:szCs w:val="24"/>
          <w:rtl/>
        </w:rPr>
        <w:t>:</w:t>
      </w:r>
      <w:r w:rsidRPr="00BD1295">
        <w:rPr>
          <w:sz w:val="24"/>
          <w:szCs w:val="24"/>
          <w:rtl/>
        </w:rPr>
        <w:t xml:space="preserve"> אני ראיתיה ברומי והיו עליה כמה טיפי דמים של פר העלם דבר של צבור ושעירי עבודה זרה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נז.]</w:t>
      </w:r>
    </w:p>
    <w:p w:rsidR="00C26E1A" w:rsidRDefault="00C26E1A" w:rsidP="00C26E1A">
      <w:pPr>
        <w:spacing w:before="200" w:line="276" w:lineRule="exact"/>
        <w:ind w:firstLine="266"/>
        <w:rPr>
          <w:sz w:val="24"/>
          <w:szCs w:val="24"/>
          <w:rtl/>
        </w:rPr>
      </w:pPr>
      <w:r>
        <w:rPr>
          <w:rFonts w:hint="cs"/>
          <w:sz w:val="24"/>
          <w:szCs w:val="24"/>
          <w:rtl/>
        </w:rPr>
        <w:t xml:space="preserve">בבריתא זו מובאת מחלוקת, לגבי הזאות דם פר ושעיר של יום הכיפורים ולגבי שאר החטאות הפנימיות, האם הדם צריך לגעת בפרוכת. הברייתא אומרת כי לפי לשיטה ששאר החטאות הפנימיות אינן צריכות לגעת בפרוכת </w:t>
      </w:r>
      <w:r>
        <w:rPr>
          <w:sz w:val="24"/>
          <w:szCs w:val="24"/>
          <w:rtl/>
        </w:rPr>
        <w:t>–</w:t>
      </w:r>
      <w:r>
        <w:rPr>
          <w:rFonts w:hint="cs"/>
          <w:sz w:val="24"/>
          <w:szCs w:val="24"/>
          <w:rtl/>
        </w:rPr>
        <w:t xml:space="preserve"> "אם נגעו נגעו". הגבורת ארי מקשה, מדוע הברייתא אינה אומרת גם לגבי פר ושעיר של יום הכיפורים "ואם נגעו נגעו". הגבורת ארי מתרץ:</w:t>
      </w:r>
    </w:p>
    <w:p w:rsidR="00C26E1A" w:rsidRDefault="00C26E1A" w:rsidP="00C26E1A">
      <w:pPr>
        <w:spacing w:before="200" w:line="276" w:lineRule="exact"/>
        <w:ind w:left="720"/>
        <w:rPr>
          <w:sz w:val="24"/>
          <w:szCs w:val="24"/>
          <w:rtl/>
        </w:rPr>
      </w:pPr>
      <w:r w:rsidRPr="00BD1295">
        <w:rPr>
          <w:sz w:val="24"/>
          <w:szCs w:val="24"/>
          <w:rtl/>
        </w:rPr>
        <w:t xml:space="preserve">והמחוור נראה לי דהיינו טעמא דלא קאמר גבי יום הכיפורים </w:t>
      </w:r>
      <w:r>
        <w:rPr>
          <w:rFonts w:hint="cs"/>
          <w:sz w:val="24"/>
          <w:szCs w:val="24"/>
          <w:rtl/>
        </w:rPr>
        <w:t>'</w:t>
      </w:r>
      <w:r w:rsidRPr="00BD1295">
        <w:rPr>
          <w:sz w:val="24"/>
          <w:szCs w:val="24"/>
          <w:rtl/>
        </w:rPr>
        <w:t>ואם נגעו נגעו</w:t>
      </w:r>
      <w:r>
        <w:rPr>
          <w:rFonts w:hint="cs"/>
          <w:sz w:val="24"/>
          <w:szCs w:val="24"/>
          <w:rtl/>
        </w:rPr>
        <w:t>'</w:t>
      </w:r>
      <w:r w:rsidRPr="00BD1295">
        <w:rPr>
          <w:sz w:val="24"/>
          <w:szCs w:val="24"/>
          <w:rtl/>
        </w:rPr>
        <w:t xml:space="preserve"> כדתני גבי הני</w:t>
      </w:r>
      <w:r>
        <w:rPr>
          <w:rFonts w:hint="cs"/>
          <w:sz w:val="24"/>
          <w:szCs w:val="24"/>
          <w:rtl/>
        </w:rPr>
        <w:t>,</w:t>
      </w:r>
      <w:r w:rsidRPr="00BD1295">
        <w:rPr>
          <w:sz w:val="24"/>
          <w:szCs w:val="24"/>
          <w:rtl/>
        </w:rPr>
        <w:t xml:space="preserve"> משום דמקום הפרוכת של משכן קדושתו כלפנים ומחודו החיצון ולפנים הוי קודש הקדשים</w:t>
      </w:r>
      <w:r>
        <w:rPr>
          <w:rFonts w:hint="cs"/>
          <w:sz w:val="24"/>
          <w:szCs w:val="24"/>
          <w:rtl/>
        </w:rPr>
        <w:t>...</w:t>
      </w:r>
      <w:r w:rsidRPr="00BD1295">
        <w:rPr>
          <w:sz w:val="24"/>
          <w:szCs w:val="24"/>
          <w:rtl/>
        </w:rPr>
        <w:t xml:space="preserve"> וכיון שכן איכא למימר</w:t>
      </w:r>
      <w:r>
        <w:rPr>
          <w:rFonts w:hint="cs"/>
          <w:sz w:val="24"/>
          <w:szCs w:val="24"/>
          <w:rtl/>
        </w:rPr>
        <w:t>,</w:t>
      </w:r>
      <w:r w:rsidRPr="00BD1295">
        <w:rPr>
          <w:sz w:val="24"/>
          <w:szCs w:val="24"/>
          <w:rtl/>
        </w:rPr>
        <w:t xml:space="preserve"> דלתנא קמא בשל יום הכיפורים דכתב רחמנא </w:t>
      </w:r>
      <w:r>
        <w:rPr>
          <w:rFonts w:hint="cs"/>
          <w:sz w:val="24"/>
          <w:szCs w:val="24"/>
          <w:rtl/>
        </w:rPr>
        <w:t>'</w:t>
      </w:r>
      <w:r w:rsidRPr="00BD1295">
        <w:rPr>
          <w:sz w:val="24"/>
          <w:szCs w:val="24"/>
          <w:rtl/>
        </w:rPr>
        <w:t>וכן יעשה באוהל מועד</w:t>
      </w:r>
      <w:r>
        <w:rPr>
          <w:rFonts w:hint="cs"/>
          <w:sz w:val="24"/>
          <w:szCs w:val="24"/>
          <w:rtl/>
        </w:rPr>
        <w:t>',</w:t>
      </w:r>
      <w:r w:rsidRPr="00BD1295">
        <w:rPr>
          <w:sz w:val="24"/>
          <w:szCs w:val="24"/>
          <w:rtl/>
        </w:rPr>
        <w:t xml:space="preserve"> היינו היכל</w:t>
      </w:r>
      <w:r>
        <w:rPr>
          <w:rFonts w:hint="cs"/>
          <w:sz w:val="24"/>
          <w:szCs w:val="24"/>
          <w:rtl/>
        </w:rPr>
        <w:t>,</w:t>
      </w:r>
      <w:r w:rsidRPr="00BD1295">
        <w:rPr>
          <w:sz w:val="24"/>
          <w:szCs w:val="24"/>
          <w:rtl/>
        </w:rPr>
        <w:t xml:space="preserve"> אי אפשר להזות אלא כנגד הפרוכת</w:t>
      </w:r>
      <w:r>
        <w:rPr>
          <w:rFonts w:hint="cs"/>
          <w:sz w:val="24"/>
          <w:szCs w:val="24"/>
          <w:rtl/>
        </w:rPr>
        <w:t>,</w:t>
      </w:r>
      <w:r w:rsidRPr="00BD1295">
        <w:rPr>
          <w:sz w:val="24"/>
          <w:szCs w:val="24"/>
          <w:rtl/>
        </w:rPr>
        <w:t xml:space="preserve"> אבל לא יגעו בפרוכת כיון דפרוכת קדושת קודש הקדשים עליו הוה ליה כאלו מזה בקודש קדשים ולא בהיכל</w:t>
      </w:r>
      <w:r>
        <w:rPr>
          <w:rFonts w:hint="cs"/>
          <w:sz w:val="24"/>
          <w:szCs w:val="24"/>
          <w:rtl/>
        </w:rPr>
        <w:t xml:space="preserve">... </w:t>
      </w:r>
      <w:r w:rsidRPr="00BD1295">
        <w:rPr>
          <w:sz w:val="24"/>
          <w:szCs w:val="24"/>
          <w:rtl/>
        </w:rPr>
        <w:t>מה שאין כן הזאת פר העלם דבר</w:t>
      </w:r>
      <w:r>
        <w:rPr>
          <w:rFonts w:hint="cs"/>
          <w:sz w:val="24"/>
          <w:szCs w:val="24"/>
          <w:rtl/>
        </w:rPr>
        <w:t>,</w:t>
      </w:r>
      <w:r w:rsidRPr="00BD1295">
        <w:rPr>
          <w:sz w:val="24"/>
          <w:szCs w:val="24"/>
          <w:rtl/>
        </w:rPr>
        <w:t xml:space="preserve"> דרחמנא לא תלי להו באוהל מועד אלא בפרוכת</w:t>
      </w:r>
      <w:r>
        <w:rPr>
          <w:rFonts w:hint="cs"/>
          <w:sz w:val="24"/>
          <w:szCs w:val="24"/>
          <w:rtl/>
        </w:rPr>
        <w:t>,</w:t>
      </w:r>
      <w:r w:rsidRPr="00BD1295">
        <w:rPr>
          <w:sz w:val="24"/>
          <w:szCs w:val="24"/>
          <w:rtl/>
        </w:rPr>
        <w:t xml:space="preserve"> כדכתיב </w:t>
      </w:r>
      <w:r>
        <w:rPr>
          <w:rFonts w:hint="cs"/>
          <w:sz w:val="24"/>
          <w:szCs w:val="24"/>
          <w:rtl/>
        </w:rPr>
        <w:t>'</w:t>
      </w:r>
      <w:r w:rsidRPr="00BD1295">
        <w:rPr>
          <w:sz w:val="24"/>
          <w:szCs w:val="24"/>
          <w:rtl/>
        </w:rPr>
        <w:t>והיזה את פני הפרוכת</w:t>
      </w:r>
      <w:r>
        <w:rPr>
          <w:rFonts w:hint="cs"/>
          <w:sz w:val="24"/>
          <w:szCs w:val="24"/>
          <w:rtl/>
        </w:rPr>
        <w:t>',</w:t>
      </w:r>
      <w:r w:rsidRPr="00BD1295">
        <w:rPr>
          <w:sz w:val="24"/>
          <w:szCs w:val="24"/>
          <w:rtl/>
        </w:rPr>
        <w:t xml:space="preserve"> לית לן בה אפילו אי נוגע בו</w:t>
      </w:r>
      <w:r>
        <w:rPr>
          <w:rFonts w:hint="cs"/>
          <w:sz w:val="24"/>
          <w:szCs w:val="24"/>
          <w:rtl/>
        </w:rPr>
        <w:t>.</w:t>
      </w:r>
      <w:r>
        <w:rPr>
          <w:sz w:val="24"/>
          <w:szCs w:val="24"/>
          <w:rtl/>
        </w:rPr>
        <w:tab/>
      </w:r>
      <w:r>
        <w:rPr>
          <w:rFonts w:hint="cs"/>
          <w:sz w:val="24"/>
          <w:szCs w:val="24"/>
          <w:rtl/>
        </w:rPr>
        <w:t xml:space="preserve">       </w:t>
      </w:r>
      <w:r>
        <w:rPr>
          <w:rFonts w:hint="cs"/>
          <w:sz w:val="20"/>
          <w:szCs w:val="20"/>
          <w:rtl/>
        </w:rPr>
        <w:t>[גבורת ארי נז. ד"ה אלא כנגד]</w:t>
      </w:r>
    </w:p>
    <w:p w:rsidR="00C26E1A" w:rsidRDefault="00C26E1A" w:rsidP="00C26E1A">
      <w:pPr>
        <w:spacing w:before="200" w:line="276" w:lineRule="exact"/>
        <w:ind w:firstLine="266"/>
        <w:rPr>
          <w:sz w:val="24"/>
          <w:szCs w:val="24"/>
          <w:rtl/>
        </w:rPr>
      </w:pPr>
      <w:r w:rsidRPr="00BD1295">
        <w:rPr>
          <w:rFonts w:hint="cs"/>
          <w:sz w:val="24"/>
          <w:szCs w:val="24"/>
          <w:rtl/>
        </w:rPr>
        <w:t>ה</w:t>
      </w:r>
      <w:r>
        <w:rPr>
          <w:rFonts w:hint="cs"/>
          <w:sz w:val="24"/>
          <w:szCs w:val="24"/>
          <w:rtl/>
        </w:rPr>
        <w:t xml:space="preserve">גבורת ארי טוען כי רק בשאר החטאות הפנימיות הדם יכול לגעת בפרוכת, אך לא בפר ושעיר של יום הכיפורים. טענתו מבוססת על ההבחנה העקרונית דלעיל ביניהם: הזאות פר ושעיר של יום הכיפורים צריכות להיעשות בהיכל, ולכן הדם צריך להגיע לקרקע ההיכל, ולא לפרוכת שאינה חלק מן ההיכל. הזאות שאר החטאות הפנימיות, לעומת זאת, אינן צריכות להיעשות בהיכל, אלא "לפני ה' את פני פרוכת הקודש" </w:t>
      </w:r>
      <w:r>
        <w:rPr>
          <w:rFonts w:hint="cs"/>
          <w:sz w:val="20"/>
          <w:szCs w:val="20"/>
          <w:rtl/>
        </w:rPr>
        <w:t>[ויקרא ד, ו]</w:t>
      </w:r>
      <w:r>
        <w:rPr>
          <w:rFonts w:hint="cs"/>
          <w:sz w:val="24"/>
          <w:szCs w:val="24"/>
          <w:rtl/>
        </w:rPr>
        <w:t xml:space="preserve"> </w:t>
      </w:r>
      <w:r>
        <w:rPr>
          <w:sz w:val="24"/>
          <w:szCs w:val="24"/>
          <w:rtl/>
        </w:rPr>
        <w:t>–</w:t>
      </w:r>
      <w:r>
        <w:rPr>
          <w:rFonts w:hint="cs"/>
          <w:sz w:val="24"/>
          <w:szCs w:val="24"/>
          <w:rtl/>
        </w:rPr>
        <w:t xml:space="preserve"> אל מול מקום קודש הקדשים. בשל כך, הזאות אלו כשרות גם אם נגעו בפרוכת</w:t>
      </w:r>
      <w:r>
        <w:rPr>
          <w:rStyle w:val="a7"/>
          <w:sz w:val="24"/>
          <w:szCs w:val="24"/>
          <w:rtl/>
        </w:rPr>
        <w:footnoteReference w:id="119"/>
      </w:r>
      <w:r>
        <w:rPr>
          <w:rFonts w:hint="cs"/>
          <w:sz w:val="24"/>
          <w:szCs w:val="24"/>
          <w:rtl/>
        </w:rPr>
        <w:t xml:space="preserve">. </w:t>
      </w:r>
    </w:p>
    <w:p w:rsidR="00C26E1A" w:rsidRDefault="00C26E1A" w:rsidP="00C26E1A">
      <w:pPr>
        <w:spacing w:before="200" w:line="276" w:lineRule="exact"/>
        <w:ind w:firstLine="266"/>
        <w:rPr>
          <w:sz w:val="24"/>
          <w:szCs w:val="24"/>
          <w:rtl/>
        </w:rPr>
      </w:pPr>
    </w:p>
    <w:p w:rsidR="00C26E1A" w:rsidRDefault="00C26E1A" w:rsidP="00C26E1A">
      <w:pPr>
        <w:spacing w:before="200" w:line="276" w:lineRule="exact"/>
        <w:ind w:firstLine="266"/>
        <w:rPr>
          <w:sz w:val="24"/>
          <w:szCs w:val="24"/>
          <w:rtl/>
        </w:rPr>
      </w:pPr>
      <w:r>
        <w:rPr>
          <w:rFonts w:hint="cs"/>
          <w:sz w:val="24"/>
          <w:szCs w:val="24"/>
          <w:rtl/>
        </w:rPr>
        <w:t>מדברי הרמב"ם עולה שיטה שונה בעניין זה. מפורש בדברי הרמב"ם כי הזאות דם הפר והשעיר של יום הכיפורים היו נעשות "כנגד הארון":</w:t>
      </w:r>
    </w:p>
    <w:p w:rsidR="00C26E1A" w:rsidRDefault="00C26E1A" w:rsidP="00C26E1A">
      <w:pPr>
        <w:spacing w:before="200" w:line="276" w:lineRule="exact"/>
        <w:ind w:left="720"/>
        <w:rPr>
          <w:sz w:val="24"/>
          <w:szCs w:val="24"/>
          <w:rtl/>
        </w:rPr>
      </w:pPr>
      <w:r w:rsidRPr="0079296E">
        <w:rPr>
          <w:sz w:val="24"/>
          <w:szCs w:val="24"/>
          <w:rtl/>
        </w:rPr>
        <w:t xml:space="preserve">ואחר כך נוטל דם הפר מעל הכן ומזה ממנו על הפרוכת </w:t>
      </w:r>
      <w:r w:rsidRPr="0079296E">
        <w:rPr>
          <w:b/>
          <w:bCs/>
          <w:sz w:val="24"/>
          <w:szCs w:val="24"/>
          <w:rtl/>
        </w:rPr>
        <w:t>כנגד הארון</w:t>
      </w:r>
      <w:r w:rsidRPr="0079296E">
        <w:rPr>
          <w:sz w:val="24"/>
          <w:szCs w:val="24"/>
          <w:rtl/>
        </w:rPr>
        <w:t xml:space="preserve"> שמונה הזיות</w:t>
      </w:r>
      <w:r>
        <w:rPr>
          <w:rFonts w:hint="cs"/>
          <w:sz w:val="24"/>
          <w:szCs w:val="24"/>
          <w:rtl/>
        </w:rPr>
        <w:t>,</w:t>
      </w:r>
      <w:r w:rsidRPr="0079296E">
        <w:rPr>
          <w:sz w:val="24"/>
          <w:szCs w:val="24"/>
          <w:rtl/>
        </w:rPr>
        <w:t xml:space="preserve"> ומניח דם הפר ונוטל דם השעיר ומזה ממנו על הפרוכת </w:t>
      </w:r>
      <w:r w:rsidRPr="0079296E">
        <w:rPr>
          <w:b/>
          <w:bCs/>
          <w:sz w:val="24"/>
          <w:szCs w:val="24"/>
          <w:rtl/>
        </w:rPr>
        <w:t>כנגד הארון</w:t>
      </w:r>
      <w:r w:rsidRPr="0079296E">
        <w:rPr>
          <w:sz w:val="24"/>
          <w:szCs w:val="24"/>
          <w:rtl/>
        </w:rPr>
        <w:t xml:space="preserve"> שמונה הזיות</w:t>
      </w:r>
      <w:r>
        <w:rPr>
          <w:rFonts w:hint="cs"/>
          <w:sz w:val="24"/>
          <w:szCs w:val="24"/>
          <w:rtl/>
        </w:rPr>
        <w:t xml:space="preserve">. </w:t>
      </w:r>
    </w:p>
    <w:p w:rsidR="00C26E1A" w:rsidRDefault="00C26E1A" w:rsidP="00C26E1A">
      <w:pPr>
        <w:spacing w:before="200" w:line="276" w:lineRule="exact"/>
        <w:ind w:left="720"/>
        <w:jc w:val="right"/>
        <w:rPr>
          <w:sz w:val="24"/>
          <w:szCs w:val="24"/>
          <w:rtl/>
        </w:rPr>
      </w:pPr>
      <w:r w:rsidRPr="0079296E">
        <w:rPr>
          <w:rFonts w:hint="cs"/>
          <w:sz w:val="20"/>
          <w:szCs w:val="20"/>
          <w:rtl/>
        </w:rPr>
        <w:t>[הל' עבודת יום הכיפורים פ"ד ה"ב]</w:t>
      </w:r>
      <w:r>
        <w:rPr>
          <w:rStyle w:val="a7"/>
          <w:sz w:val="24"/>
          <w:szCs w:val="24"/>
          <w:rtl/>
        </w:rPr>
        <w:footnoteReference w:id="120"/>
      </w:r>
    </w:p>
    <w:p w:rsidR="00C26E1A" w:rsidRDefault="00C26E1A" w:rsidP="00C26E1A">
      <w:pPr>
        <w:spacing w:before="200" w:line="276" w:lineRule="exact"/>
        <w:ind w:firstLine="227"/>
        <w:rPr>
          <w:sz w:val="24"/>
          <w:szCs w:val="24"/>
          <w:rtl/>
        </w:rPr>
      </w:pPr>
      <w:r>
        <w:rPr>
          <w:rFonts w:hint="cs"/>
          <w:sz w:val="24"/>
          <w:szCs w:val="24"/>
          <w:rtl/>
        </w:rPr>
        <w:t>לעומת זאת, לגבי הזאות שאר החטאות הפנימיות כותב הרמב"ם:</w:t>
      </w:r>
    </w:p>
    <w:p w:rsidR="00C26E1A" w:rsidRDefault="00C26E1A" w:rsidP="00C26E1A">
      <w:pPr>
        <w:spacing w:before="200" w:line="276" w:lineRule="exact"/>
        <w:ind w:left="720"/>
        <w:rPr>
          <w:sz w:val="24"/>
          <w:szCs w:val="24"/>
          <w:rtl/>
        </w:rPr>
      </w:pPr>
      <w:r w:rsidRPr="0009724C">
        <w:rPr>
          <w:sz w:val="24"/>
          <w:szCs w:val="24"/>
          <w:rtl/>
        </w:rPr>
        <w:t xml:space="preserve">פרים הנשרפין ושעירים הנשרפין זורק דם מכל אחד מהם שבע הזיות </w:t>
      </w:r>
      <w:r w:rsidRPr="0009724C">
        <w:rPr>
          <w:b/>
          <w:bCs/>
          <w:sz w:val="24"/>
          <w:szCs w:val="24"/>
          <w:rtl/>
        </w:rPr>
        <w:t>על הפרוכת המבדלת בין הקדש ובין קדש הקדשים</w:t>
      </w:r>
      <w:r w:rsidRPr="0009724C">
        <w:rPr>
          <w:sz w:val="24"/>
          <w:szCs w:val="24"/>
          <w:rtl/>
        </w:rPr>
        <w:t>, וארבע הזיות על ארבע קרנות מזבח הזהב.</w:t>
      </w:r>
      <w:r>
        <w:rPr>
          <w:rFonts w:hint="cs"/>
          <w:sz w:val="24"/>
          <w:szCs w:val="24"/>
          <w:rtl/>
        </w:rPr>
        <w:t xml:space="preserve"> </w:t>
      </w:r>
    </w:p>
    <w:p w:rsidR="00C26E1A" w:rsidRDefault="00C26E1A" w:rsidP="00C26E1A">
      <w:pPr>
        <w:spacing w:before="200" w:line="276" w:lineRule="exact"/>
        <w:ind w:left="720"/>
        <w:jc w:val="right"/>
        <w:rPr>
          <w:sz w:val="24"/>
          <w:szCs w:val="24"/>
          <w:rtl/>
        </w:rPr>
      </w:pPr>
      <w:r>
        <w:rPr>
          <w:rFonts w:hint="cs"/>
          <w:sz w:val="20"/>
          <w:szCs w:val="20"/>
          <w:rtl/>
        </w:rPr>
        <w:t>[הל' מעשה הקרבנות פ"ה הי"ג]</w:t>
      </w:r>
    </w:p>
    <w:p w:rsidR="00C26E1A" w:rsidRDefault="00C26E1A" w:rsidP="00C26E1A">
      <w:pPr>
        <w:spacing w:before="200" w:line="276" w:lineRule="exact"/>
        <w:ind w:firstLine="266"/>
        <w:rPr>
          <w:sz w:val="24"/>
          <w:szCs w:val="24"/>
          <w:rtl/>
        </w:rPr>
      </w:pPr>
      <w:r>
        <w:rPr>
          <w:rFonts w:hint="cs"/>
          <w:sz w:val="24"/>
          <w:szCs w:val="24"/>
          <w:rtl/>
        </w:rPr>
        <w:lastRenderedPageBreak/>
        <w:t>הרמב"ם כותב באופן סתמי שיש להזות "על הפרוכת המבדלת בין הקודש ובין קודש הקדשים", ואינו מציין שיש להזות דווקא "כנגד הארון". ואם כן, לשיטתו קיים חילוק בעניין זה בין הזאות פר ושעיר של יום הכיפורים להזאות שאר החטאות הפנימיות</w:t>
      </w:r>
      <w:r>
        <w:rPr>
          <w:rStyle w:val="a7"/>
          <w:sz w:val="24"/>
          <w:szCs w:val="24"/>
          <w:rtl/>
        </w:rPr>
        <w:footnoteReference w:id="121"/>
      </w:r>
      <w:r>
        <w:rPr>
          <w:rFonts w:hint="cs"/>
          <w:sz w:val="24"/>
          <w:szCs w:val="24"/>
          <w:rtl/>
        </w:rPr>
        <w:t xml:space="preserve">.  </w:t>
      </w:r>
    </w:p>
    <w:p w:rsidR="00C26E1A" w:rsidRDefault="00C26E1A" w:rsidP="00C26E1A">
      <w:pPr>
        <w:spacing w:before="200" w:line="276" w:lineRule="exact"/>
        <w:ind w:firstLine="266"/>
        <w:rPr>
          <w:sz w:val="24"/>
          <w:szCs w:val="24"/>
          <w:rtl/>
        </w:rPr>
      </w:pPr>
      <w:r>
        <w:rPr>
          <w:rFonts w:hint="cs"/>
          <w:sz w:val="24"/>
          <w:szCs w:val="24"/>
          <w:rtl/>
        </w:rPr>
        <w:t>טעם חילוק זה מבואר בספר 'נר שמואל' (לרבי שמואל ווילנסקי זצ"ל):</w:t>
      </w:r>
    </w:p>
    <w:p w:rsidR="00C26E1A" w:rsidRDefault="00C26E1A" w:rsidP="00C26E1A">
      <w:pPr>
        <w:spacing w:before="200" w:line="276" w:lineRule="exact"/>
        <w:ind w:left="720"/>
        <w:rPr>
          <w:sz w:val="24"/>
          <w:szCs w:val="24"/>
          <w:rtl/>
        </w:rPr>
      </w:pPr>
      <w:r>
        <w:rPr>
          <w:rFonts w:hint="cs"/>
          <w:sz w:val="24"/>
          <w:szCs w:val="24"/>
          <w:rtl/>
        </w:rPr>
        <w:t xml:space="preserve">ונראה בביאור דברי הרמב"ם, דדין בין הבדים בהזאות פר ושעיר של יום הכיפורים אין לו עניין לדין בין הבדים שבהזאות פרים הנשרפין ושעירים הנשרפין, ולא גמרינן להו מהדדי. דהנה דגוף הדין דבפר ושעיר של יום הכיפורים צריך להזות על הפרוכת, ילפינן לה בגמ' יומא דף נ"ו ע"ב מדכתיב 'וכן יעשה לאוהל מועד </w:t>
      </w:r>
      <w:r>
        <w:rPr>
          <w:sz w:val="24"/>
          <w:szCs w:val="24"/>
          <w:rtl/>
        </w:rPr>
        <w:t>–</w:t>
      </w:r>
      <w:r>
        <w:rPr>
          <w:rFonts w:hint="cs"/>
          <w:sz w:val="24"/>
          <w:szCs w:val="24"/>
          <w:rtl/>
        </w:rPr>
        <w:t xml:space="preserve"> מה תלמוד לומר, כשם שמזה לפני ולפנים כך מזה בהיכל, מה לפני ולפנים אחת למעלה ושבע למטה מדם הפר, כך מזה בהיכל, וכשם שלפני ולפנים אחת למעלה ושבע למטה מדם השעיר, כך מזה בהיכל', עיי"ש. ולפום רהיטא קשיא, דנהי דהאי קרא גלי לן דצריך להזות גם באוהל מועד, אבל מהיכא תיתי דההזאה צריכה להיות על הפרוכת דוקא, דבשלמא גבי פר כהן משוח כתיב קרא 'והיזה מן הדם שבע פעמים לפני ד' את פני פרוכת הקדש'... אבל פר ושעיר של יום הכיפורים מנלן. אכן נראה דהגמ' מפרשת לקרא ד'וכן יעשה לאהל מועד', שתהא ההזאה שבאהל מועד דוגמת ההזאה דלפני לפנים </w:t>
      </w:r>
      <w:r>
        <w:rPr>
          <w:sz w:val="24"/>
          <w:szCs w:val="24"/>
          <w:rtl/>
        </w:rPr>
        <w:t>–</w:t>
      </w:r>
      <w:r>
        <w:rPr>
          <w:rFonts w:hint="cs"/>
          <w:sz w:val="24"/>
          <w:szCs w:val="24"/>
          <w:rtl/>
        </w:rPr>
        <w:t xml:space="preserve"> מה ההזאה דלפני לפנים מכוונת כנגד שני בדי הארון, כך ההזאה שבאוהל מועד צריכה להיות כנגד שני בדי הארון... ונמצא דכל דין הזאות פר ושעיר של יום הכיפורים על הפרוכת הוא מטעם שהוא צריך להזות כנגד שני בדי הארון, ולא דמי לפר כהן משיח ופר העלם דבר, דהתם התורה נתנה את מקום ההזאה על פני פרוכת הקודש.</w:t>
      </w:r>
    </w:p>
    <w:p w:rsidR="00C26E1A" w:rsidRDefault="00C26E1A" w:rsidP="00C26E1A">
      <w:pPr>
        <w:spacing w:before="200" w:line="276" w:lineRule="exact"/>
        <w:ind w:left="720"/>
        <w:jc w:val="right"/>
        <w:rPr>
          <w:sz w:val="24"/>
          <w:szCs w:val="24"/>
          <w:rtl/>
        </w:rPr>
      </w:pPr>
      <w:r>
        <w:rPr>
          <w:rFonts w:hint="cs"/>
          <w:sz w:val="20"/>
          <w:szCs w:val="20"/>
          <w:rtl/>
        </w:rPr>
        <w:t>[נר שמואל ח"א סי' טו]</w:t>
      </w:r>
      <w:r w:rsidRPr="009D7CF2">
        <w:rPr>
          <w:rStyle w:val="a7"/>
          <w:sz w:val="24"/>
          <w:szCs w:val="24"/>
          <w:rtl/>
        </w:rPr>
        <w:footnoteReference w:id="122"/>
      </w:r>
      <w:r>
        <w:rPr>
          <w:rFonts w:hint="cs"/>
          <w:sz w:val="24"/>
          <w:szCs w:val="24"/>
          <w:rtl/>
        </w:rPr>
        <w:t xml:space="preserve">  </w:t>
      </w:r>
    </w:p>
    <w:p w:rsidR="00C26E1A" w:rsidRDefault="00C26E1A" w:rsidP="00C26E1A">
      <w:pPr>
        <w:spacing w:before="200" w:line="276" w:lineRule="exact"/>
        <w:ind w:firstLine="266"/>
        <w:rPr>
          <w:sz w:val="24"/>
          <w:szCs w:val="24"/>
          <w:rtl/>
        </w:rPr>
      </w:pPr>
      <w:r>
        <w:rPr>
          <w:rFonts w:hint="cs"/>
          <w:sz w:val="24"/>
          <w:szCs w:val="24"/>
          <w:rtl/>
        </w:rPr>
        <w:t xml:space="preserve">לפי דבריו, קיים הבדל עקרוני במקום ההזאה בין הפרים והשעירים הנשרפים לבין פר ושעיר של יום הכיפורים: מקום הזאת דם הפרים והשעירים הנשרפים הוא "את פני פרוכת הקודש" </w:t>
      </w:r>
      <w:r>
        <w:rPr>
          <w:sz w:val="24"/>
          <w:szCs w:val="24"/>
          <w:rtl/>
        </w:rPr>
        <w:t>–</w:t>
      </w:r>
      <w:r>
        <w:rPr>
          <w:rFonts w:hint="cs"/>
          <w:sz w:val="24"/>
          <w:szCs w:val="24"/>
          <w:rtl/>
        </w:rPr>
        <w:t xml:space="preserve"> אל מול קודש הקדשים</w:t>
      </w:r>
      <w:r>
        <w:rPr>
          <w:rStyle w:val="a7"/>
          <w:sz w:val="24"/>
          <w:szCs w:val="24"/>
          <w:rtl/>
        </w:rPr>
        <w:footnoteReference w:id="123"/>
      </w:r>
      <w:r>
        <w:rPr>
          <w:rFonts w:hint="cs"/>
          <w:sz w:val="24"/>
          <w:szCs w:val="24"/>
          <w:rtl/>
        </w:rPr>
        <w:t xml:space="preserve">. לעומת זאת, מקום הזאת דם פר ושעיר של יום הכיפורים הוא 'בין הבדים' </w:t>
      </w:r>
      <w:r>
        <w:rPr>
          <w:sz w:val="24"/>
          <w:szCs w:val="24"/>
          <w:rtl/>
        </w:rPr>
        <w:t>–</w:t>
      </w:r>
      <w:r>
        <w:rPr>
          <w:rFonts w:hint="cs"/>
          <w:sz w:val="24"/>
          <w:szCs w:val="24"/>
          <w:rtl/>
        </w:rPr>
        <w:t xml:space="preserve"> לפני ולפנים, במקום השראת השכינה. אולם, הכתוב "וכן יעשה לאוהל מועד" מלמד כי חובה לשוב ולהזות בהיכל כדוגמת ההזאות הנעשות לפני ולפנים, ולכן הכהן הגדול צריך לשוב ולהזות על הפרוכת "כנגד הארון". </w:t>
      </w:r>
    </w:p>
    <w:p w:rsidR="00C26E1A" w:rsidRDefault="00C26E1A" w:rsidP="00C26E1A">
      <w:pPr>
        <w:spacing w:before="200" w:line="276" w:lineRule="exact"/>
        <w:ind w:firstLine="266"/>
        <w:rPr>
          <w:sz w:val="24"/>
          <w:szCs w:val="24"/>
          <w:rtl/>
        </w:rPr>
      </w:pPr>
      <w:r>
        <w:rPr>
          <w:rFonts w:hint="cs"/>
          <w:sz w:val="24"/>
          <w:szCs w:val="24"/>
          <w:rtl/>
        </w:rPr>
        <w:t>נראה להעמיק טענה זו. יום הכיפורים הוא יום ניקוי המקדש מהטומאה שדבקה בו במהלך השנה, וכך הוא מהווה יום חידוש השראת השכינה במקדש. חידוש השראת השכינה נעשה בעיקרו על ידי ההזאות בין בדי הארון, מקום השראת השכינה; הזאות אלו מכפרות על הטומאה שהייתה בעבר ומקדשת אותו מכאן ולהבא</w:t>
      </w:r>
      <w:r>
        <w:rPr>
          <w:rStyle w:val="a7"/>
          <w:sz w:val="24"/>
          <w:szCs w:val="24"/>
          <w:rtl/>
        </w:rPr>
        <w:footnoteReference w:id="124"/>
      </w:r>
      <w:r>
        <w:rPr>
          <w:rFonts w:hint="cs"/>
          <w:sz w:val="24"/>
          <w:szCs w:val="24"/>
          <w:rtl/>
        </w:rPr>
        <w:t xml:space="preserve">. אולם, לא די בכך </w:t>
      </w:r>
      <w:r>
        <w:rPr>
          <w:sz w:val="24"/>
          <w:szCs w:val="24"/>
          <w:rtl/>
        </w:rPr>
        <w:t>–</w:t>
      </w:r>
      <w:r>
        <w:rPr>
          <w:rFonts w:hint="cs"/>
          <w:sz w:val="24"/>
          <w:szCs w:val="24"/>
          <w:rtl/>
        </w:rPr>
        <w:t xml:space="preserve"> השראת השכינה אינה אמורה להצטמצם בין בדי הארון בלבד, אלא עליה להתפשט ולקדש את הבית כולו. מטעם זה מצווה התורה לשוב ולהזות בהיכל כדוגמת ההזאות הנעשות לפני ולפנים; כך נוצר קשר מחודש בין ההיכל לקודש הקדשים, והשכינה שורה בבית כולו</w:t>
      </w:r>
      <w:r>
        <w:rPr>
          <w:rStyle w:val="a7"/>
          <w:sz w:val="24"/>
          <w:szCs w:val="24"/>
          <w:rtl/>
        </w:rPr>
        <w:footnoteReference w:id="125"/>
      </w:r>
      <w:r>
        <w:rPr>
          <w:rFonts w:hint="cs"/>
          <w:sz w:val="24"/>
          <w:szCs w:val="24"/>
          <w:rtl/>
        </w:rPr>
        <w:t xml:space="preserve">. </w:t>
      </w:r>
    </w:p>
    <w:p w:rsidR="00C26E1A" w:rsidRPr="007D2F0A" w:rsidRDefault="00C26E1A" w:rsidP="00C26E1A">
      <w:pPr>
        <w:spacing w:after="0" w:line="276" w:lineRule="exact"/>
        <w:ind w:firstLine="227"/>
        <w:jc w:val="right"/>
        <w:rPr>
          <w:sz w:val="24"/>
          <w:szCs w:val="24"/>
        </w:rPr>
      </w:pPr>
      <w:r w:rsidRPr="007D2F0A">
        <w:rPr>
          <w:rFonts w:hint="cs"/>
          <w:sz w:val="24"/>
          <w:szCs w:val="24"/>
          <w:u w:val="single"/>
          <w:rtl/>
        </w:rPr>
        <w:t>להערות ולתגובות</w:t>
      </w:r>
      <w:r w:rsidRPr="007D2F0A">
        <w:rPr>
          <w:rFonts w:hint="cs"/>
          <w:sz w:val="24"/>
          <w:szCs w:val="24"/>
          <w:rtl/>
        </w:rPr>
        <w:t>: שלמה ליפשיץ</w:t>
      </w:r>
    </w:p>
    <w:p w:rsidR="00C26E1A" w:rsidRDefault="00C26E1A" w:rsidP="00C26E1A">
      <w:pPr>
        <w:spacing w:after="0" w:line="276" w:lineRule="exact"/>
        <w:ind w:firstLine="227"/>
        <w:jc w:val="right"/>
        <w:rPr>
          <w:sz w:val="24"/>
          <w:szCs w:val="24"/>
        </w:rPr>
      </w:pPr>
      <w:hyperlink r:id="rId22" w:history="1">
        <w:r w:rsidRPr="007D2F0A">
          <w:rPr>
            <w:rStyle w:val="Hyperlink"/>
            <w:sz w:val="24"/>
            <w:szCs w:val="24"/>
          </w:rPr>
          <w:t>lshlomo26@gmail.com</w:t>
        </w:r>
      </w:hyperlink>
    </w:p>
    <w:p w:rsidR="00C26E1A" w:rsidRPr="00782FFD" w:rsidRDefault="00C26E1A" w:rsidP="00782FFD">
      <w:pPr>
        <w:spacing w:after="0" w:line="240" w:lineRule="auto"/>
        <w:rPr>
          <w:sz w:val="24"/>
          <w:szCs w:val="24"/>
        </w:rPr>
      </w:pPr>
      <w:r>
        <w:rPr>
          <w:sz w:val="24"/>
          <w:szCs w:val="24"/>
        </w:rPr>
        <w:br w:type="page"/>
      </w:r>
    </w:p>
    <w:p w:rsidR="00C26E1A" w:rsidRDefault="00C26E1A" w:rsidP="00C26E1A">
      <w:pPr>
        <w:keepNext/>
        <w:keepLines/>
        <w:spacing w:before="240" w:after="0"/>
        <w:jc w:val="center"/>
        <w:outlineLvl w:val="0"/>
        <w:rPr>
          <w:rFonts w:asciiTheme="majorHAnsi" w:eastAsiaTheme="majorEastAsia" w:hAnsiTheme="majorHAnsi"/>
          <w:bCs/>
          <w:sz w:val="36"/>
          <w:szCs w:val="36"/>
        </w:rPr>
      </w:pPr>
      <w:bookmarkStart w:id="93" w:name="_Toc76719184"/>
      <w:r>
        <w:rPr>
          <w:rFonts w:asciiTheme="majorHAnsi" w:eastAsiaTheme="majorEastAsia" w:hAnsiTheme="majorHAnsi"/>
          <w:bCs/>
          <w:sz w:val="40"/>
          <w:szCs w:val="40"/>
          <w:rtl/>
        </w:rPr>
        <w:lastRenderedPageBreak/>
        <w:t>יסודות יומא</w:t>
      </w:r>
      <w:bookmarkEnd w:id="93"/>
    </w:p>
    <w:p w:rsidR="00C26E1A" w:rsidRDefault="00C26E1A" w:rsidP="00C26E1A">
      <w:pPr>
        <w:keepNext/>
        <w:keepLines/>
        <w:spacing w:before="240" w:after="0"/>
        <w:jc w:val="center"/>
        <w:outlineLvl w:val="0"/>
        <w:rPr>
          <w:rFonts w:asciiTheme="majorHAnsi" w:eastAsiaTheme="majorEastAsia" w:hAnsiTheme="majorHAnsi"/>
          <w:b/>
          <w:sz w:val="32"/>
          <w:szCs w:val="32"/>
          <w:rtl/>
        </w:rPr>
      </w:pPr>
      <w:bookmarkStart w:id="94" w:name="_Toc76719185"/>
      <w:r>
        <w:rPr>
          <w:rFonts w:asciiTheme="majorHAnsi" w:eastAsiaTheme="majorEastAsia" w:hAnsiTheme="majorHAnsi"/>
          <w:b/>
          <w:sz w:val="32"/>
          <w:szCs w:val="32"/>
          <w:rtl/>
        </w:rPr>
        <w:t xml:space="preserve">שיעור </w:t>
      </w:r>
      <w:r>
        <w:rPr>
          <w:rFonts w:asciiTheme="majorHAnsi" w:eastAsiaTheme="majorEastAsia" w:hAnsiTheme="majorHAnsi" w:hint="cs"/>
          <w:b/>
          <w:sz w:val="32"/>
          <w:szCs w:val="32"/>
          <w:rtl/>
        </w:rPr>
        <w:t>שישה עשר</w:t>
      </w:r>
      <w:bookmarkEnd w:id="94"/>
    </w:p>
    <w:p w:rsidR="00C26E1A" w:rsidRDefault="00C26E1A" w:rsidP="00C26E1A">
      <w:pPr>
        <w:keepNext/>
        <w:keepLines/>
        <w:spacing w:before="240" w:after="0"/>
        <w:jc w:val="center"/>
        <w:outlineLvl w:val="0"/>
        <w:rPr>
          <w:rFonts w:asciiTheme="majorHAnsi" w:eastAsiaTheme="majorEastAsia" w:hAnsiTheme="majorHAnsi"/>
          <w:bCs/>
          <w:sz w:val="32"/>
          <w:szCs w:val="32"/>
          <w:rtl/>
        </w:rPr>
      </w:pPr>
      <w:bookmarkStart w:id="95" w:name="_Toc76719186"/>
      <w:r>
        <w:rPr>
          <w:rFonts w:asciiTheme="majorHAnsi" w:eastAsiaTheme="majorEastAsia" w:hAnsiTheme="majorHAnsi" w:hint="cs"/>
          <w:bCs/>
          <w:sz w:val="36"/>
          <w:szCs w:val="36"/>
          <w:rtl/>
        </w:rPr>
        <w:t>השעיר המשתלח כקרבן</w:t>
      </w:r>
      <w:bookmarkEnd w:id="95"/>
    </w:p>
    <w:p w:rsidR="00C26E1A" w:rsidRDefault="00C26E1A" w:rsidP="00C26E1A">
      <w:pPr>
        <w:keepNext/>
        <w:keepLines/>
        <w:spacing w:after="0"/>
        <w:jc w:val="center"/>
        <w:outlineLvl w:val="0"/>
        <w:rPr>
          <w:rFonts w:asciiTheme="majorHAnsi" w:eastAsiaTheme="majorEastAsia" w:hAnsiTheme="majorHAnsi"/>
          <w:bCs/>
          <w:sz w:val="32"/>
          <w:szCs w:val="32"/>
          <w:rtl/>
        </w:rPr>
      </w:pPr>
      <w:bookmarkStart w:id="96" w:name="_Toc76719187"/>
      <w:r>
        <w:rPr>
          <w:noProof/>
          <w:rtl/>
        </w:rPr>
        <mc:AlternateContent>
          <mc:Choice Requires="wps">
            <w:drawing>
              <wp:anchor distT="0" distB="0" distL="114300" distR="114300" simplePos="0" relativeHeight="251699200" behindDoc="1" locked="0" layoutInCell="1" allowOverlap="1" wp14:anchorId="63CF36E1" wp14:editId="1F794502">
                <wp:simplePos x="0" y="0"/>
                <wp:positionH relativeFrom="margin">
                  <wp:posOffset>-259080</wp:posOffset>
                </wp:positionH>
                <wp:positionV relativeFrom="paragraph">
                  <wp:posOffset>167005</wp:posOffset>
                </wp:positionV>
                <wp:extent cx="5765800" cy="7726680"/>
                <wp:effectExtent l="0" t="0" r="25400" b="26670"/>
                <wp:wrapNone/>
                <wp:docPr id="25" name="מלבן 25"/>
                <wp:cNvGraphicFramePr/>
                <a:graphic xmlns:a="http://schemas.openxmlformats.org/drawingml/2006/main">
                  <a:graphicData uri="http://schemas.microsoft.com/office/word/2010/wordprocessingShape">
                    <wps:wsp>
                      <wps:cNvSpPr/>
                      <wps:spPr>
                        <a:xfrm>
                          <a:off x="0" y="0"/>
                          <a:ext cx="5765800" cy="7726680"/>
                        </a:xfrm>
                        <a:prstGeom prst="rect">
                          <a:avLst/>
                        </a:prstGeom>
                        <a:solidFill>
                          <a:sysClr val="window" lastClr="FFFFFF"/>
                        </a:solidFill>
                        <a:ln w="19050" cap="flat" cmpd="sng" algn="ctr">
                          <a:solidFill>
                            <a:srgbClr val="4472C4"/>
                          </a:solidFill>
                          <a:prstDash val="solid"/>
                          <a:miter lim="800000"/>
                        </a:ln>
                        <a:effectLst/>
                      </wps:spPr>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3F452" id="מלבן 25" o:spid="_x0000_s1026" style="position:absolute;left:0;text-align:left;margin-left:-20.4pt;margin-top:13.15pt;width:454pt;height:608.4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GPiQIAAPsEAAAOAAAAZHJzL2Uyb0RvYy54bWysVNtuGjEQfa/Uf7D83iwgLgnKEiEiqkpR&#10;Gimp8my8XtaSb7UNC/2LvlftZ/E7PfYScmmfqvJgPJ7xzJzjM3t5tdOKbIUP0pqS9s96lAjDbSXN&#10;uqRfHpYfzikJkZmKKWtESfci0KvZ+3eXrZuKgW2sqoQnSGLCtHUlbWJ006IIvBGahTPrhIGztl6z&#10;CNOvi8qzFtm1Kga93rhora+ct1yEgNPrzklnOX9dCx4/13UQkaiSoreYV5/XVVqL2SWbrj1zjeTH&#10;Ntg/dKGZNCh6SnXNIiMbL/9IpSX3Ntg6nnGrC1vXkouMAWj6vTdo7hvmRMYCcoI70RT+X1p+u73z&#10;RFYlHYwoMUzjjQ4/Dz8O3w+/CI7AT+vCFGH37s4frYBtArurvU7/gEF2mdP9iVOxi4TjcDQZj857&#10;oJ7DN5kMxuPzzHrxfN35ED8Kq0nalNTj0TKXbHsTIkoi9CkkVQtWyWoplcrGPiyUJ1uG94UsKttS&#10;oliIOCzpMv8SBqR4dU0Z0kKuF71R6oxBeLViEVvtQEUwa0qYWkPRPPrcy6vbwa9Xp6rD4WSwGP6t&#10;SGr6moWm6y5nSGFsqmWE6JXUJQU1+B1vK5O8Isv2CD2R39Gdditb7fFc3nY6Do4vJYrcAPAd8xAu&#10;0GAY42cstbKAyJV0lDTWf3t7luKgI3goaTEAgP11w7wAf58MFHbRHw6RLmZjOJoMYPiXntVLj9no&#10;hcUb9DHujudtio/q6bT2Vj9iVuepKlzMcNTuCD4ai9gNJqadi/k8h2FKHIs35t7xlDzxk2h92D0y&#10;746CidDarX0aFjZ9o5suNt00dr6JtpZZVM98Qh7JwIRloRy/BmmEX9o56vmbNfsNAAD//wMAUEsD&#10;BBQABgAIAAAAIQC4uH9g4QAAAAsBAAAPAAAAZHJzL2Rvd25yZXYueG1sTI/BTsMwEETvSPyDtUjc&#10;WjtpFao0TkWREHAA0YJ6dmPjRNjrELtN+HuWExxX8zTzttpM3rGzGWIXUEI2F8AMNkF3aCW8v93P&#10;VsBiUqiVC2gkfJsIm/ryolKlDiPuzHmfLKMSjKWS0KbUl5zHpjVexXnoDVL2EQavEp2D5XpQI5V7&#10;x3MhCu5Vh7TQqt7ctab53J+8hKet/To82mxXePc6bvFBvDwHIeX11XS7BpbMlP5g+NUndajJ6RhO&#10;qCNzEmZLQepJQl4sgBGwKm5yYEci8+UiA15X/P8P9Q8AAAD//wMAUEsBAi0AFAAGAAgAAAAhALaD&#10;OJL+AAAA4QEAABMAAAAAAAAAAAAAAAAAAAAAAFtDb250ZW50X1R5cGVzXS54bWxQSwECLQAUAAYA&#10;CAAAACEAOP0h/9YAAACUAQAACwAAAAAAAAAAAAAAAAAvAQAAX3JlbHMvLnJlbHNQSwECLQAUAAYA&#10;CAAAACEAoakBj4kCAAD7BAAADgAAAAAAAAAAAAAAAAAuAgAAZHJzL2Uyb0RvYy54bWxQSwECLQAU&#10;AAYACAAAACEAuLh/YOEAAAALAQAADwAAAAAAAAAAAAAAAADjBAAAZHJzL2Rvd25yZXYueG1sUEsF&#10;BgAAAAAEAAQA8wAAAPEFAAAAAA==&#10;" fillcolor="window" strokecolor="#4472c4" strokeweight="1.5pt">
                <w10:wrap anchorx="margin"/>
              </v:rect>
            </w:pict>
          </mc:Fallback>
        </mc:AlternateContent>
      </w:r>
      <w:bookmarkEnd w:id="96"/>
    </w:p>
    <w:p w:rsidR="00C26E1A" w:rsidRPr="000A0091" w:rsidRDefault="00C26E1A" w:rsidP="00C26E1A">
      <w:pPr>
        <w:jc w:val="center"/>
        <w:rPr>
          <w:b/>
          <w:bCs/>
          <w:sz w:val="24"/>
          <w:szCs w:val="24"/>
          <w:rtl/>
        </w:rPr>
      </w:pPr>
      <w:r>
        <w:rPr>
          <w:b/>
          <w:bCs/>
          <w:sz w:val="24"/>
          <w:szCs w:val="24"/>
          <w:rtl/>
        </w:rPr>
        <w:t>מקורות</w:t>
      </w:r>
    </w:p>
    <w:p w:rsidR="00C26E1A" w:rsidRPr="00611414" w:rsidRDefault="00C26E1A" w:rsidP="00C26E1A">
      <w:pPr>
        <w:rPr>
          <w:sz w:val="24"/>
          <w:szCs w:val="24"/>
          <w:rtl/>
        </w:rPr>
      </w:pPr>
      <w:r w:rsidRPr="00611414">
        <w:rPr>
          <w:rFonts w:hint="cs"/>
          <w:sz w:val="24"/>
          <w:szCs w:val="24"/>
          <w:rtl/>
        </w:rPr>
        <w:t>א.</w:t>
      </w:r>
      <w:r>
        <w:rPr>
          <w:rFonts w:hint="cs"/>
          <w:sz w:val="24"/>
          <w:szCs w:val="24"/>
          <w:rtl/>
        </w:rPr>
        <w:t xml:space="preserve"> </w:t>
      </w:r>
      <w:r w:rsidRPr="00611414">
        <w:rPr>
          <w:rFonts w:hint="cs"/>
          <w:sz w:val="24"/>
          <w:szCs w:val="24"/>
          <w:rtl/>
        </w:rPr>
        <w:t>תמורה ו:-ז. "ת"ר כל אשר... לא לקי קמ"ל"</w:t>
      </w:r>
    </w:p>
    <w:p w:rsidR="00C26E1A" w:rsidRDefault="00C26E1A" w:rsidP="00C26E1A">
      <w:pPr>
        <w:rPr>
          <w:sz w:val="24"/>
          <w:szCs w:val="24"/>
          <w:rtl/>
        </w:rPr>
      </w:pPr>
      <w:r w:rsidRPr="00611414">
        <w:rPr>
          <w:rFonts w:hint="cs"/>
          <w:sz w:val="24"/>
          <w:szCs w:val="24"/>
          <w:rtl/>
        </w:rPr>
        <w:t>ב. סב: "ת"ר שני</w:t>
      </w:r>
      <w:r>
        <w:rPr>
          <w:rFonts w:hint="cs"/>
          <w:sz w:val="24"/>
          <w:szCs w:val="24"/>
          <w:rtl/>
        </w:rPr>
        <w:t>... לבו ביום"</w:t>
      </w:r>
      <w:r>
        <w:rPr>
          <w:sz w:val="24"/>
          <w:szCs w:val="24"/>
        </w:rPr>
        <w:t>;</w:t>
      </w:r>
      <w:r>
        <w:rPr>
          <w:rFonts w:hint="cs"/>
          <w:sz w:val="24"/>
          <w:szCs w:val="24"/>
          <w:rtl/>
        </w:rPr>
        <w:t xml:space="preserve"> סג.-: "אמר מר... זו היא שחיטתו"</w:t>
      </w:r>
      <w:r>
        <w:rPr>
          <w:sz w:val="24"/>
          <w:szCs w:val="24"/>
        </w:rPr>
        <w:t>;</w:t>
      </w:r>
      <w:r>
        <w:rPr>
          <w:rFonts w:hint="cs"/>
          <w:sz w:val="24"/>
          <w:szCs w:val="24"/>
          <w:rtl/>
        </w:rPr>
        <w:t xml:space="preserve"> רש"י סג: ד"ה והא</w:t>
      </w:r>
    </w:p>
    <w:p w:rsidR="00C26E1A" w:rsidRDefault="00C26E1A" w:rsidP="00C26E1A">
      <w:pPr>
        <w:rPr>
          <w:sz w:val="24"/>
          <w:szCs w:val="24"/>
          <w:rtl/>
        </w:rPr>
      </w:pPr>
      <w:r>
        <w:rPr>
          <w:rFonts w:hint="cs"/>
          <w:sz w:val="24"/>
          <w:szCs w:val="24"/>
          <w:rtl/>
        </w:rPr>
        <w:t>ג. חידושי הגרי"ז תמורה ו: ד"ה טעמא</w:t>
      </w:r>
      <w:r>
        <w:rPr>
          <w:sz w:val="24"/>
          <w:szCs w:val="24"/>
        </w:rPr>
        <w:t>;</w:t>
      </w:r>
      <w:r>
        <w:rPr>
          <w:rFonts w:hint="cs"/>
          <w:sz w:val="24"/>
          <w:szCs w:val="24"/>
          <w:rtl/>
        </w:rPr>
        <w:t xml:space="preserve"> דברות משה חולין סימן ט ענף ב</w:t>
      </w:r>
      <w:r>
        <w:rPr>
          <w:sz w:val="24"/>
          <w:szCs w:val="24"/>
        </w:rPr>
        <w:t>;</w:t>
      </w:r>
      <w:r>
        <w:rPr>
          <w:rFonts w:hint="cs"/>
          <w:sz w:val="24"/>
          <w:szCs w:val="24"/>
          <w:rtl/>
        </w:rPr>
        <w:t xml:space="preserve"> חולין יא.-: "רב אחא... אברים אברים"</w:t>
      </w:r>
    </w:p>
    <w:p w:rsidR="00C26E1A" w:rsidRDefault="00C26E1A" w:rsidP="00C26E1A">
      <w:pPr>
        <w:rPr>
          <w:sz w:val="24"/>
          <w:szCs w:val="24"/>
          <w:rtl/>
        </w:rPr>
      </w:pPr>
      <w:r>
        <w:rPr>
          <w:rFonts w:hint="cs"/>
          <w:sz w:val="24"/>
          <w:szCs w:val="24"/>
          <w:rtl/>
        </w:rPr>
        <w:t>ד. ספרא אחרי מות פ"ד ה"ח, המיוחס לר"ש שם ד"ה עתי</w:t>
      </w:r>
      <w:r>
        <w:rPr>
          <w:sz w:val="24"/>
          <w:szCs w:val="24"/>
        </w:rPr>
        <w:t>;</w:t>
      </w:r>
      <w:r>
        <w:rPr>
          <w:rFonts w:hint="cs"/>
          <w:sz w:val="24"/>
          <w:szCs w:val="24"/>
          <w:rtl/>
        </w:rPr>
        <w:t xml:space="preserve"> תוספתא פ"ד הט"ז, רשב"א שבועות יג: ד"ה חומר</w:t>
      </w:r>
    </w:p>
    <w:p w:rsidR="00C26E1A" w:rsidRDefault="00C26E1A" w:rsidP="00C26E1A">
      <w:pPr>
        <w:rPr>
          <w:sz w:val="24"/>
          <w:szCs w:val="24"/>
          <w:rtl/>
        </w:rPr>
      </w:pPr>
      <w:r>
        <w:rPr>
          <w:rFonts w:hint="cs"/>
          <w:sz w:val="24"/>
          <w:szCs w:val="24"/>
          <w:rtl/>
        </w:rPr>
        <w:t>ה. רמב"ם מעשה הקרבנות פי"ח הי"א</w:t>
      </w:r>
      <w:r>
        <w:rPr>
          <w:sz w:val="24"/>
          <w:szCs w:val="24"/>
        </w:rPr>
        <w:t>;</w:t>
      </w:r>
      <w:r>
        <w:rPr>
          <w:rFonts w:hint="cs"/>
          <w:sz w:val="24"/>
          <w:szCs w:val="24"/>
          <w:rtl/>
        </w:rPr>
        <w:t xml:space="preserve"> מ.-: "דתניא... הכתוב מדבר"</w:t>
      </w:r>
      <w:r>
        <w:rPr>
          <w:sz w:val="24"/>
          <w:szCs w:val="24"/>
        </w:rPr>
        <w:t>;</w:t>
      </w:r>
      <w:r>
        <w:rPr>
          <w:rFonts w:hint="cs"/>
          <w:sz w:val="24"/>
          <w:szCs w:val="24"/>
          <w:rtl/>
        </w:rPr>
        <w:t xml:space="preserve"> חידושי הגרי"ז זבחים קיג: ד"ה ויש, משנת יעבץ או"ח סימן נו ענף ד ד"ה ואשר</w:t>
      </w:r>
    </w:p>
    <w:p w:rsidR="00C26E1A" w:rsidRPr="004779ED" w:rsidRDefault="00C26E1A" w:rsidP="00C26E1A">
      <w:pPr>
        <w:rPr>
          <w:sz w:val="24"/>
          <w:szCs w:val="24"/>
          <w:rtl/>
        </w:rPr>
      </w:pPr>
    </w:p>
    <w:p w:rsidR="00C26E1A" w:rsidRPr="007E65B0" w:rsidRDefault="00C26E1A" w:rsidP="00C26E1A">
      <w:pPr>
        <w:spacing w:line="276" w:lineRule="auto"/>
        <w:rPr>
          <w:rFonts w:ascii="FrankRuehl" w:hAnsi="FrankRuehl" w:cs="FrankRuehl"/>
          <w:b/>
          <w:bCs/>
          <w:sz w:val="24"/>
          <w:szCs w:val="24"/>
          <w:rtl/>
        </w:rPr>
      </w:pPr>
      <w:r w:rsidRPr="007E65B0">
        <w:rPr>
          <w:rFonts w:ascii="FrankRuehl" w:hAnsi="FrankRuehl" w:cs="FrankRuehl"/>
          <w:b/>
          <w:bCs/>
          <w:sz w:val="24"/>
          <w:szCs w:val="24"/>
          <w:rtl/>
        </w:rPr>
        <w:t>חידושי הגרי"ז תמורה ו</w:t>
      </w:r>
      <w:r>
        <w:rPr>
          <w:rFonts w:ascii="FrankRuehl" w:hAnsi="FrankRuehl" w:cs="FrankRuehl" w:hint="cs"/>
          <w:b/>
          <w:bCs/>
          <w:sz w:val="24"/>
          <w:szCs w:val="24"/>
          <w:rtl/>
        </w:rPr>
        <w:t>: ד"ה טעמא</w:t>
      </w:r>
    </w:p>
    <w:p w:rsidR="00C26E1A" w:rsidRDefault="00C26E1A" w:rsidP="00C26E1A">
      <w:pPr>
        <w:spacing w:line="276" w:lineRule="auto"/>
        <w:rPr>
          <w:rFonts w:ascii="FrankRuehl" w:hAnsi="FrankRuehl" w:cs="FrankRuehl"/>
          <w:sz w:val="24"/>
          <w:szCs w:val="24"/>
          <w:rtl/>
        </w:rPr>
      </w:pPr>
      <w:r w:rsidRPr="007E65B0">
        <w:rPr>
          <w:rFonts w:ascii="FrankRuehl" w:hAnsi="FrankRuehl" w:cs="FrankRuehl"/>
          <w:sz w:val="24"/>
          <w:szCs w:val="24"/>
          <w:rtl/>
        </w:rPr>
        <w:t>שם, בגמ' טעמא דכתב קרא לה' הוא דלא מייתי שעיר המשתלח הא לא רבי קרא לה' הו"א שעיר המשתלח בע"מ שפיר דמי מכדי אין הגורל קובע אלא בדבר הראוי</w:t>
      </w:r>
      <w:r>
        <w:rPr>
          <w:rFonts w:ascii="FrankRuehl" w:hAnsi="FrankRuehl" w:cs="FrankRuehl" w:hint="cs"/>
          <w:sz w:val="24"/>
          <w:szCs w:val="24"/>
          <w:rtl/>
        </w:rPr>
        <w:t>.</w:t>
      </w:r>
    </w:p>
    <w:p w:rsidR="00782FFD" w:rsidRDefault="00782FFD" w:rsidP="00C26E1A">
      <w:pPr>
        <w:spacing w:line="276" w:lineRule="auto"/>
        <w:rPr>
          <w:rFonts w:ascii="FrankRuehl" w:hAnsi="FrankRuehl" w:cs="FrankRuehl"/>
          <w:sz w:val="24"/>
          <w:szCs w:val="24"/>
          <w:highlight w:val="green"/>
          <w:rtl/>
        </w:rPr>
      </w:pPr>
    </w:p>
    <w:p w:rsidR="00C26E1A" w:rsidRPr="007E65B0" w:rsidRDefault="00C26E1A" w:rsidP="00C26E1A">
      <w:pPr>
        <w:spacing w:line="276" w:lineRule="auto"/>
        <w:rPr>
          <w:rFonts w:ascii="FrankRuehl" w:hAnsi="FrankRuehl" w:cs="FrankRuehl"/>
          <w:b/>
          <w:bCs/>
          <w:sz w:val="24"/>
          <w:szCs w:val="24"/>
          <w:rtl/>
        </w:rPr>
      </w:pPr>
      <w:r w:rsidRPr="007E65B0">
        <w:rPr>
          <w:rFonts w:ascii="FrankRuehl" w:hAnsi="FrankRuehl" w:cs="FrankRuehl"/>
          <w:b/>
          <w:bCs/>
          <w:sz w:val="24"/>
          <w:szCs w:val="24"/>
          <w:rtl/>
        </w:rPr>
        <w:t xml:space="preserve">ספרא אחרי מות </w:t>
      </w:r>
      <w:r w:rsidRPr="007E65B0">
        <w:rPr>
          <w:rFonts w:ascii="FrankRuehl" w:hAnsi="FrankRuehl" w:cs="FrankRuehl" w:hint="cs"/>
          <w:b/>
          <w:bCs/>
          <w:sz w:val="24"/>
          <w:szCs w:val="24"/>
          <w:rtl/>
        </w:rPr>
        <w:t>פ"ד ה"ח</w:t>
      </w:r>
    </w:p>
    <w:p w:rsidR="00C26E1A" w:rsidRDefault="00C26E1A" w:rsidP="00C26E1A">
      <w:pPr>
        <w:spacing w:line="276" w:lineRule="auto"/>
        <w:rPr>
          <w:rFonts w:ascii="FrankRuehl" w:hAnsi="FrankRuehl" w:cs="FrankRuehl"/>
          <w:sz w:val="24"/>
          <w:szCs w:val="24"/>
          <w:highlight w:val="green"/>
          <w:rtl/>
        </w:rPr>
      </w:pPr>
      <w:r w:rsidRPr="007E65B0">
        <w:rPr>
          <w:rFonts w:ascii="FrankRuehl" w:hAnsi="FrankRuehl" w:cs="FrankRuehl"/>
          <w:sz w:val="24"/>
          <w:szCs w:val="24"/>
          <w:rtl/>
        </w:rPr>
        <w:t>מכאן אמרו חייבי חטאות ואשמות וודים שעבר עליהם יום הכיפורים חייבים להביא לאחר יום הכיפורים, וחייבי אשמות תלויים פטורים ושלח ביד איש עתי להכשיר את הזר, עתי שיהא מזומן, עתי אף בשבת עתי אף בטומאה.</w:t>
      </w:r>
    </w:p>
    <w:p w:rsidR="00782FFD" w:rsidRDefault="00782FFD" w:rsidP="00C26E1A">
      <w:pPr>
        <w:spacing w:line="276" w:lineRule="auto"/>
        <w:rPr>
          <w:rFonts w:ascii="FrankRuehl" w:hAnsi="FrankRuehl" w:cs="FrankRuehl"/>
          <w:b/>
          <w:bCs/>
          <w:sz w:val="24"/>
          <w:szCs w:val="24"/>
          <w:rtl/>
        </w:rPr>
      </w:pPr>
    </w:p>
    <w:p w:rsidR="00C26E1A" w:rsidRPr="007E65B0"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המיוחס לר"ש שם ד"ה עתי</w:t>
      </w:r>
    </w:p>
    <w:p w:rsidR="00C26E1A" w:rsidRDefault="00C26E1A" w:rsidP="00C26E1A">
      <w:pPr>
        <w:spacing w:line="276" w:lineRule="auto"/>
        <w:rPr>
          <w:rFonts w:ascii="FrankRuehl" w:hAnsi="FrankRuehl" w:cs="FrankRuehl"/>
          <w:sz w:val="24"/>
          <w:szCs w:val="24"/>
          <w:rtl/>
        </w:rPr>
      </w:pPr>
      <w:r w:rsidRPr="007E65B0">
        <w:rPr>
          <w:rFonts w:ascii="FrankRuehl" w:hAnsi="FrankRuehl" w:cs="FrankRuehl" w:hint="cs"/>
          <w:sz w:val="24"/>
          <w:szCs w:val="24"/>
          <w:rtl/>
        </w:rPr>
        <w:t>דהוה אמינא דשלוח השעיר אינה בעבודת שאר קרבנות דדוחין שבת, שאפילו רבי שמעון דמחמיר בשעיר המשתלח, דאמר יעמד חי עד שעת וידוי דוידוי מעכב אבל שלוח לכולי עלמא לא מעכב, לכך צריך לרבות ששילוחו דוחה שבת... ומיהו מביאין מירושלמי דודאי מעכב.. ויש לומר, טעמא דצריך שילוחו ריבוי משום דלאו קדשי מזבח הוא.</w:t>
      </w:r>
    </w:p>
    <w:p w:rsidR="00782FFD" w:rsidRDefault="00782FFD" w:rsidP="00C26E1A">
      <w:pPr>
        <w:spacing w:line="276" w:lineRule="auto"/>
        <w:rPr>
          <w:rFonts w:ascii="FrankRuehl" w:hAnsi="FrankRuehl" w:cs="FrankRuehl"/>
          <w:b/>
          <w:bCs/>
          <w:sz w:val="24"/>
          <w:szCs w:val="24"/>
          <w:rtl/>
        </w:rPr>
      </w:pPr>
    </w:p>
    <w:p w:rsidR="00C26E1A" w:rsidRPr="00C34861" w:rsidRDefault="00C26E1A" w:rsidP="00C26E1A">
      <w:pPr>
        <w:spacing w:line="276" w:lineRule="auto"/>
        <w:rPr>
          <w:rFonts w:ascii="FrankRuehl" w:hAnsi="FrankRuehl" w:cs="FrankRuehl"/>
          <w:b/>
          <w:bCs/>
          <w:sz w:val="24"/>
          <w:szCs w:val="24"/>
          <w:rtl/>
        </w:rPr>
      </w:pPr>
      <w:r w:rsidRPr="00C34861">
        <w:rPr>
          <w:rFonts w:ascii="FrankRuehl" w:hAnsi="FrankRuehl" w:cs="FrankRuehl"/>
          <w:b/>
          <w:bCs/>
          <w:sz w:val="24"/>
          <w:szCs w:val="24"/>
          <w:rtl/>
        </w:rPr>
        <w:t xml:space="preserve">תוספתא </w:t>
      </w:r>
      <w:r w:rsidRPr="00C34861">
        <w:rPr>
          <w:rFonts w:ascii="FrankRuehl" w:hAnsi="FrankRuehl" w:cs="FrankRuehl" w:hint="cs"/>
          <w:b/>
          <w:bCs/>
          <w:sz w:val="24"/>
          <w:szCs w:val="24"/>
          <w:rtl/>
        </w:rPr>
        <w:t>יומא פ"ד הט"ז</w:t>
      </w:r>
    </w:p>
    <w:p w:rsidR="00C26E1A" w:rsidRDefault="00C26E1A" w:rsidP="00C26E1A">
      <w:pPr>
        <w:spacing w:line="276" w:lineRule="auto"/>
        <w:rPr>
          <w:rFonts w:ascii="FrankRuehl" w:hAnsi="FrankRuehl" w:cs="FrankRuehl"/>
          <w:sz w:val="24"/>
          <w:szCs w:val="24"/>
          <w:rtl/>
        </w:rPr>
      </w:pPr>
      <w:r w:rsidRPr="00C34861">
        <w:rPr>
          <w:rFonts w:ascii="FrankRuehl" w:hAnsi="FrankRuehl" w:cs="FrankRuehl"/>
          <w:sz w:val="24"/>
          <w:szCs w:val="24"/>
          <w:rtl/>
        </w:rPr>
        <w:t>ר' לעזר בי ר' שמעון אומ' חומר בשעיר שאין ביום הכפורים וביום הכפורים שאין בשעיר שיום הכפורים מכפר בלא שעיר ושעיר אין מכפר אלא עם יום הכפורים</w:t>
      </w:r>
      <w:r>
        <w:rPr>
          <w:rFonts w:ascii="FrankRuehl" w:hAnsi="FrankRuehl" w:cs="FrankRuehl" w:hint="cs"/>
          <w:sz w:val="24"/>
          <w:szCs w:val="24"/>
          <w:rtl/>
        </w:rPr>
        <w:t>.</w:t>
      </w:r>
    </w:p>
    <w:p w:rsidR="00782FFD" w:rsidRDefault="00782FFD" w:rsidP="00C26E1A">
      <w:pPr>
        <w:spacing w:line="276" w:lineRule="auto"/>
        <w:rPr>
          <w:rFonts w:ascii="FrankRuehl" w:hAnsi="FrankRuehl" w:cs="FrankRuehl"/>
          <w:b/>
          <w:bCs/>
          <w:sz w:val="24"/>
          <w:szCs w:val="24"/>
          <w:rtl/>
        </w:rPr>
      </w:pPr>
    </w:p>
    <w:p w:rsidR="00C26E1A" w:rsidRPr="00C34861" w:rsidRDefault="00C26E1A" w:rsidP="00C26E1A">
      <w:pPr>
        <w:spacing w:line="276" w:lineRule="auto"/>
        <w:rPr>
          <w:rFonts w:ascii="FrankRuehl" w:hAnsi="FrankRuehl" w:cs="FrankRuehl"/>
          <w:b/>
          <w:bCs/>
          <w:sz w:val="24"/>
          <w:szCs w:val="24"/>
          <w:rtl/>
        </w:rPr>
      </w:pPr>
      <w:r w:rsidRPr="00C34861">
        <w:rPr>
          <w:rFonts w:ascii="FrankRuehl" w:hAnsi="FrankRuehl" w:cs="FrankRuehl" w:hint="cs"/>
          <w:b/>
          <w:bCs/>
          <w:sz w:val="24"/>
          <w:szCs w:val="24"/>
          <w:rtl/>
        </w:rPr>
        <w:t>רשב"א שבועות יג: ד"ה חומר</w:t>
      </w:r>
    </w:p>
    <w:p w:rsidR="00C26E1A" w:rsidRPr="007E65B0" w:rsidRDefault="00C26E1A" w:rsidP="00C26E1A">
      <w:pPr>
        <w:spacing w:line="276" w:lineRule="auto"/>
        <w:rPr>
          <w:rFonts w:ascii="FrankRuehl" w:hAnsi="FrankRuehl" w:cs="FrankRuehl"/>
          <w:sz w:val="24"/>
          <w:szCs w:val="24"/>
          <w:rtl/>
        </w:rPr>
      </w:pPr>
      <w:r w:rsidRPr="00C34861">
        <w:rPr>
          <w:rFonts w:ascii="FrankRuehl" w:hAnsi="FrankRuehl" w:cs="FrankRuehl"/>
          <w:sz w:val="24"/>
          <w:szCs w:val="24"/>
          <w:rtl/>
        </w:rPr>
        <w:t xml:space="preserve">חומר בשעיר שהשעיר מכפר מיד ויוה"כ אינו מכפר עד שתחשך וחומר ביוה"כ מבשעיר שיוה"כ מכפר בלא קרבן משא"כ בשעיר שאינו מכפר בלא קרבן, ונ"ל דה"פ דיוה"כ בלא שעיר המשתלח מכפר משא"כ בשעיר שאינו </w:t>
      </w:r>
      <w:r w:rsidR="00782FFD">
        <w:rPr>
          <w:noProof/>
          <w:rtl/>
        </w:rPr>
        <w:lastRenderedPageBreak/>
        <mc:AlternateContent>
          <mc:Choice Requires="wps">
            <w:drawing>
              <wp:anchor distT="0" distB="0" distL="114300" distR="114300" simplePos="0" relativeHeight="251700224" behindDoc="1" locked="0" layoutInCell="1" allowOverlap="1" wp14:anchorId="3BE419AF" wp14:editId="38BA1BFA">
                <wp:simplePos x="0" y="0"/>
                <wp:positionH relativeFrom="margin">
                  <wp:align>center</wp:align>
                </wp:positionH>
                <wp:positionV relativeFrom="paragraph">
                  <wp:posOffset>-167640</wp:posOffset>
                </wp:positionV>
                <wp:extent cx="5765800" cy="3764280"/>
                <wp:effectExtent l="0" t="0" r="25400" b="26670"/>
                <wp:wrapNone/>
                <wp:docPr id="26" name="מלבן 26"/>
                <wp:cNvGraphicFramePr/>
                <a:graphic xmlns:a="http://schemas.openxmlformats.org/drawingml/2006/main">
                  <a:graphicData uri="http://schemas.microsoft.com/office/word/2010/wordprocessingShape">
                    <wps:wsp>
                      <wps:cNvSpPr/>
                      <wps:spPr>
                        <a:xfrm>
                          <a:off x="0" y="0"/>
                          <a:ext cx="5765800" cy="3764280"/>
                        </a:xfrm>
                        <a:prstGeom prst="rect">
                          <a:avLst/>
                        </a:prstGeom>
                        <a:solidFill>
                          <a:sysClr val="window" lastClr="FFFFFF"/>
                        </a:solidFill>
                        <a:ln w="19050" cap="flat" cmpd="sng" algn="ctr">
                          <a:solidFill>
                            <a:srgbClr val="4472C4"/>
                          </a:solidFill>
                          <a:prstDash val="solid"/>
                          <a:miter lim="800000"/>
                        </a:ln>
                        <a:effectLst/>
                      </wps:spPr>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44A47" id="מלבן 26" o:spid="_x0000_s1026" style="position:absolute;left:0;text-align:left;margin-left:0;margin-top:-13.2pt;width:454pt;height:296.4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RqiQIAAPsEAAAOAAAAZHJzL2Uyb0RvYy54bWysVNtuGjEQfa/Uf7D83ixQLgnKEiEiqkpR&#10;gpRUeTZeL1jyrbZhoX/R96r9LH6nx2ZDLu1TVR6MxzOemXN8Zi+vdlqRrfBBWlPS7lmHEmG4raRZ&#10;lfTLw/zDOSUhMlMxZY0o6V4EejV5/+6ycWPRs2urKuEJkpgwblxJ1zG6cVEEvhaahTPrhIGztl6z&#10;CNOvisqzBtm1KnqdzrBorK+ct1yEgNPro5NOcv66Fjze1XUQkaiSoreYV5/XZVqLySUbrzxza8nb&#10;Ntg/dKGZNCh6SnXNIiMbL/9IpSX3Ntg6nnGrC1vXkouMAWi6nTdo7tfMiYwF5AR3oin8v7T8drvw&#10;RFYl7Q0pMUzjjQ4/Dz8O3w+/CI7AT+PCGGH3buFbK2CbwO5qr9M/YJBd5nR/4lTsIuE4HIyGg/MO&#10;qOfwfRwN+73zzHrxfN35ED8Jq0nalNTj0TKXbHsTIkoi9CkkVQtWyWoulcrGPsyUJ1uG94UsKttQ&#10;oliIOCzpPP8SBqR4dU0Z0kCuF51B6oxBeLViEVvtQEUwK0qYWkHRPPrcy6vbwa+Wp6r9/qg36/+t&#10;SGr6moX1sbucIYWxsZYRoldSlxTU4NfeViZ5RZZtCz2Rf6Q77Za22uO5vD3qODg+lyhyA8AL5iFc&#10;oMEwxjsstbKAyJV0lKyt//b2LMVBR/BQ0mAAAPvrhnkB/j4bKOyi2+8jXcxGfzDqwfAvPcuXHrPR&#10;M4s36GLcHc/bFB/V02ntrX7ErE5TVbiY4ah9JLg1ZvE4mJh2LqbTHIYpcSzemHvHU/LET6L1YffI&#10;vGsFE6G1W/s0LGz8RjfH2HTT2Okm2lpmUT3zCXkkAxOWhdJ+DdIIv7Rz1PM3a/IbAAD//wMAUEsD&#10;BBQABgAIAAAAIQBEC6j83QAAAAgBAAAPAAAAZHJzL2Rvd25yZXYueG1sTI/BTsMwEETvSPyDtUjc&#10;WrsVRCXEqSgSAg4gWhBnN16cCHsdYrcJf89yguPOjGbfVOspeHHEIXWRNCzmCgRSE21HTsPb691s&#10;BSJlQ9b4SKjhGxOs69OTypQ2jrTF4y47wSWUSqOhzbkvpUxNi8GkeeyR2PuIQzCZz8FJO5iRy4OX&#10;S6UKGUxH/KE1Pd622HzuDkHD48Z9vT+4xbYI/mXc0L16fopK6/Oz6eYaRMYp/4XhF5/RoWamfTyQ&#10;TcJr4CFZw2xZXIBg+0qtWNlruCxYkXUl/w+ofwAAAP//AwBQSwECLQAUAAYACAAAACEAtoM4kv4A&#10;AADhAQAAEwAAAAAAAAAAAAAAAAAAAAAAW0NvbnRlbnRfVHlwZXNdLnhtbFBLAQItABQABgAIAAAA&#10;IQA4/SH/1gAAAJQBAAALAAAAAAAAAAAAAAAAAC8BAABfcmVscy8ucmVsc1BLAQItABQABgAIAAAA&#10;IQBZueRqiQIAAPsEAAAOAAAAAAAAAAAAAAAAAC4CAABkcnMvZTJvRG9jLnhtbFBLAQItABQABgAI&#10;AAAAIQBEC6j83QAAAAgBAAAPAAAAAAAAAAAAAAAAAOMEAABkcnMvZG93bnJldi54bWxQSwUGAAAA&#10;AAQABADzAAAA7QUAAAAA&#10;" fillcolor="window" strokecolor="#4472c4" strokeweight="1.5pt">
                <w10:wrap anchorx="margin"/>
              </v:rect>
            </w:pict>
          </mc:Fallback>
        </mc:AlternateContent>
      </w:r>
      <w:r w:rsidRPr="00C34861">
        <w:rPr>
          <w:rFonts w:ascii="FrankRuehl" w:hAnsi="FrankRuehl" w:cs="FrankRuehl"/>
          <w:sz w:val="24"/>
          <w:szCs w:val="24"/>
          <w:rtl/>
        </w:rPr>
        <w:t>מכפר אף על פי שהגרילו עליו אא"כ נשתלח, ושילוחו קרי קרבן לפי ששניהם שוים הקרב בפנים והמשתלח ושבפנים קרבן לד' והשני משלח לעזאזל. וא"נ יש לי לפרש שיוה"כ מכפר בלא קרבן שעיר הנעשה בפנים משא"כ בשעיר שאינו מכפר אא"כ קדם של שם שנעשה בפנים, וזה נ"ל יותר מדקאמר שאין מכפר בלא קרבן ואילו לפי' הראשון לא ניחא שאין שילוחו קרוי קרבן.</w:t>
      </w:r>
    </w:p>
    <w:p w:rsidR="00782FFD" w:rsidRDefault="00782FFD" w:rsidP="00C26E1A">
      <w:pPr>
        <w:spacing w:line="276" w:lineRule="auto"/>
        <w:rPr>
          <w:rFonts w:ascii="FrankRuehl" w:hAnsi="FrankRuehl" w:cs="FrankRuehl"/>
          <w:b/>
          <w:bCs/>
          <w:sz w:val="24"/>
          <w:szCs w:val="24"/>
          <w:rtl/>
        </w:rPr>
      </w:pPr>
    </w:p>
    <w:p w:rsidR="00C26E1A" w:rsidRPr="003A0EFC" w:rsidRDefault="00C26E1A" w:rsidP="00C26E1A">
      <w:pPr>
        <w:spacing w:line="276" w:lineRule="auto"/>
        <w:rPr>
          <w:rFonts w:ascii="FrankRuehl" w:hAnsi="FrankRuehl" w:cs="FrankRuehl"/>
          <w:b/>
          <w:bCs/>
          <w:sz w:val="24"/>
          <w:szCs w:val="24"/>
          <w:rtl/>
        </w:rPr>
      </w:pPr>
      <w:r w:rsidRPr="003A0EFC">
        <w:rPr>
          <w:rFonts w:ascii="FrankRuehl" w:hAnsi="FrankRuehl" w:cs="FrankRuehl"/>
          <w:b/>
          <w:bCs/>
          <w:sz w:val="24"/>
          <w:szCs w:val="24"/>
          <w:rtl/>
        </w:rPr>
        <w:t>רמב"ם מעשה הקרבנות פי</w:t>
      </w:r>
      <w:r>
        <w:rPr>
          <w:rFonts w:ascii="FrankRuehl" w:hAnsi="FrankRuehl" w:cs="FrankRuehl" w:hint="cs"/>
          <w:b/>
          <w:bCs/>
          <w:sz w:val="24"/>
          <w:szCs w:val="24"/>
          <w:rtl/>
        </w:rPr>
        <w:t>"</w:t>
      </w:r>
      <w:r w:rsidRPr="003A0EFC">
        <w:rPr>
          <w:rFonts w:ascii="FrankRuehl" w:hAnsi="FrankRuehl" w:cs="FrankRuehl"/>
          <w:b/>
          <w:bCs/>
          <w:sz w:val="24"/>
          <w:szCs w:val="24"/>
          <w:rtl/>
        </w:rPr>
        <w:t>ח הי</w:t>
      </w:r>
      <w:r>
        <w:rPr>
          <w:rFonts w:ascii="FrankRuehl" w:hAnsi="FrankRuehl" w:cs="FrankRuehl" w:hint="cs"/>
          <w:b/>
          <w:bCs/>
          <w:sz w:val="24"/>
          <w:szCs w:val="24"/>
          <w:rtl/>
        </w:rPr>
        <w:t>"</w:t>
      </w:r>
      <w:r w:rsidRPr="003A0EFC">
        <w:rPr>
          <w:rFonts w:ascii="FrankRuehl" w:hAnsi="FrankRuehl" w:cs="FrankRuehl"/>
          <w:b/>
          <w:bCs/>
          <w:sz w:val="24"/>
          <w:szCs w:val="24"/>
          <w:rtl/>
        </w:rPr>
        <w:t>א</w:t>
      </w:r>
    </w:p>
    <w:p w:rsidR="00C26E1A" w:rsidRDefault="00C26E1A" w:rsidP="00C26E1A">
      <w:pPr>
        <w:spacing w:line="276" w:lineRule="auto"/>
        <w:rPr>
          <w:rFonts w:ascii="FrankRuehl" w:hAnsi="FrankRuehl" w:cs="FrankRuehl"/>
          <w:sz w:val="24"/>
          <w:szCs w:val="24"/>
          <w:highlight w:val="green"/>
          <w:rtl/>
        </w:rPr>
      </w:pPr>
      <w:r w:rsidRPr="003A0EFC">
        <w:rPr>
          <w:rFonts w:ascii="FrankRuehl" w:hAnsi="FrankRuehl" w:cs="FrankRuehl"/>
          <w:sz w:val="24"/>
          <w:szCs w:val="24"/>
          <w:rtl/>
        </w:rPr>
        <w:t>שני שעירי יום הכפורים ששחטם בחוץ, אם עד שלא התודה עליהם חייב כרת על שניהן הואיל וראויין לבוא לפני השם לוידוי, ואם אחר שהתודה פטור על המשתלח שהרי אינו ראוי לבוא לפני השם</w:t>
      </w:r>
      <w:r w:rsidRPr="003A0EFC">
        <w:rPr>
          <w:rFonts w:ascii="FrankRuehl" w:hAnsi="FrankRuehl" w:cs="FrankRuehl" w:hint="cs"/>
          <w:sz w:val="24"/>
          <w:szCs w:val="24"/>
          <w:rtl/>
        </w:rPr>
        <w:t>.</w:t>
      </w:r>
      <w:r w:rsidRPr="004779ED">
        <w:rPr>
          <w:noProof/>
          <w:rtl/>
        </w:rPr>
        <w:t xml:space="preserve"> </w:t>
      </w:r>
    </w:p>
    <w:p w:rsidR="00782FFD" w:rsidRDefault="00782FFD" w:rsidP="00C26E1A">
      <w:pPr>
        <w:spacing w:line="276" w:lineRule="auto"/>
        <w:rPr>
          <w:rFonts w:ascii="FrankRuehl" w:hAnsi="FrankRuehl" w:cs="FrankRuehl"/>
          <w:b/>
          <w:bCs/>
          <w:sz w:val="24"/>
          <w:szCs w:val="24"/>
          <w:rtl/>
        </w:rPr>
      </w:pPr>
    </w:p>
    <w:p w:rsidR="00C26E1A" w:rsidRPr="003A0EFC"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משנת יעבץ או"ח סימן נו ענף ד ד"ה ואשר</w:t>
      </w:r>
    </w:p>
    <w:p w:rsidR="00C26E1A" w:rsidRPr="003A0EFC" w:rsidRDefault="00C26E1A" w:rsidP="00C26E1A">
      <w:pPr>
        <w:spacing w:line="276" w:lineRule="auto"/>
        <w:rPr>
          <w:rFonts w:ascii="FrankRuehl" w:hAnsi="FrankRuehl" w:cs="FrankRuehl"/>
          <w:sz w:val="24"/>
          <w:szCs w:val="24"/>
          <w:rtl/>
        </w:rPr>
      </w:pPr>
      <w:r w:rsidRPr="003A0EFC">
        <w:rPr>
          <w:rFonts w:ascii="FrankRuehl" w:hAnsi="FrankRuehl" w:cs="FrankRuehl" w:hint="cs"/>
          <w:sz w:val="24"/>
          <w:szCs w:val="24"/>
          <w:rtl/>
        </w:rPr>
        <w:t>ואשר נראה</w:t>
      </w:r>
      <w:r w:rsidRPr="003A0EFC">
        <w:rPr>
          <w:rFonts w:ascii="FrankRuehl" w:hAnsi="FrankRuehl" w:cs="FrankRuehl"/>
          <w:sz w:val="24"/>
          <w:szCs w:val="24"/>
          <w:rtl/>
        </w:rPr>
        <w:t xml:space="preserve"> </w:t>
      </w:r>
      <w:r w:rsidRPr="003A0EFC">
        <w:rPr>
          <w:rFonts w:ascii="FrankRuehl" w:hAnsi="FrankRuehl" w:cs="FrankRuehl" w:hint="cs"/>
          <w:sz w:val="24"/>
          <w:szCs w:val="24"/>
          <w:rtl/>
        </w:rPr>
        <w:t>לומר,</w:t>
      </w:r>
      <w:r w:rsidRPr="003A0EFC">
        <w:rPr>
          <w:rFonts w:ascii="FrankRuehl" w:hAnsi="FrankRuehl" w:cs="FrankRuehl"/>
          <w:sz w:val="24"/>
          <w:szCs w:val="24"/>
          <w:rtl/>
        </w:rPr>
        <w:t xml:space="preserve"> </w:t>
      </w:r>
      <w:r w:rsidRPr="003A0EFC">
        <w:rPr>
          <w:rFonts w:ascii="FrankRuehl" w:hAnsi="FrankRuehl" w:cs="FrankRuehl" w:hint="cs"/>
          <w:sz w:val="24"/>
          <w:szCs w:val="24"/>
          <w:rtl/>
        </w:rPr>
        <w:t>דשני</w:t>
      </w:r>
      <w:r w:rsidRPr="003A0EFC">
        <w:rPr>
          <w:rFonts w:ascii="FrankRuehl" w:hAnsi="FrankRuehl" w:cs="FrankRuehl"/>
          <w:sz w:val="24"/>
          <w:szCs w:val="24"/>
          <w:rtl/>
        </w:rPr>
        <w:t xml:space="preserve"> </w:t>
      </w:r>
      <w:r w:rsidRPr="003A0EFC">
        <w:rPr>
          <w:rFonts w:ascii="FrankRuehl" w:hAnsi="FrankRuehl" w:cs="FrankRuehl" w:hint="cs"/>
          <w:sz w:val="24"/>
          <w:szCs w:val="24"/>
          <w:rtl/>
        </w:rPr>
        <w:t>דיני</w:t>
      </w:r>
      <w:r w:rsidRPr="003A0EFC">
        <w:rPr>
          <w:rFonts w:ascii="FrankRuehl" w:hAnsi="FrankRuehl" w:cs="FrankRuehl"/>
          <w:sz w:val="24"/>
          <w:szCs w:val="24"/>
          <w:rtl/>
        </w:rPr>
        <w:t xml:space="preserve"> </w:t>
      </w:r>
      <w:r w:rsidRPr="003A0EFC">
        <w:rPr>
          <w:rFonts w:ascii="FrankRuehl" w:hAnsi="FrankRuehl" w:cs="FrankRuehl" w:hint="cs"/>
          <w:sz w:val="24"/>
          <w:szCs w:val="24"/>
          <w:rtl/>
        </w:rPr>
        <w:t>כפרה</w:t>
      </w:r>
      <w:r w:rsidRPr="003A0EFC">
        <w:rPr>
          <w:rFonts w:ascii="FrankRuehl" w:hAnsi="FrankRuehl" w:cs="FrankRuehl"/>
          <w:sz w:val="24"/>
          <w:szCs w:val="24"/>
          <w:rtl/>
        </w:rPr>
        <w:t xml:space="preserve"> </w:t>
      </w:r>
      <w:r w:rsidRPr="003A0EFC">
        <w:rPr>
          <w:rFonts w:ascii="FrankRuehl" w:hAnsi="FrankRuehl" w:cs="FrankRuehl" w:hint="cs"/>
          <w:sz w:val="24"/>
          <w:szCs w:val="24"/>
          <w:rtl/>
        </w:rPr>
        <w:t>יש</w:t>
      </w:r>
      <w:r w:rsidRPr="003A0EFC">
        <w:rPr>
          <w:rFonts w:ascii="FrankRuehl" w:hAnsi="FrankRuehl" w:cs="FrankRuehl"/>
          <w:sz w:val="24"/>
          <w:szCs w:val="24"/>
          <w:rtl/>
        </w:rPr>
        <w:t xml:space="preserve"> </w:t>
      </w:r>
      <w:r w:rsidRPr="003A0EFC">
        <w:rPr>
          <w:rFonts w:ascii="FrankRuehl" w:hAnsi="FrankRuehl" w:cs="FrankRuehl" w:hint="cs"/>
          <w:sz w:val="24"/>
          <w:szCs w:val="24"/>
          <w:rtl/>
        </w:rPr>
        <w:t>בשעיר</w:t>
      </w:r>
      <w:r w:rsidRPr="003A0EFC">
        <w:rPr>
          <w:rFonts w:ascii="FrankRuehl" w:hAnsi="FrankRuehl" w:cs="FrankRuehl"/>
          <w:sz w:val="24"/>
          <w:szCs w:val="24"/>
          <w:rtl/>
        </w:rPr>
        <w:t xml:space="preserve"> </w:t>
      </w:r>
      <w:r w:rsidRPr="003A0EFC">
        <w:rPr>
          <w:rFonts w:ascii="FrankRuehl" w:hAnsi="FrankRuehl" w:cs="FrankRuehl" w:hint="cs"/>
          <w:sz w:val="24"/>
          <w:szCs w:val="24"/>
          <w:rtl/>
        </w:rPr>
        <w:t>המשתלח,</w:t>
      </w:r>
      <w:r w:rsidRPr="003A0EFC">
        <w:rPr>
          <w:rFonts w:ascii="FrankRuehl" w:hAnsi="FrankRuehl" w:cs="FrankRuehl"/>
          <w:sz w:val="24"/>
          <w:szCs w:val="24"/>
          <w:rtl/>
        </w:rPr>
        <w:t xml:space="preserve"> </w:t>
      </w:r>
      <w:r w:rsidRPr="003A0EFC">
        <w:rPr>
          <w:rFonts w:ascii="FrankRuehl" w:hAnsi="FrankRuehl" w:cs="FrankRuehl" w:hint="cs"/>
          <w:sz w:val="24"/>
          <w:szCs w:val="24"/>
          <w:rtl/>
        </w:rPr>
        <w:t>חדא</w:t>
      </w:r>
      <w:r w:rsidRPr="003A0EFC">
        <w:rPr>
          <w:rFonts w:ascii="FrankRuehl" w:hAnsi="FrankRuehl" w:cs="FrankRuehl"/>
          <w:sz w:val="24"/>
          <w:szCs w:val="24"/>
          <w:rtl/>
        </w:rPr>
        <w:t xml:space="preserve"> </w:t>
      </w:r>
      <w:r w:rsidRPr="003A0EFC">
        <w:rPr>
          <w:rFonts w:ascii="FrankRuehl" w:hAnsi="FrankRuehl" w:cs="FrankRuehl" w:hint="cs"/>
          <w:sz w:val="24"/>
          <w:szCs w:val="24"/>
          <w:rtl/>
        </w:rPr>
        <w:t>הא</w:t>
      </w:r>
      <w:r w:rsidRPr="003A0EFC">
        <w:rPr>
          <w:rFonts w:ascii="FrankRuehl" w:hAnsi="FrankRuehl" w:cs="FrankRuehl"/>
          <w:sz w:val="24"/>
          <w:szCs w:val="24"/>
          <w:rtl/>
        </w:rPr>
        <w:t xml:space="preserve"> </w:t>
      </w:r>
      <w:r w:rsidRPr="003A0EFC">
        <w:rPr>
          <w:rFonts w:ascii="FrankRuehl" w:hAnsi="FrankRuehl" w:cs="FrankRuehl" w:hint="cs"/>
          <w:sz w:val="24"/>
          <w:szCs w:val="24"/>
          <w:rtl/>
        </w:rPr>
        <w:t>דכתיב</w:t>
      </w:r>
      <w:r w:rsidRPr="003A0EFC">
        <w:rPr>
          <w:rFonts w:ascii="FrankRuehl" w:hAnsi="FrankRuehl" w:cs="FrankRuehl"/>
          <w:sz w:val="24"/>
          <w:szCs w:val="24"/>
          <w:rtl/>
        </w:rPr>
        <w:t xml:space="preserve"> </w:t>
      </w:r>
      <w:r w:rsidRPr="003A0EFC">
        <w:rPr>
          <w:rFonts w:ascii="FrankRuehl" w:hAnsi="FrankRuehl" w:cs="FrankRuehl" w:hint="cs"/>
          <w:sz w:val="24"/>
          <w:szCs w:val="24"/>
          <w:rtl/>
        </w:rPr>
        <w:t>'יעמד</w:t>
      </w:r>
      <w:r w:rsidRPr="003A0EFC">
        <w:rPr>
          <w:rFonts w:ascii="FrankRuehl" w:hAnsi="FrankRuehl" w:cs="FrankRuehl"/>
          <w:sz w:val="24"/>
          <w:szCs w:val="24"/>
          <w:rtl/>
        </w:rPr>
        <w:t xml:space="preserve"> </w:t>
      </w:r>
      <w:r w:rsidRPr="003A0EFC">
        <w:rPr>
          <w:rFonts w:ascii="FrankRuehl" w:hAnsi="FrankRuehl" w:cs="FrankRuehl" w:hint="cs"/>
          <w:sz w:val="24"/>
          <w:szCs w:val="24"/>
          <w:rtl/>
        </w:rPr>
        <w:t>חי</w:t>
      </w:r>
      <w:r w:rsidRPr="003A0EFC">
        <w:rPr>
          <w:rFonts w:ascii="FrankRuehl" w:hAnsi="FrankRuehl" w:cs="FrankRuehl"/>
          <w:sz w:val="24"/>
          <w:szCs w:val="24"/>
          <w:rtl/>
        </w:rPr>
        <w:t xml:space="preserve"> </w:t>
      </w:r>
      <w:r w:rsidRPr="003A0EFC">
        <w:rPr>
          <w:rFonts w:ascii="FrankRuehl" w:hAnsi="FrankRuehl" w:cs="FrankRuehl" w:hint="cs"/>
          <w:sz w:val="24"/>
          <w:szCs w:val="24"/>
          <w:rtl/>
        </w:rPr>
        <w:t>לכפר</w:t>
      </w:r>
      <w:r w:rsidRPr="003A0EFC">
        <w:rPr>
          <w:rFonts w:ascii="FrankRuehl" w:hAnsi="FrankRuehl" w:cs="FrankRuehl"/>
          <w:sz w:val="24"/>
          <w:szCs w:val="24"/>
          <w:rtl/>
        </w:rPr>
        <w:t xml:space="preserve"> </w:t>
      </w:r>
      <w:r w:rsidRPr="003A0EFC">
        <w:rPr>
          <w:rFonts w:ascii="FrankRuehl" w:hAnsi="FrankRuehl" w:cs="FrankRuehl" w:hint="cs"/>
          <w:sz w:val="24"/>
          <w:szCs w:val="24"/>
          <w:rtl/>
        </w:rPr>
        <w:t>עליו',</w:t>
      </w:r>
      <w:r w:rsidRPr="003A0EFC">
        <w:rPr>
          <w:rFonts w:ascii="FrankRuehl" w:hAnsi="FrankRuehl" w:cs="FrankRuehl"/>
          <w:sz w:val="24"/>
          <w:szCs w:val="24"/>
          <w:rtl/>
        </w:rPr>
        <w:t xml:space="preserve"> </w:t>
      </w:r>
      <w:r w:rsidRPr="003A0EFC">
        <w:rPr>
          <w:rFonts w:ascii="FrankRuehl" w:hAnsi="FrankRuehl" w:cs="FrankRuehl" w:hint="cs"/>
          <w:sz w:val="24"/>
          <w:szCs w:val="24"/>
          <w:rtl/>
        </w:rPr>
        <w:t>ובזה</w:t>
      </w:r>
      <w:r w:rsidRPr="003A0EFC">
        <w:rPr>
          <w:rFonts w:ascii="FrankRuehl" w:hAnsi="FrankRuehl" w:cs="FrankRuehl"/>
          <w:sz w:val="24"/>
          <w:szCs w:val="24"/>
          <w:rtl/>
        </w:rPr>
        <w:t xml:space="preserve"> </w:t>
      </w:r>
      <w:r w:rsidRPr="003A0EFC">
        <w:rPr>
          <w:rFonts w:ascii="FrankRuehl" w:hAnsi="FrankRuehl" w:cs="FrankRuehl" w:hint="cs"/>
          <w:sz w:val="24"/>
          <w:szCs w:val="24"/>
          <w:rtl/>
        </w:rPr>
        <w:t>פליגי</w:t>
      </w:r>
      <w:r w:rsidRPr="003A0EFC">
        <w:rPr>
          <w:rFonts w:ascii="FrankRuehl" w:hAnsi="FrankRuehl" w:cs="FrankRuehl"/>
          <w:sz w:val="24"/>
          <w:szCs w:val="24"/>
          <w:rtl/>
        </w:rPr>
        <w:t xml:space="preserve"> </w:t>
      </w:r>
      <w:r w:rsidRPr="003A0EFC">
        <w:rPr>
          <w:rFonts w:ascii="FrankRuehl" w:hAnsi="FrankRuehl" w:cs="FrankRuehl" w:hint="cs"/>
          <w:sz w:val="24"/>
          <w:szCs w:val="24"/>
          <w:rtl/>
        </w:rPr>
        <w:t>ר</w:t>
      </w:r>
      <w:r w:rsidRPr="003A0EFC">
        <w:rPr>
          <w:rFonts w:ascii="FrankRuehl" w:hAnsi="FrankRuehl" w:cs="FrankRuehl"/>
          <w:sz w:val="24"/>
          <w:szCs w:val="24"/>
          <w:rtl/>
        </w:rPr>
        <w:t>"</w:t>
      </w:r>
      <w:r w:rsidRPr="003A0EFC">
        <w:rPr>
          <w:rFonts w:ascii="FrankRuehl" w:hAnsi="FrankRuehl" w:cs="FrankRuehl" w:hint="cs"/>
          <w:sz w:val="24"/>
          <w:szCs w:val="24"/>
          <w:rtl/>
        </w:rPr>
        <w:t>י</w:t>
      </w:r>
      <w:r w:rsidRPr="003A0EFC">
        <w:rPr>
          <w:rFonts w:ascii="FrankRuehl" w:hAnsi="FrankRuehl" w:cs="FrankRuehl"/>
          <w:sz w:val="24"/>
          <w:szCs w:val="24"/>
          <w:rtl/>
        </w:rPr>
        <w:t xml:space="preserve"> </w:t>
      </w:r>
      <w:r w:rsidRPr="003A0EFC">
        <w:rPr>
          <w:rFonts w:ascii="FrankRuehl" w:hAnsi="FrankRuehl" w:cs="FrankRuehl" w:hint="cs"/>
          <w:sz w:val="24"/>
          <w:szCs w:val="24"/>
          <w:rtl/>
        </w:rPr>
        <w:t>ור</w:t>
      </w:r>
      <w:r w:rsidRPr="003A0EFC">
        <w:rPr>
          <w:rFonts w:ascii="FrankRuehl" w:hAnsi="FrankRuehl" w:cs="FrankRuehl"/>
          <w:sz w:val="24"/>
          <w:szCs w:val="24"/>
          <w:rtl/>
        </w:rPr>
        <w:t>"</w:t>
      </w:r>
      <w:r w:rsidRPr="003A0EFC">
        <w:rPr>
          <w:rFonts w:ascii="FrankRuehl" w:hAnsi="FrankRuehl" w:cs="FrankRuehl" w:hint="cs"/>
          <w:sz w:val="24"/>
          <w:szCs w:val="24"/>
          <w:rtl/>
        </w:rPr>
        <w:t>ש</w:t>
      </w:r>
      <w:r w:rsidRPr="003A0EFC">
        <w:rPr>
          <w:rFonts w:ascii="FrankRuehl" w:hAnsi="FrankRuehl" w:cs="FrankRuehl"/>
          <w:sz w:val="24"/>
          <w:szCs w:val="24"/>
          <w:rtl/>
        </w:rPr>
        <w:t xml:space="preserve"> </w:t>
      </w:r>
      <w:r w:rsidRPr="003A0EFC">
        <w:rPr>
          <w:rFonts w:ascii="FrankRuehl" w:hAnsi="FrankRuehl" w:cs="FrankRuehl" w:hint="cs"/>
          <w:sz w:val="24"/>
          <w:szCs w:val="24"/>
          <w:rtl/>
        </w:rPr>
        <w:t>הנ</w:t>
      </w:r>
      <w:r w:rsidRPr="003A0EFC">
        <w:rPr>
          <w:rFonts w:ascii="FrankRuehl" w:hAnsi="FrankRuehl" w:cs="FrankRuehl"/>
          <w:sz w:val="24"/>
          <w:szCs w:val="24"/>
          <w:rtl/>
        </w:rPr>
        <w:t>"</w:t>
      </w:r>
      <w:r w:rsidRPr="003A0EFC">
        <w:rPr>
          <w:rFonts w:ascii="FrankRuehl" w:hAnsi="FrankRuehl" w:cs="FrankRuehl" w:hint="cs"/>
          <w:sz w:val="24"/>
          <w:szCs w:val="24"/>
          <w:rtl/>
        </w:rPr>
        <w:t>ל</w:t>
      </w:r>
      <w:r w:rsidRPr="003A0EFC">
        <w:rPr>
          <w:rFonts w:ascii="FrankRuehl" w:hAnsi="FrankRuehl" w:cs="FrankRuehl"/>
          <w:sz w:val="24"/>
          <w:szCs w:val="24"/>
          <w:rtl/>
        </w:rPr>
        <w:t xml:space="preserve"> </w:t>
      </w:r>
      <w:r w:rsidRPr="003A0EFC">
        <w:rPr>
          <w:rFonts w:ascii="FrankRuehl" w:hAnsi="FrankRuehl" w:cs="FrankRuehl" w:hint="cs"/>
          <w:sz w:val="24"/>
          <w:szCs w:val="24"/>
          <w:rtl/>
        </w:rPr>
        <w:t>שר</w:t>
      </w:r>
      <w:r w:rsidRPr="003A0EFC">
        <w:rPr>
          <w:rFonts w:ascii="FrankRuehl" w:hAnsi="FrankRuehl" w:cs="FrankRuehl"/>
          <w:sz w:val="24"/>
          <w:szCs w:val="24"/>
          <w:rtl/>
        </w:rPr>
        <w:t>"</w:t>
      </w:r>
      <w:r w:rsidRPr="003A0EFC">
        <w:rPr>
          <w:rFonts w:ascii="FrankRuehl" w:hAnsi="FrankRuehl" w:cs="FrankRuehl" w:hint="cs"/>
          <w:sz w:val="24"/>
          <w:szCs w:val="24"/>
          <w:rtl/>
        </w:rPr>
        <w:t>י</w:t>
      </w:r>
      <w:r w:rsidRPr="003A0EFC">
        <w:rPr>
          <w:rFonts w:ascii="FrankRuehl" w:hAnsi="FrankRuehl" w:cs="FrankRuehl"/>
          <w:sz w:val="24"/>
          <w:szCs w:val="24"/>
          <w:rtl/>
        </w:rPr>
        <w:t xml:space="preserve"> </w:t>
      </w:r>
      <w:r w:rsidRPr="003A0EFC">
        <w:rPr>
          <w:rFonts w:ascii="FrankRuehl" w:hAnsi="FrankRuehl" w:cs="FrankRuehl" w:hint="cs"/>
          <w:sz w:val="24"/>
          <w:szCs w:val="24"/>
          <w:rtl/>
        </w:rPr>
        <w:t>סובר</w:t>
      </w:r>
      <w:r w:rsidRPr="003A0EFC">
        <w:rPr>
          <w:rFonts w:ascii="FrankRuehl" w:hAnsi="FrankRuehl" w:cs="FrankRuehl"/>
          <w:sz w:val="24"/>
          <w:szCs w:val="24"/>
          <w:rtl/>
        </w:rPr>
        <w:t xml:space="preserve"> </w:t>
      </w:r>
      <w:r w:rsidRPr="003A0EFC">
        <w:rPr>
          <w:rFonts w:ascii="FrankRuehl" w:hAnsi="FrankRuehl" w:cs="FrankRuehl" w:hint="cs"/>
          <w:sz w:val="24"/>
          <w:szCs w:val="24"/>
          <w:rtl/>
        </w:rPr>
        <w:t>בכפרת</w:t>
      </w:r>
      <w:r w:rsidRPr="003A0EFC">
        <w:rPr>
          <w:rFonts w:ascii="FrankRuehl" w:hAnsi="FrankRuehl" w:cs="FrankRuehl"/>
          <w:sz w:val="24"/>
          <w:szCs w:val="24"/>
          <w:rtl/>
        </w:rPr>
        <w:t xml:space="preserve"> </w:t>
      </w:r>
      <w:r w:rsidRPr="003A0EFC">
        <w:rPr>
          <w:rFonts w:ascii="FrankRuehl" w:hAnsi="FrankRuehl" w:cs="FrankRuehl" w:hint="cs"/>
          <w:sz w:val="24"/>
          <w:szCs w:val="24"/>
          <w:rtl/>
        </w:rPr>
        <w:t>דמים</w:t>
      </w:r>
      <w:r w:rsidRPr="003A0EFC">
        <w:rPr>
          <w:rFonts w:ascii="FrankRuehl" w:hAnsi="FrankRuehl" w:cs="FrankRuehl"/>
          <w:sz w:val="24"/>
          <w:szCs w:val="24"/>
          <w:rtl/>
        </w:rPr>
        <w:t xml:space="preserve"> </w:t>
      </w:r>
      <w:r w:rsidRPr="003A0EFC">
        <w:rPr>
          <w:rFonts w:ascii="FrankRuehl" w:hAnsi="FrankRuehl" w:cs="FrankRuehl" w:hint="cs"/>
          <w:sz w:val="24"/>
          <w:szCs w:val="24"/>
          <w:rtl/>
        </w:rPr>
        <w:t>הכתוב</w:t>
      </w:r>
      <w:r w:rsidRPr="003A0EFC">
        <w:rPr>
          <w:rFonts w:ascii="FrankRuehl" w:hAnsi="FrankRuehl" w:cs="FrankRuehl"/>
          <w:sz w:val="24"/>
          <w:szCs w:val="24"/>
          <w:rtl/>
        </w:rPr>
        <w:t xml:space="preserve"> </w:t>
      </w:r>
      <w:r w:rsidRPr="003A0EFC">
        <w:rPr>
          <w:rFonts w:ascii="FrankRuehl" w:hAnsi="FrankRuehl" w:cs="FrankRuehl" w:hint="cs"/>
          <w:sz w:val="24"/>
          <w:szCs w:val="24"/>
          <w:rtl/>
        </w:rPr>
        <w:t>מדבר...</w:t>
      </w:r>
      <w:r w:rsidRPr="003A0EFC">
        <w:rPr>
          <w:rFonts w:ascii="FrankRuehl" w:hAnsi="FrankRuehl" w:cs="FrankRuehl"/>
          <w:sz w:val="24"/>
          <w:szCs w:val="24"/>
          <w:rtl/>
        </w:rPr>
        <w:t xml:space="preserve"> </w:t>
      </w:r>
      <w:r w:rsidRPr="003A0EFC">
        <w:rPr>
          <w:rFonts w:ascii="FrankRuehl" w:hAnsi="FrankRuehl" w:cs="FrankRuehl" w:hint="cs"/>
          <w:sz w:val="24"/>
          <w:szCs w:val="24"/>
          <w:rtl/>
        </w:rPr>
        <w:t>ור</w:t>
      </w:r>
      <w:r w:rsidRPr="003A0EFC">
        <w:rPr>
          <w:rFonts w:ascii="FrankRuehl" w:hAnsi="FrankRuehl" w:cs="FrankRuehl"/>
          <w:sz w:val="24"/>
          <w:szCs w:val="24"/>
          <w:rtl/>
        </w:rPr>
        <w:t>"</w:t>
      </w:r>
      <w:r w:rsidRPr="003A0EFC">
        <w:rPr>
          <w:rFonts w:ascii="FrankRuehl" w:hAnsi="FrankRuehl" w:cs="FrankRuehl" w:hint="cs"/>
          <w:sz w:val="24"/>
          <w:szCs w:val="24"/>
          <w:rtl/>
        </w:rPr>
        <w:t>ש</w:t>
      </w:r>
      <w:r w:rsidRPr="003A0EFC">
        <w:rPr>
          <w:rFonts w:ascii="FrankRuehl" w:hAnsi="FrankRuehl" w:cs="FrankRuehl"/>
          <w:sz w:val="24"/>
          <w:szCs w:val="24"/>
          <w:rtl/>
        </w:rPr>
        <w:t xml:space="preserve"> </w:t>
      </w:r>
      <w:r w:rsidRPr="003A0EFC">
        <w:rPr>
          <w:rFonts w:ascii="FrankRuehl" w:hAnsi="FrankRuehl" w:cs="FrankRuehl" w:hint="cs"/>
          <w:sz w:val="24"/>
          <w:szCs w:val="24"/>
          <w:rtl/>
        </w:rPr>
        <w:t>סובר</w:t>
      </w:r>
      <w:r w:rsidRPr="003A0EFC">
        <w:rPr>
          <w:rFonts w:ascii="FrankRuehl" w:hAnsi="FrankRuehl" w:cs="FrankRuehl"/>
          <w:sz w:val="24"/>
          <w:szCs w:val="24"/>
          <w:rtl/>
        </w:rPr>
        <w:t xml:space="preserve"> </w:t>
      </w:r>
      <w:r w:rsidRPr="003A0EFC">
        <w:rPr>
          <w:rFonts w:ascii="FrankRuehl" w:hAnsi="FrankRuehl" w:cs="FrankRuehl" w:hint="cs"/>
          <w:sz w:val="24"/>
          <w:szCs w:val="24"/>
          <w:rtl/>
        </w:rPr>
        <w:t>בכפרת</w:t>
      </w:r>
      <w:r w:rsidRPr="003A0EFC">
        <w:rPr>
          <w:rFonts w:ascii="FrankRuehl" w:hAnsi="FrankRuehl" w:cs="FrankRuehl"/>
          <w:sz w:val="24"/>
          <w:szCs w:val="24"/>
          <w:rtl/>
        </w:rPr>
        <w:t xml:space="preserve"> </w:t>
      </w:r>
      <w:r w:rsidRPr="003A0EFC">
        <w:rPr>
          <w:rFonts w:ascii="FrankRuehl" w:hAnsi="FrankRuehl" w:cs="FrankRuehl" w:hint="cs"/>
          <w:sz w:val="24"/>
          <w:szCs w:val="24"/>
          <w:rtl/>
        </w:rPr>
        <w:t>דברים</w:t>
      </w:r>
      <w:r w:rsidRPr="003A0EFC">
        <w:rPr>
          <w:rFonts w:ascii="FrankRuehl" w:hAnsi="FrankRuehl" w:cs="FrankRuehl"/>
          <w:sz w:val="24"/>
          <w:szCs w:val="24"/>
          <w:rtl/>
        </w:rPr>
        <w:t xml:space="preserve"> </w:t>
      </w:r>
      <w:r w:rsidRPr="003A0EFC">
        <w:rPr>
          <w:rFonts w:ascii="FrankRuehl" w:hAnsi="FrankRuehl" w:cs="FrankRuehl" w:hint="cs"/>
          <w:sz w:val="24"/>
          <w:szCs w:val="24"/>
          <w:rtl/>
        </w:rPr>
        <w:t>הכתוב</w:t>
      </w:r>
      <w:r w:rsidRPr="003A0EFC">
        <w:rPr>
          <w:rFonts w:ascii="FrankRuehl" w:hAnsi="FrankRuehl" w:cs="FrankRuehl"/>
          <w:sz w:val="24"/>
          <w:szCs w:val="24"/>
          <w:rtl/>
        </w:rPr>
        <w:t xml:space="preserve"> </w:t>
      </w:r>
      <w:r w:rsidRPr="003A0EFC">
        <w:rPr>
          <w:rFonts w:ascii="FrankRuehl" w:hAnsi="FrankRuehl" w:cs="FrankRuehl" w:hint="cs"/>
          <w:sz w:val="24"/>
          <w:szCs w:val="24"/>
          <w:rtl/>
        </w:rPr>
        <w:t>מדבר... ועוד</w:t>
      </w:r>
      <w:r w:rsidRPr="003A0EFC">
        <w:rPr>
          <w:rFonts w:ascii="FrankRuehl" w:hAnsi="FrankRuehl" w:cs="FrankRuehl"/>
          <w:sz w:val="24"/>
          <w:szCs w:val="24"/>
          <w:rtl/>
        </w:rPr>
        <w:t xml:space="preserve"> </w:t>
      </w:r>
      <w:r w:rsidRPr="003A0EFC">
        <w:rPr>
          <w:rFonts w:ascii="FrankRuehl" w:hAnsi="FrankRuehl" w:cs="FrankRuehl" w:hint="cs"/>
          <w:sz w:val="24"/>
          <w:szCs w:val="24"/>
          <w:rtl/>
        </w:rPr>
        <w:t>דין</w:t>
      </w:r>
      <w:r w:rsidRPr="003A0EFC">
        <w:rPr>
          <w:rFonts w:ascii="FrankRuehl" w:hAnsi="FrankRuehl" w:cs="FrankRuehl"/>
          <w:sz w:val="24"/>
          <w:szCs w:val="24"/>
          <w:rtl/>
        </w:rPr>
        <w:t xml:space="preserve"> </w:t>
      </w:r>
      <w:r w:rsidRPr="003A0EFC">
        <w:rPr>
          <w:rFonts w:ascii="FrankRuehl" w:hAnsi="FrankRuehl" w:cs="FrankRuehl" w:hint="cs"/>
          <w:sz w:val="24"/>
          <w:szCs w:val="24"/>
          <w:rtl/>
        </w:rPr>
        <w:t>כפרה</w:t>
      </w:r>
      <w:r w:rsidRPr="003A0EFC">
        <w:rPr>
          <w:rFonts w:ascii="FrankRuehl" w:hAnsi="FrankRuehl" w:cs="FrankRuehl"/>
          <w:sz w:val="24"/>
          <w:szCs w:val="24"/>
          <w:rtl/>
        </w:rPr>
        <w:t xml:space="preserve"> </w:t>
      </w:r>
      <w:r w:rsidRPr="003A0EFC">
        <w:rPr>
          <w:rFonts w:ascii="FrankRuehl" w:hAnsi="FrankRuehl" w:cs="FrankRuehl" w:hint="cs"/>
          <w:sz w:val="24"/>
          <w:szCs w:val="24"/>
          <w:rtl/>
        </w:rPr>
        <w:t>יש</w:t>
      </w:r>
      <w:r w:rsidRPr="003A0EFC">
        <w:rPr>
          <w:rFonts w:ascii="FrankRuehl" w:hAnsi="FrankRuehl" w:cs="FrankRuehl"/>
          <w:sz w:val="24"/>
          <w:szCs w:val="24"/>
          <w:rtl/>
        </w:rPr>
        <w:t xml:space="preserve"> </w:t>
      </w:r>
      <w:r w:rsidRPr="003A0EFC">
        <w:rPr>
          <w:rFonts w:ascii="FrankRuehl" w:hAnsi="FrankRuehl" w:cs="FrankRuehl" w:hint="cs"/>
          <w:sz w:val="24"/>
          <w:szCs w:val="24"/>
          <w:rtl/>
        </w:rPr>
        <w:t>בשעיר</w:t>
      </w:r>
      <w:r w:rsidRPr="003A0EFC">
        <w:rPr>
          <w:rFonts w:ascii="FrankRuehl" w:hAnsi="FrankRuehl" w:cs="FrankRuehl"/>
          <w:sz w:val="24"/>
          <w:szCs w:val="24"/>
          <w:rtl/>
        </w:rPr>
        <w:t xml:space="preserve"> </w:t>
      </w:r>
      <w:r w:rsidRPr="003A0EFC">
        <w:rPr>
          <w:rFonts w:ascii="FrankRuehl" w:hAnsi="FrankRuehl" w:cs="FrankRuehl" w:hint="cs"/>
          <w:sz w:val="24"/>
          <w:szCs w:val="24"/>
          <w:rtl/>
        </w:rPr>
        <w:t>המשתלח</w:t>
      </w:r>
      <w:r w:rsidRPr="003A0EFC">
        <w:rPr>
          <w:rFonts w:ascii="FrankRuehl" w:hAnsi="FrankRuehl" w:cs="FrankRuehl"/>
          <w:sz w:val="24"/>
          <w:szCs w:val="24"/>
          <w:rtl/>
        </w:rPr>
        <w:t xml:space="preserve"> </w:t>
      </w:r>
      <w:r w:rsidRPr="003A0EFC">
        <w:rPr>
          <w:rFonts w:ascii="FrankRuehl" w:hAnsi="FrankRuehl" w:cs="FrankRuehl" w:hint="cs"/>
          <w:sz w:val="24"/>
          <w:szCs w:val="24"/>
          <w:rtl/>
        </w:rPr>
        <w:t>והוא</w:t>
      </w:r>
      <w:r w:rsidRPr="003A0EFC">
        <w:rPr>
          <w:rFonts w:ascii="FrankRuehl" w:hAnsi="FrankRuehl" w:cs="FrankRuehl"/>
          <w:sz w:val="24"/>
          <w:szCs w:val="24"/>
          <w:rtl/>
        </w:rPr>
        <w:t xml:space="preserve"> </w:t>
      </w:r>
      <w:r w:rsidRPr="003A0EFC">
        <w:rPr>
          <w:rFonts w:ascii="FrankRuehl" w:hAnsi="FrankRuehl" w:cs="FrankRuehl" w:hint="cs"/>
          <w:sz w:val="24"/>
          <w:szCs w:val="24"/>
          <w:rtl/>
        </w:rPr>
        <w:t>בשילוח</w:t>
      </w:r>
      <w:r w:rsidRPr="003A0EFC">
        <w:rPr>
          <w:rFonts w:ascii="FrankRuehl" w:hAnsi="FrankRuehl" w:cs="FrankRuehl"/>
          <w:sz w:val="24"/>
          <w:szCs w:val="24"/>
          <w:rtl/>
        </w:rPr>
        <w:t xml:space="preserve"> </w:t>
      </w:r>
      <w:r w:rsidRPr="003A0EFC">
        <w:rPr>
          <w:rFonts w:ascii="FrankRuehl" w:hAnsi="FrankRuehl" w:cs="FrankRuehl" w:hint="cs"/>
          <w:sz w:val="24"/>
          <w:szCs w:val="24"/>
          <w:rtl/>
        </w:rPr>
        <w:t>השעיר</w:t>
      </w:r>
      <w:r w:rsidRPr="003A0EFC">
        <w:rPr>
          <w:rFonts w:ascii="FrankRuehl" w:hAnsi="FrankRuehl" w:cs="FrankRuehl"/>
          <w:sz w:val="24"/>
          <w:szCs w:val="24"/>
          <w:rtl/>
        </w:rPr>
        <w:t xml:space="preserve"> </w:t>
      </w:r>
      <w:r w:rsidRPr="003A0EFC">
        <w:rPr>
          <w:rFonts w:ascii="FrankRuehl" w:hAnsi="FrankRuehl" w:cs="FrankRuehl" w:hint="cs"/>
          <w:sz w:val="24"/>
          <w:szCs w:val="24"/>
          <w:rtl/>
        </w:rPr>
        <w:t>וכמש</w:t>
      </w:r>
      <w:r w:rsidRPr="003A0EFC">
        <w:rPr>
          <w:rFonts w:ascii="FrankRuehl" w:hAnsi="FrankRuehl" w:cs="FrankRuehl"/>
          <w:sz w:val="24"/>
          <w:szCs w:val="24"/>
          <w:rtl/>
        </w:rPr>
        <w:t>"</w:t>
      </w:r>
      <w:r w:rsidRPr="003A0EFC">
        <w:rPr>
          <w:rFonts w:ascii="FrankRuehl" w:hAnsi="FrankRuehl" w:cs="FrankRuehl" w:hint="cs"/>
          <w:sz w:val="24"/>
          <w:szCs w:val="24"/>
          <w:rtl/>
        </w:rPr>
        <w:t>כ</w:t>
      </w:r>
      <w:r w:rsidRPr="003A0EFC">
        <w:rPr>
          <w:rFonts w:ascii="FrankRuehl" w:hAnsi="FrankRuehl" w:cs="FrankRuehl"/>
          <w:sz w:val="24"/>
          <w:szCs w:val="24"/>
          <w:rtl/>
        </w:rPr>
        <w:t xml:space="preserve"> </w:t>
      </w:r>
      <w:r w:rsidRPr="003A0EFC">
        <w:rPr>
          <w:rFonts w:ascii="FrankRuehl" w:hAnsi="FrankRuehl" w:cs="FrankRuehl" w:hint="cs"/>
          <w:sz w:val="24"/>
          <w:szCs w:val="24"/>
          <w:rtl/>
        </w:rPr>
        <w:t>הרשב</w:t>
      </w:r>
      <w:r w:rsidRPr="003A0EFC">
        <w:rPr>
          <w:rFonts w:ascii="FrankRuehl" w:hAnsi="FrankRuehl" w:cs="FrankRuehl"/>
          <w:sz w:val="24"/>
          <w:szCs w:val="24"/>
          <w:rtl/>
        </w:rPr>
        <w:t>"</w:t>
      </w:r>
      <w:r w:rsidRPr="003A0EFC">
        <w:rPr>
          <w:rFonts w:ascii="FrankRuehl" w:hAnsi="FrankRuehl" w:cs="FrankRuehl" w:hint="cs"/>
          <w:sz w:val="24"/>
          <w:szCs w:val="24"/>
          <w:rtl/>
        </w:rPr>
        <w:t>א</w:t>
      </w:r>
      <w:r w:rsidRPr="003A0EFC">
        <w:rPr>
          <w:rFonts w:ascii="FrankRuehl" w:hAnsi="FrankRuehl" w:cs="FrankRuehl"/>
          <w:sz w:val="24"/>
          <w:szCs w:val="24"/>
          <w:rtl/>
        </w:rPr>
        <w:t xml:space="preserve"> </w:t>
      </w:r>
      <w:r w:rsidRPr="003A0EFC">
        <w:rPr>
          <w:rFonts w:ascii="FrankRuehl" w:hAnsi="FrankRuehl" w:cs="FrankRuehl" w:hint="cs"/>
          <w:sz w:val="24"/>
          <w:szCs w:val="24"/>
          <w:rtl/>
        </w:rPr>
        <w:t>הנ</w:t>
      </w:r>
      <w:r w:rsidRPr="003A0EFC">
        <w:rPr>
          <w:rFonts w:ascii="FrankRuehl" w:hAnsi="FrankRuehl" w:cs="FrankRuehl"/>
          <w:sz w:val="24"/>
          <w:szCs w:val="24"/>
          <w:rtl/>
        </w:rPr>
        <w:t>"</w:t>
      </w:r>
      <w:r w:rsidRPr="003A0EFC">
        <w:rPr>
          <w:rFonts w:ascii="FrankRuehl" w:hAnsi="FrankRuehl" w:cs="FrankRuehl" w:hint="cs"/>
          <w:sz w:val="24"/>
          <w:szCs w:val="24"/>
          <w:rtl/>
        </w:rPr>
        <w:t>ל</w:t>
      </w:r>
      <w:r w:rsidRPr="003A0EFC">
        <w:rPr>
          <w:rFonts w:ascii="FrankRuehl" w:hAnsi="FrankRuehl" w:cs="FrankRuehl"/>
          <w:sz w:val="24"/>
          <w:szCs w:val="24"/>
          <w:rtl/>
        </w:rPr>
        <w:t xml:space="preserve"> </w:t>
      </w:r>
      <w:r w:rsidRPr="003A0EFC">
        <w:rPr>
          <w:rFonts w:ascii="FrankRuehl" w:hAnsi="FrankRuehl" w:cs="FrankRuehl" w:hint="cs"/>
          <w:sz w:val="24"/>
          <w:szCs w:val="24"/>
          <w:rtl/>
        </w:rPr>
        <w:t>דשלוחו</w:t>
      </w:r>
      <w:r w:rsidRPr="003A0EFC">
        <w:rPr>
          <w:rFonts w:ascii="FrankRuehl" w:hAnsi="FrankRuehl" w:cs="FrankRuehl"/>
          <w:sz w:val="24"/>
          <w:szCs w:val="24"/>
          <w:rtl/>
        </w:rPr>
        <w:t xml:space="preserve"> </w:t>
      </w:r>
      <w:r w:rsidRPr="003A0EFC">
        <w:rPr>
          <w:rFonts w:ascii="FrankRuehl" w:hAnsi="FrankRuehl" w:cs="FrankRuehl" w:hint="cs"/>
          <w:sz w:val="24"/>
          <w:szCs w:val="24"/>
          <w:rtl/>
        </w:rPr>
        <w:t>קרי</w:t>
      </w:r>
      <w:r w:rsidRPr="003A0EFC">
        <w:rPr>
          <w:rFonts w:ascii="FrankRuehl" w:hAnsi="FrankRuehl" w:cs="FrankRuehl"/>
          <w:sz w:val="24"/>
          <w:szCs w:val="24"/>
          <w:rtl/>
        </w:rPr>
        <w:t xml:space="preserve"> </w:t>
      </w:r>
      <w:r w:rsidRPr="003A0EFC">
        <w:rPr>
          <w:rFonts w:ascii="FrankRuehl" w:hAnsi="FrankRuehl" w:cs="FrankRuehl" w:hint="cs"/>
          <w:sz w:val="24"/>
          <w:szCs w:val="24"/>
          <w:rtl/>
        </w:rPr>
        <w:t>קרבן</w:t>
      </w:r>
      <w:r w:rsidRPr="003A0EFC">
        <w:rPr>
          <w:rFonts w:ascii="FrankRuehl" w:hAnsi="FrankRuehl" w:cs="FrankRuehl"/>
          <w:sz w:val="24"/>
          <w:szCs w:val="24"/>
          <w:rtl/>
        </w:rPr>
        <w:t xml:space="preserve"> </w:t>
      </w:r>
      <w:r w:rsidRPr="003A0EFC">
        <w:rPr>
          <w:rFonts w:ascii="FrankRuehl" w:hAnsi="FrankRuehl" w:cs="FrankRuehl" w:hint="cs"/>
          <w:sz w:val="24"/>
          <w:szCs w:val="24"/>
          <w:rtl/>
        </w:rPr>
        <w:t>והיינו</w:t>
      </w:r>
      <w:r w:rsidRPr="003A0EFC">
        <w:rPr>
          <w:rFonts w:ascii="FrankRuehl" w:hAnsi="FrankRuehl" w:cs="FrankRuehl"/>
          <w:sz w:val="24"/>
          <w:szCs w:val="24"/>
          <w:rtl/>
        </w:rPr>
        <w:t xml:space="preserve"> </w:t>
      </w:r>
      <w:r w:rsidRPr="003A0EFC">
        <w:rPr>
          <w:rFonts w:ascii="FrankRuehl" w:hAnsi="FrankRuehl" w:cs="FrankRuehl" w:hint="cs"/>
          <w:sz w:val="24"/>
          <w:szCs w:val="24"/>
          <w:rtl/>
        </w:rPr>
        <w:t>דגם</w:t>
      </w:r>
      <w:r w:rsidRPr="003A0EFC">
        <w:rPr>
          <w:rFonts w:ascii="FrankRuehl" w:hAnsi="FrankRuehl" w:cs="FrankRuehl"/>
          <w:sz w:val="24"/>
          <w:szCs w:val="24"/>
          <w:rtl/>
        </w:rPr>
        <w:t xml:space="preserve"> </w:t>
      </w:r>
      <w:r w:rsidRPr="003A0EFC">
        <w:rPr>
          <w:rFonts w:ascii="FrankRuehl" w:hAnsi="FrankRuehl" w:cs="FrankRuehl" w:hint="cs"/>
          <w:sz w:val="24"/>
          <w:szCs w:val="24"/>
          <w:rtl/>
        </w:rPr>
        <w:t>שילוח</w:t>
      </w:r>
      <w:r w:rsidRPr="003A0EFC">
        <w:rPr>
          <w:rFonts w:ascii="FrankRuehl" w:hAnsi="FrankRuehl" w:cs="FrankRuehl"/>
          <w:sz w:val="24"/>
          <w:szCs w:val="24"/>
          <w:rtl/>
        </w:rPr>
        <w:t xml:space="preserve"> </w:t>
      </w:r>
      <w:r w:rsidRPr="003A0EFC">
        <w:rPr>
          <w:rFonts w:ascii="FrankRuehl" w:hAnsi="FrankRuehl" w:cs="FrankRuehl" w:hint="cs"/>
          <w:sz w:val="24"/>
          <w:szCs w:val="24"/>
          <w:rtl/>
        </w:rPr>
        <w:t>השעיר</w:t>
      </w:r>
      <w:r w:rsidRPr="003A0EFC">
        <w:rPr>
          <w:rFonts w:ascii="FrankRuehl" w:hAnsi="FrankRuehl" w:cs="FrankRuehl"/>
          <w:sz w:val="24"/>
          <w:szCs w:val="24"/>
          <w:rtl/>
        </w:rPr>
        <w:t xml:space="preserve"> </w:t>
      </w:r>
      <w:r w:rsidRPr="003A0EFC">
        <w:rPr>
          <w:rFonts w:ascii="FrankRuehl" w:hAnsi="FrankRuehl" w:cs="FrankRuehl" w:hint="cs"/>
          <w:sz w:val="24"/>
          <w:szCs w:val="24"/>
          <w:rtl/>
        </w:rPr>
        <w:t>מכפר</w:t>
      </w:r>
      <w:r w:rsidRPr="003A0EFC">
        <w:rPr>
          <w:rFonts w:ascii="FrankRuehl" w:hAnsi="FrankRuehl" w:cs="FrankRuehl"/>
          <w:sz w:val="24"/>
          <w:szCs w:val="24"/>
          <w:rtl/>
        </w:rPr>
        <w:t xml:space="preserve"> </w:t>
      </w:r>
      <w:r w:rsidRPr="003A0EFC">
        <w:rPr>
          <w:rFonts w:ascii="FrankRuehl" w:hAnsi="FrankRuehl" w:cs="FrankRuehl" w:hint="cs"/>
          <w:sz w:val="24"/>
          <w:szCs w:val="24"/>
          <w:rtl/>
        </w:rPr>
        <w:t>דכתיב</w:t>
      </w:r>
      <w:r w:rsidRPr="003A0EFC">
        <w:rPr>
          <w:rFonts w:ascii="FrankRuehl" w:hAnsi="FrankRuehl" w:cs="FrankRuehl"/>
          <w:sz w:val="24"/>
          <w:szCs w:val="24"/>
          <w:rtl/>
        </w:rPr>
        <w:t xml:space="preserve"> </w:t>
      </w:r>
      <w:r w:rsidRPr="003A0EFC">
        <w:rPr>
          <w:rFonts w:ascii="FrankRuehl" w:hAnsi="FrankRuehl" w:cs="FrankRuehl" w:hint="cs"/>
          <w:sz w:val="24"/>
          <w:szCs w:val="24"/>
          <w:rtl/>
        </w:rPr>
        <w:t>"ונשא</w:t>
      </w:r>
      <w:r w:rsidRPr="003A0EFC">
        <w:rPr>
          <w:rFonts w:ascii="FrankRuehl" w:hAnsi="FrankRuehl" w:cs="FrankRuehl"/>
          <w:sz w:val="24"/>
          <w:szCs w:val="24"/>
          <w:rtl/>
        </w:rPr>
        <w:t xml:space="preserve"> </w:t>
      </w:r>
      <w:r w:rsidRPr="003A0EFC">
        <w:rPr>
          <w:rFonts w:ascii="FrankRuehl" w:hAnsi="FrankRuehl" w:cs="FrankRuehl" w:hint="cs"/>
          <w:sz w:val="24"/>
          <w:szCs w:val="24"/>
          <w:rtl/>
        </w:rPr>
        <w:t>השעיר</w:t>
      </w:r>
      <w:r w:rsidRPr="003A0EFC">
        <w:rPr>
          <w:rFonts w:ascii="FrankRuehl" w:hAnsi="FrankRuehl" w:cs="FrankRuehl"/>
          <w:sz w:val="24"/>
          <w:szCs w:val="24"/>
          <w:rtl/>
        </w:rPr>
        <w:t xml:space="preserve"> </w:t>
      </w:r>
      <w:r w:rsidRPr="003A0EFC">
        <w:rPr>
          <w:rFonts w:ascii="FrankRuehl" w:hAnsi="FrankRuehl" w:cs="FrankRuehl" w:hint="cs"/>
          <w:sz w:val="24"/>
          <w:szCs w:val="24"/>
          <w:rtl/>
        </w:rPr>
        <w:t>עליו</w:t>
      </w:r>
      <w:r w:rsidRPr="003A0EFC">
        <w:rPr>
          <w:rFonts w:ascii="FrankRuehl" w:hAnsi="FrankRuehl" w:cs="FrankRuehl"/>
          <w:sz w:val="24"/>
          <w:szCs w:val="24"/>
          <w:rtl/>
        </w:rPr>
        <w:t xml:space="preserve"> </w:t>
      </w:r>
      <w:r w:rsidRPr="003A0EFC">
        <w:rPr>
          <w:rFonts w:ascii="FrankRuehl" w:hAnsi="FrankRuehl" w:cs="FrankRuehl" w:hint="cs"/>
          <w:sz w:val="24"/>
          <w:szCs w:val="24"/>
          <w:rtl/>
        </w:rPr>
        <w:t>את</w:t>
      </w:r>
      <w:r w:rsidRPr="003A0EFC">
        <w:rPr>
          <w:rFonts w:ascii="FrankRuehl" w:hAnsi="FrankRuehl" w:cs="FrankRuehl"/>
          <w:sz w:val="24"/>
          <w:szCs w:val="24"/>
          <w:rtl/>
        </w:rPr>
        <w:t xml:space="preserve"> </w:t>
      </w:r>
      <w:r w:rsidRPr="003A0EFC">
        <w:rPr>
          <w:rFonts w:ascii="FrankRuehl" w:hAnsi="FrankRuehl" w:cs="FrankRuehl" w:hint="cs"/>
          <w:sz w:val="24"/>
          <w:szCs w:val="24"/>
          <w:rtl/>
        </w:rPr>
        <w:t>כל</w:t>
      </w:r>
      <w:r w:rsidRPr="003A0EFC">
        <w:rPr>
          <w:rFonts w:ascii="FrankRuehl" w:hAnsi="FrankRuehl" w:cs="FrankRuehl"/>
          <w:sz w:val="24"/>
          <w:szCs w:val="24"/>
          <w:rtl/>
        </w:rPr>
        <w:t xml:space="preserve"> </w:t>
      </w:r>
      <w:r w:rsidRPr="003A0EFC">
        <w:rPr>
          <w:rFonts w:ascii="FrankRuehl" w:hAnsi="FrankRuehl" w:cs="FrankRuehl" w:hint="cs"/>
          <w:sz w:val="24"/>
          <w:szCs w:val="24"/>
          <w:rtl/>
        </w:rPr>
        <w:t>עונתם</w:t>
      </w:r>
      <w:r w:rsidRPr="003A0EFC">
        <w:rPr>
          <w:rFonts w:ascii="FrankRuehl" w:hAnsi="FrankRuehl" w:cs="FrankRuehl"/>
          <w:sz w:val="24"/>
          <w:szCs w:val="24"/>
          <w:rtl/>
        </w:rPr>
        <w:t xml:space="preserve"> </w:t>
      </w:r>
      <w:r w:rsidRPr="003A0EFC">
        <w:rPr>
          <w:rFonts w:ascii="FrankRuehl" w:hAnsi="FrankRuehl" w:cs="FrankRuehl" w:hint="cs"/>
          <w:sz w:val="24"/>
          <w:szCs w:val="24"/>
          <w:rtl/>
        </w:rPr>
        <w:t>אל</w:t>
      </w:r>
      <w:r w:rsidRPr="003A0EFC">
        <w:rPr>
          <w:rFonts w:ascii="FrankRuehl" w:hAnsi="FrankRuehl" w:cs="FrankRuehl"/>
          <w:sz w:val="24"/>
          <w:szCs w:val="24"/>
          <w:rtl/>
        </w:rPr>
        <w:t xml:space="preserve"> </w:t>
      </w:r>
      <w:r w:rsidRPr="003A0EFC">
        <w:rPr>
          <w:rFonts w:ascii="FrankRuehl" w:hAnsi="FrankRuehl" w:cs="FrankRuehl" w:hint="cs"/>
          <w:sz w:val="24"/>
          <w:szCs w:val="24"/>
          <w:rtl/>
        </w:rPr>
        <w:t>ארץ</w:t>
      </w:r>
      <w:r w:rsidRPr="003A0EFC">
        <w:rPr>
          <w:rFonts w:ascii="FrankRuehl" w:hAnsi="FrankRuehl" w:cs="FrankRuehl"/>
          <w:sz w:val="24"/>
          <w:szCs w:val="24"/>
          <w:rtl/>
        </w:rPr>
        <w:t xml:space="preserve"> </w:t>
      </w:r>
      <w:r w:rsidRPr="003A0EFC">
        <w:rPr>
          <w:rFonts w:ascii="FrankRuehl" w:hAnsi="FrankRuehl" w:cs="FrankRuehl" w:hint="cs"/>
          <w:sz w:val="24"/>
          <w:szCs w:val="24"/>
          <w:rtl/>
        </w:rPr>
        <w:t>גזרה",</w:t>
      </w:r>
      <w:r w:rsidRPr="003A0EFC">
        <w:rPr>
          <w:rFonts w:ascii="FrankRuehl" w:hAnsi="FrankRuehl" w:cs="FrankRuehl"/>
          <w:sz w:val="24"/>
          <w:szCs w:val="24"/>
          <w:rtl/>
        </w:rPr>
        <w:t xml:space="preserve"> </w:t>
      </w:r>
      <w:r w:rsidRPr="003A0EFC">
        <w:rPr>
          <w:rFonts w:ascii="FrankRuehl" w:hAnsi="FrankRuehl" w:cs="FrankRuehl" w:hint="cs"/>
          <w:sz w:val="24"/>
          <w:szCs w:val="24"/>
          <w:rtl/>
        </w:rPr>
        <w:t>אלא</w:t>
      </w:r>
      <w:r w:rsidRPr="003A0EFC">
        <w:rPr>
          <w:rFonts w:ascii="FrankRuehl" w:hAnsi="FrankRuehl" w:cs="FrankRuehl"/>
          <w:sz w:val="24"/>
          <w:szCs w:val="24"/>
          <w:rtl/>
        </w:rPr>
        <w:t xml:space="preserve"> </w:t>
      </w:r>
      <w:r w:rsidRPr="003A0EFC">
        <w:rPr>
          <w:rFonts w:ascii="FrankRuehl" w:hAnsi="FrankRuehl" w:cs="FrankRuehl" w:hint="cs"/>
          <w:sz w:val="24"/>
          <w:szCs w:val="24"/>
          <w:rtl/>
        </w:rPr>
        <w:t>שהא</w:t>
      </w:r>
      <w:r w:rsidRPr="003A0EFC">
        <w:rPr>
          <w:rFonts w:ascii="FrankRuehl" w:hAnsi="FrankRuehl" w:cs="FrankRuehl"/>
          <w:sz w:val="24"/>
          <w:szCs w:val="24"/>
          <w:rtl/>
        </w:rPr>
        <w:t xml:space="preserve"> </w:t>
      </w:r>
      <w:r w:rsidRPr="003A0EFC">
        <w:rPr>
          <w:rFonts w:ascii="FrankRuehl" w:hAnsi="FrankRuehl" w:cs="FrankRuehl" w:hint="cs"/>
          <w:sz w:val="24"/>
          <w:szCs w:val="24"/>
          <w:rtl/>
        </w:rPr>
        <w:t>ששילוחו</w:t>
      </w:r>
      <w:r w:rsidRPr="003A0EFC">
        <w:rPr>
          <w:rFonts w:ascii="FrankRuehl" w:hAnsi="FrankRuehl" w:cs="FrankRuehl"/>
          <w:sz w:val="24"/>
          <w:szCs w:val="24"/>
          <w:rtl/>
        </w:rPr>
        <w:t xml:space="preserve"> </w:t>
      </w:r>
      <w:r w:rsidRPr="003A0EFC">
        <w:rPr>
          <w:rFonts w:ascii="FrankRuehl" w:hAnsi="FrankRuehl" w:cs="FrankRuehl" w:hint="cs"/>
          <w:sz w:val="24"/>
          <w:szCs w:val="24"/>
          <w:rtl/>
        </w:rPr>
        <w:t>קרוי</w:t>
      </w:r>
      <w:r w:rsidRPr="003A0EFC">
        <w:rPr>
          <w:rFonts w:ascii="FrankRuehl" w:hAnsi="FrankRuehl" w:cs="FrankRuehl"/>
          <w:sz w:val="24"/>
          <w:szCs w:val="24"/>
          <w:rtl/>
        </w:rPr>
        <w:t xml:space="preserve"> </w:t>
      </w:r>
      <w:r w:rsidRPr="003A0EFC">
        <w:rPr>
          <w:rFonts w:ascii="FrankRuehl" w:hAnsi="FrankRuehl" w:cs="FrankRuehl" w:hint="cs"/>
          <w:sz w:val="24"/>
          <w:szCs w:val="24"/>
          <w:rtl/>
        </w:rPr>
        <w:t>קרבן</w:t>
      </w:r>
      <w:r w:rsidRPr="003A0EFC">
        <w:rPr>
          <w:rFonts w:ascii="FrankRuehl" w:hAnsi="FrankRuehl" w:cs="FrankRuehl"/>
          <w:sz w:val="24"/>
          <w:szCs w:val="24"/>
          <w:rtl/>
        </w:rPr>
        <w:t xml:space="preserve"> </w:t>
      </w:r>
      <w:r w:rsidRPr="003A0EFC">
        <w:rPr>
          <w:rFonts w:ascii="FrankRuehl" w:hAnsi="FrankRuehl" w:cs="FrankRuehl" w:hint="cs"/>
          <w:sz w:val="24"/>
          <w:szCs w:val="24"/>
          <w:rtl/>
        </w:rPr>
        <w:t>זהו</w:t>
      </w:r>
      <w:r w:rsidRPr="003A0EFC">
        <w:rPr>
          <w:rFonts w:ascii="FrankRuehl" w:hAnsi="FrankRuehl" w:cs="FrankRuehl"/>
          <w:sz w:val="24"/>
          <w:szCs w:val="24"/>
          <w:rtl/>
        </w:rPr>
        <w:t xml:space="preserve"> </w:t>
      </w:r>
      <w:r w:rsidRPr="003A0EFC">
        <w:rPr>
          <w:rFonts w:ascii="FrankRuehl" w:hAnsi="FrankRuehl" w:cs="FrankRuehl" w:hint="cs"/>
          <w:sz w:val="24"/>
          <w:szCs w:val="24"/>
          <w:rtl/>
        </w:rPr>
        <w:t>קרבן</w:t>
      </w:r>
      <w:r w:rsidRPr="003A0EFC">
        <w:rPr>
          <w:rFonts w:ascii="FrankRuehl" w:hAnsi="FrankRuehl" w:cs="FrankRuehl"/>
          <w:sz w:val="24"/>
          <w:szCs w:val="24"/>
          <w:rtl/>
        </w:rPr>
        <w:t xml:space="preserve"> </w:t>
      </w:r>
      <w:r w:rsidRPr="003A0EFC">
        <w:rPr>
          <w:rFonts w:ascii="FrankRuehl" w:hAnsi="FrankRuehl" w:cs="FrankRuehl" w:hint="cs"/>
          <w:sz w:val="24"/>
          <w:szCs w:val="24"/>
          <w:rtl/>
        </w:rPr>
        <w:t>הנעשה</w:t>
      </w:r>
      <w:r w:rsidRPr="003A0EFC">
        <w:rPr>
          <w:rFonts w:ascii="FrankRuehl" w:hAnsi="FrankRuehl" w:cs="FrankRuehl"/>
          <w:sz w:val="24"/>
          <w:szCs w:val="24"/>
          <w:rtl/>
        </w:rPr>
        <w:t xml:space="preserve"> </w:t>
      </w:r>
      <w:r w:rsidRPr="003A0EFC">
        <w:rPr>
          <w:rFonts w:ascii="FrankRuehl" w:hAnsi="FrankRuehl" w:cs="FrankRuehl" w:hint="cs"/>
          <w:sz w:val="24"/>
          <w:szCs w:val="24"/>
          <w:rtl/>
        </w:rPr>
        <w:t>בחוץ</w:t>
      </w:r>
      <w:r w:rsidRPr="003A0EFC">
        <w:rPr>
          <w:rFonts w:ascii="FrankRuehl" w:hAnsi="FrankRuehl" w:cs="FrankRuehl"/>
          <w:sz w:val="24"/>
          <w:szCs w:val="24"/>
          <w:rtl/>
        </w:rPr>
        <w:t xml:space="preserve"> </w:t>
      </w:r>
      <w:r w:rsidRPr="003A0EFC">
        <w:rPr>
          <w:rFonts w:ascii="FrankRuehl" w:hAnsi="FrankRuehl" w:cs="FrankRuehl" w:hint="cs"/>
          <w:sz w:val="24"/>
          <w:szCs w:val="24"/>
          <w:rtl/>
        </w:rPr>
        <w:t>והיינו</w:t>
      </w:r>
      <w:r w:rsidRPr="003A0EFC">
        <w:rPr>
          <w:rFonts w:ascii="FrankRuehl" w:hAnsi="FrankRuehl" w:cs="FrankRuehl"/>
          <w:sz w:val="24"/>
          <w:szCs w:val="24"/>
          <w:rtl/>
        </w:rPr>
        <w:t xml:space="preserve"> </w:t>
      </w:r>
      <w:r w:rsidRPr="003A0EFC">
        <w:rPr>
          <w:rFonts w:ascii="FrankRuehl" w:hAnsi="FrankRuehl" w:cs="FrankRuehl" w:hint="cs"/>
          <w:sz w:val="24"/>
          <w:szCs w:val="24"/>
          <w:rtl/>
        </w:rPr>
        <w:t>ששעיר</w:t>
      </w:r>
      <w:r w:rsidRPr="003A0EFC">
        <w:rPr>
          <w:rFonts w:ascii="FrankRuehl" w:hAnsi="FrankRuehl" w:cs="FrankRuehl"/>
          <w:sz w:val="24"/>
          <w:szCs w:val="24"/>
          <w:rtl/>
        </w:rPr>
        <w:t xml:space="preserve"> </w:t>
      </w:r>
      <w:r w:rsidRPr="003A0EFC">
        <w:rPr>
          <w:rFonts w:ascii="FrankRuehl" w:hAnsi="FrankRuehl" w:cs="FrankRuehl" w:hint="cs"/>
          <w:sz w:val="24"/>
          <w:szCs w:val="24"/>
          <w:rtl/>
        </w:rPr>
        <w:t>המשתלח</w:t>
      </w:r>
      <w:r w:rsidRPr="003A0EFC">
        <w:rPr>
          <w:rFonts w:ascii="FrankRuehl" w:hAnsi="FrankRuehl" w:cs="FrankRuehl"/>
          <w:sz w:val="24"/>
          <w:szCs w:val="24"/>
          <w:rtl/>
        </w:rPr>
        <w:t xml:space="preserve"> </w:t>
      </w:r>
      <w:r w:rsidRPr="003A0EFC">
        <w:rPr>
          <w:rFonts w:ascii="FrankRuehl" w:hAnsi="FrankRuehl" w:cs="FrankRuehl" w:hint="cs"/>
          <w:sz w:val="24"/>
          <w:szCs w:val="24"/>
          <w:rtl/>
        </w:rPr>
        <w:t>הוא</w:t>
      </w:r>
      <w:r w:rsidRPr="003A0EFC">
        <w:rPr>
          <w:rFonts w:ascii="FrankRuehl" w:hAnsi="FrankRuehl" w:cs="FrankRuehl"/>
          <w:sz w:val="24"/>
          <w:szCs w:val="24"/>
          <w:rtl/>
        </w:rPr>
        <w:t xml:space="preserve"> </w:t>
      </w:r>
      <w:r w:rsidRPr="003A0EFC">
        <w:rPr>
          <w:rFonts w:ascii="FrankRuehl" w:hAnsi="FrankRuehl" w:cs="FrankRuehl" w:hint="cs"/>
          <w:sz w:val="24"/>
          <w:szCs w:val="24"/>
          <w:rtl/>
        </w:rPr>
        <w:t>גם</w:t>
      </w:r>
      <w:r w:rsidRPr="003A0EFC">
        <w:rPr>
          <w:rFonts w:ascii="FrankRuehl" w:hAnsi="FrankRuehl" w:cs="FrankRuehl"/>
          <w:sz w:val="24"/>
          <w:szCs w:val="24"/>
          <w:rtl/>
        </w:rPr>
        <w:t xml:space="preserve"> </w:t>
      </w:r>
      <w:r w:rsidRPr="003A0EFC">
        <w:rPr>
          <w:rFonts w:ascii="FrankRuehl" w:hAnsi="FrankRuehl" w:cs="FrankRuehl" w:hint="cs"/>
          <w:sz w:val="24"/>
          <w:szCs w:val="24"/>
          <w:rtl/>
        </w:rPr>
        <w:t>קרבן</w:t>
      </w:r>
      <w:r w:rsidRPr="003A0EFC">
        <w:rPr>
          <w:rFonts w:ascii="FrankRuehl" w:hAnsi="FrankRuehl" w:cs="FrankRuehl"/>
          <w:sz w:val="24"/>
          <w:szCs w:val="24"/>
          <w:rtl/>
        </w:rPr>
        <w:t xml:space="preserve"> </w:t>
      </w:r>
      <w:r w:rsidRPr="003A0EFC">
        <w:rPr>
          <w:rFonts w:ascii="FrankRuehl" w:hAnsi="FrankRuehl" w:cs="FrankRuehl" w:hint="cs"/>
          <w:sz w:val="24"/>
          <w:szCs w:val="24"/>
          <w:rtl/>
        </w:rPr>
        <w:t>הנעשה</w:t>
      </w:r>
      <w:r w:rsidRPr="003A0EFC">
        <w:rPr>
          <w:rFonts w:ascii="FrankRuehl" w:hAnsi="FrankRuehl" w:cs="FrankRuehl"/>
          <w:sz w:val="24"/>
          <w:szCs w:val="24"/>
          <w:rtl/>
        </w:rPr>
        <w:t xml:space="preserve"> </w:t>
      </w:r>
      <w:r w:rsidRPr="003A0EFC">
        <w:rPr>
          <w:rFonts w:ascii="FrankRuehl" w:hAnsi="FrankRuehl" w:cs="FrankRuehl" w:hint="cs"/>
          <w:sz w:val="24"/>
          <w:szCs w:val="24"/>
          <w:rtl/>
        </w:rPr>
        <w:t>בפנים</w:t>
      </w:r>
      <w:r w:rsidRPr="003A0EFC">
        <w:rPr>
          <w:rFonts w:ascii="FrankRuehl" w:hAnsi="FrankRuehl" w:cs="FrankRuehl"/>
          <w:sz w:val="24"/>
          <w:szCs w:val="24"/>
          <w:rtl/>
        </w:rPr>
        <w:t xml:space="preserve"> </w:t>
      </w:r>
      <w:r w:rsidRPr="003A0EFC">
        <w:rPr>
          <w:rFonts w:ascii="FrankRuehl" w:hAnsi="FrankRuehl" w:cs="FrankRuehl" w:hint="cs"/>
          <w:sz w:val="24"/>
          <w:szCs w:val="24"/>
          <w:rtl/>
        </w:rPr>
        <w:t>שהרי</w:t>
      </w:r>
      <w:r w:rsidRPr="003A0EFC">
        <w:rPr>
          <w:rFonts w:ascii="FrankRuehl" w:hAnsi="FrankRuehl" w:cs="FrankRuehl"/>
          <w:sz w:val="24"/>
          <w:szCs w:val="24"/>
          <w:rtl/>
        </w:rPr>
        <w:t xml:space="preserve"> </w:t>
      </w:r>
      <w:r w:rsidRPr="003A0EFC">
        <w:rPr>
          <w:rFonts w:ascii="FrankRuehl" w:hAnsi="FrankRuehl" w:cs="FrankRuehl" w:hint="cs"/>
          <w:sz w:val="24"/>
          <w:szCs w:val="24"/>
          <w:rtl/>
        </w:rPr>
        <w:t>הוא</w:t>
      </w:r>
      <w:r w:rsidRPr="003A0EFC">
        <w:rPr>
          <w:rFonts w:ascii="FrankRuehl" w:hAnsi="FrankRuehl" w:cs="FrankRuehl"/>
          <w:sz w:val="24"/>
          <w:szCs w:val="24"/>
          <w:rtl/>
        </w:rPr>
        <w:t xml:space="preserve"> </w:t>
      </w:r>
      <w:r w:rsidRPr="003A0EFC">
        <w:rPr>
          <w:rFonts w:ascii="FrankRuehl" w:hAnsi="FrankRuehl" w:cs="FrankRuehl" w:hint="cs"/>
          <w:sz w:val="24"/>
          <w:szCs w:val="24"/>
          <w:rtl/>
        </w:rPr>
        <w:t>מכפר</w:t>
      </w:r>
      <w:r w:rsidRPr="003A0EFC">
        <w:rPr>
          <w:rFonts w:ascii="FrankRuehl" w:hAnsi="FrankRuehl" w:cs="FrankRuehl"/>
          <w:sz w:val="24"/>
          <w:szCs w:val="24"/>
          <w:rtl/>
        </w:rPr>
        <w:t xml:space="preserve"> </w:t>
      </w:r>
      <w:r w:rsidRPr="003A0EFC">
        <w:rPr>
          <w:rFonts w:ascii="FrankRuehl" w:hAnsi="FrankRuehl" w:cs="FrankRuehl" w:hint="cs"/>
          <w:sz w:val="24"/>
          <w:szCs w:val="24"/>
          <w:rtl/>
        </w:rPr>
        <w:t>בוידוי</w:t>
      </w:r>
      <w:r w:rsidRPr="003A0EFC">
        <w:rPr>
          <w:rFonts w:ascii="FrankRuehl" w:hAnsi="FrankRuehl" w:cs="FrankRuehl"/>
          <w:sz w:val="24"/>
          <w:szCs w:val="24"/>
          <w:rtl/>
        </w:rPr>
        <w:t xml:space="preserve"> </w:t>
      </w:r>
      <w:r w:rsidRPr="003A0EFC">
        <w:rPr>
          <w:rFonts w:ascii="FrankRuehl" w:hAnsi="FrankRuehl" w:cs="FrankRuehl" w:hint="cs"/>
          <w:sz w:val="24"/>
          <w:szCs w:val="24"/>
          <w:rtl/>
        </w:rPr>
        <w:t>שהוא</w:t>
      </w:r>
      <w:r w:rsidRPr="003A0EFC">
        <w:rPr>
          <w:rFonts w:ascii="FrankRuehl" w:hAnsi="FrankRuehl" w:cs="FrankRuehl"/>
          <w:sz w:val="24"/>
          <w:szCs w:val="24"/>
          <w:rtl/>
        </w:rPr>
        <w:t xml:space="preserve"> </w:t>
      </w:r>
      <w:r w:rsidRPr="003A0EFC">
        <w:rPr>
          <w:rFonts w:ascii="FrankRuehl" w:hAnsi="FrankRuehl" w:cs="FrankRuehl" w:hint="cs"/>
          <w:sz w:val="24"/>
          <w:szCs w:val="24"/>
          <w:rtl/>
        </w:rPr>
        <w:t>בפנים</w:t>
      </w:r>
      <w:r w:rsidRPr="003A0EFC">
        <w:rPr>
          <w:rFonts w:ascii="FrankRuehl" w:hAnsi="FrankRuehl" w:cs="FrankRuehl"/>
          <w:sz w:val="24"/>
          <w:szCs w:val="24"/>
          <w:rtl/>
        </w:rPr>
        <w:t xml:space="preserve"> </w:t>
      </w:r>
      <w:r w:rsidRPr="003A0EFC">
        <w:rPr>
          <w:rFonts w:ascii="FrankRuehl" w:hAnsi="FrankRuehl" w:cs="FrankRuehl" w:hint="cs"/>
          <w:sz w:val="24"/>
          <w:szCs w:val="24"/>
          <w:rtl/>
        </w:rPr>
        <w:t>והוא</w:t>
      </w:r>
      <w:r w:rsidRPr="003A0EFC">
        <w:rPr>
          <w:rFonts w:ascii="FrankRuehl" w:hAnsi="FrankRuehl" w:cs="FrankRuehl"/>
          <w:sz w:val="24"/>
          <w:szCs w:val="24"/>
          <w:rtl/>
        </w:rPr>
        <w:t xml:space="preserve"> </w:t>
      </w:r>
      <w:r w:rsidRPr="003A0EFC">
        <w:rPr>
          <w:rFonts w:ascii="FrankRuehl" w:hAnsi="FrankRuehl" w:cs="FrankRuehl" w:hint="cs"/>
          <w:sz w:val="24"/>
          <w:szCs w:val="24"/>
          <w:rtl/>
        </w:rPr>
        <w:t>גם</w:t>
      </w:r>
      <w:r w:rsidRPr="003A0EFC">
        <w:rPr>
          <w:rFonts w:ascii="FrankRuehl" w:hAnsi="FrankRuehl" w:cs="FrankRuehl"/>
          <w:sz w:val="24"/>
          <w:szCs w:val="24"/>
          <w:rtl/>
        </w:rPr>
        <w:t xml:space="preserve"> </w:t>
      </w:r>
      <w:r w:rsidRPr="003A0EFC">
        <w:rPr>
          <w:rFonts w:ascii="FrankRuehl" w:hAnsi="FrankRuehl" w:cs="FrankRuehl" w:hint="cs"/>
          <w:sz w:val="24"/>
          <w:szCs w:val="24"/>
          <w:rtl/>
        </w:rPr>
        <w:t>קרבן</w:t>
      </w:r>
      <w:r w:rsidRPr="003A0EFC">
        <w:rPr>
          <w:rFonts w:ascii="FrankRuehl" w:hAnsi="FrankRuehl" w:cs="FrankRuehl"/>
          <w:sz w:val="24"/>
          <w:szCs w:val="24"/>
          <w:rtl/>
        </w:rPr>
        <w:t xml:space="preserve"> </w:t>
      </w:r>
      <w:r w:rsidRPr="003A0EFC">
        <w:rPr>
          <w:rFonts w:ascii="FrankRuehl" w:hAnsi="FrankRuehl" w:cs="FrankRuehl" w:hint="cs"/>
          <w:sz w:val="24"/>
          <w:szCs w:val="24"/>
          <w:rtl/>
        </w:rPr>
        <w:t>הנעשה</w:t>
      </w:r>
      <w:r w:rsidRPr="003A0EFC">
        <w:rPr>
          <w:rFonts w:ascii="FrankRuehl" w:hAnsi="FrankRuehl" w:cs="FrankRuehl"/>
          <w:sz w:val="24"/>
          <w:szCs w:val="24"/>
          <w:rtl/>
        </w:rPr>
        <w:t xml:space="preserve"> </w:t>
      </w:r>
      <w:r w:rsidRPr="003A0EFC">
        <w:rPr>
          <w:rFonts w:ascii="FrankRuehl" w:hAnsi="FrankRuehl" w:cs="FrankRuehl" w:hint="cs"/>
          <w:sz w:val="24"/>
          <w:szCs w:val="24"/>
          <w:rtl/>
        </w:rPr>
        <w:t>בחוץ</w:t>
      </w:r>
      <w:r w:rsidRPr="003A0EFC">
        <w:rPr>
          <w:rFonts w:ascii="FrankRuehl" w:hAnsi="FrankRuehl" w:cs="FrankRuehl"/>
          <w:sz w:val="24"/>
          <w:szCs w:val="24"/>
          <w:rtl/>
        </w:rPr>
        <w:t xml:space="preserve"> </w:t>
      </w:r>
      <w:r w:rsidRPr="003A0EFC">
        <w:rPr>
          <w:rFonts w:ascii="FrankRuehl" w:hAnsi="FrankRuehl" w:cs="FrankRuehl" w:hint="cs"/>
          <w:sz w:val="24"/>
          <w:szCs w:val="24"/>
          <w:rtl/>
        </w:rPr>
        <w:t>שהרי</w:t>
      </w:r>
      <w:r w:rsidRPr="003A0EFC">
        <w:rPr>
          <w:rFonts w:ascii="FrankRuehl" w:hAnsi="FrankRuehl" w:cs="FrankRuehl"/>
          <w:sz w:val="24"/>
          <w:szCs w:val="24"/>
          <w:rtl/>
        </w:rPr>
        <w:t xml:space="preserve"> </w:t>
      </w:r>
      <w:r w:rsidRPr="003A0EFC">
        <w:rPr>
          <w:rFonts w:ascii="FrankRuehl" w:hAnsi="FrankRuehl" w:cs="FrankRuehl" w:hint="cs"/>
          <w:sz w:val="24"/>
          <w:szCs w:val="24"/>
          <w:rtl/>
        </w:rPr>
        <w:t>הוא</w:t>
      </w:r>
      <w:r w:rsidRPr="003A0EFC">
        <w:rPr>
          <w:rFonts w:ascii="FrankRuehl" w:hAnsi="FrankRuehl" w:cs="FrankRuehl"/>
          <w:sz w:val="24"/>
          <w:szCs w:val="24"/>
          <w:rtl/>
        </w:rPr>
        <w:t xml:space="preserve"> </w:t>
      </w:r>
      <w:r w:rsidRPr="003A0EFC">
        <w:rPr>
          <w:rFonts w:ascii="FrankRuehl" w:hAnsi="FrankRuehl" w:cs="FrankRuehl" w:hint="cs"/>
          <w:sz w:val="24"/>
          <w:szCs w:val="24"/>
          <w:rtl/>
        </w:rPr>
        <w:t>מכפר</w:t>
      </w:r>
      <w:r w:rsidRPr="003A0EFC">
        <w:rPr>
          <w:rFonts w:ascii="FrankRuehl" w:hAnsi="FrankRuehl" w:cs="FrankRuehl"/>
          <w:sz w:val="24"/>
          <w:szCs w:val="24"/>
          <w:rtl/>
        </w:rPr>
        <w:t xml:space="preserve"> </w:t>
      </w:r>
      <w:r w:rsidRPr="003A0EFC">
        <w:rPr>
          <w:rFonts w:ascii="FrankRuehl" w:hAnsi="FrankRuehl" w:cs="FrankRuehl" w:hint="cs"/>
          <w:sz w:val="24"/>
          <w:szCs w:val="24"/>
          <w:rtl/>
        </w:rPr>
        <w:t>גם</w:t>
      </w:r>
      <w:r w:rsidRPr="003A0EFC">
        <w:rPr>
          <w:rFonts w:ascii="FrankRuehl" w:hAnsi="FrankRuehl" w:cs="FrankRuehl"/>
          <w:sz w:val="24"/>
          <w:szCs w:val="24"/>
          <w:rtl/>
        </w:rPr>
        <w:t xml:space="preserve"> </w:t>
      </w:r>
      <w:r w:rsidRPr="003A0EFC">
        <w:rPr>
          <w:rFonts w:ascii="FrankRuehl" w:hAnsi="FrankRuehl" w:cs="FrankRuehl" w:hint="cs"/>
          <w:sz w:val="24"/>
          <w:szCs w:val="24"/>
          <w:rtl/>
        </w:rPr>
        <w:t>בשילוח</w:t>
      </w:r>
      <w:r w:rsidRPr="003A0EFC">
        <w:rPr>
          <w:rFonts w:ascii="FrankRuehl" w:hAnsi="FrankRuehl" w:cs="FrankRuehl"/>
          <w:sz w:val="24"/>
          <w:szCs w:val="24"/>
          <w:rtl/>
        </w:rPr>
        <w:t xml:space="preserve"> </w:t>
      </w:r>
      <w:r w:rsidRPr="003A0EFC">
        <w:rPr>
          <w:rFonts w:ascii="FrankRuehl" w:hAnsi="FrankRuehl" w:cs="FrankRuehl" w:hint="cs"/>
          <w:sz w:val="24"/>
          <w:szCs w:val="24"/>
          <w:rtl/>
        </w:rPr>
        <w:t>השעיר</w:t>
      </w:r>
      <w:r w:rsidRPr="003A0EFC">
        <w:rPr>
          <w:rFonts w:ascii="FrankRuehl" w:hAnsi="FrankRuehl" w:cs="FrankRuehl"/>
          <w:sz w:val="24"/>
          <w:szCs w:val="24"/>
          <w:rtl/>
        </w:rPr>
        <w:t xml:space="preserve"> </w:t>
      </w:r>
      <w:r w:rsidRPr="003A0EFC">
        <w:rPr>
          <w:rFonts w:ascii="FrankRuehl" w:hAnsi="FrankRuehl" w:cs="FrankRuehl" w:hint="cs"/>
          <w:sz w:val="24"/>
          <w:szCs w:val="24"/>
          <w:rtl/>
        </w:rPr>
        <w:t>שהוא</w:t>
      </w:r>
      <w:r w:rsidRPr="003A0EFC">
        <w:rPr>
          <w:rFonts w:ascii="FrankRuehl" w:hAnsi="FrankRuehl" w:cs="FrankRuehl"/>
          <w:sz w:val="24"/>
          <w:szCs w:val="24"/>
          <w:rtl/>
        </w:rPr>
        <w:t xml:space="preserve"> </w:t>
      </w:r>
      <w:r w:rsidRPr="003A0EFC">
        <w:rPr>
          <w:rFonts w:ascii="FrankRuehl" w:hAnsi="FrankRuehl" w:cs="FrankRuehl" w:hint="cs"/>
          <w:sz w:val="24"/>
          <w:szCs w:val="24"/>
          <w:rtl/>
        </w:rPr>
        <w:t>בחוץ</w:t>
      </w:r>
      <w:r w:rsidRPr="003A0EFC">
        <w:rPr>
          <w:rFonts w:ascii="FrankRuehl" w:hAnsi="FrankRuehl" w:cs="FrankRuehl"/>
          <w:sz w:val="24"/>
          <w:szCs w:val="24"/>
          <w:rtl/>
        </w:rPr>
        <w:t xml:space="preserve"> </w:t>
      </w:r>
      <w:r w:rsidRPr="003A0EFC">
        <w:rPr>
          <w:rFonts w:ascii="FrankRuehl" w:hAnsi="FrankRuehl" w:cs="FrankRuehl" w:hint="cs"/>
          <w:sz w:val="24"/>
          <w:szCs w:val="24"/>
          <w:rtl/>
        </w:rPr>
        <w:t>ושילוחו</w:t>
      </w:r>
      <w:r w:rsidRPr="003A0EFC">
        <w:rPr>
          <w:rFonts w:ascii="FrankRuehl" w:hAnsi="FrankRuehl" w:cs="FrankRuehl"/>
          <w:sz w:val="24"/>
          <w:szCs w:val="24"/>
          <w:rtl/>
        </w:rPr>
        <w:t xml:space="preserve"> </w:t>
      </w:r>
      <w:r w:rsidRPr="003A0EFC">
        <w:rPr>
          <w:rFonts w:ascii="FrankRuehl" w:hAnsi="FrankRuehl" w:cs="FrankRuehl" w:hint="cs"/>
          <w:sz w:val="24"/>
          <w:szCs w:val="24"/>
          <w:rtl/>
        </w:rPr>
        <w:t>קרי</w:t>
      </w:r>
      <w:r w:rsidRPr="003A0EFC">
        <w:rPr>
          <w:rFonts w:ascii="FrankRuehl" w:hAnsi="FrankRuehl" w:cs="FrankRuehl"/>
          <w:sz w:val="24"/>
          <w:szCs w:val="24"/>
          <w:rtl/>
        </w:rPr>
        <w:t xml:space="preserve"> </w:t>
      </w:r>
      <w:r w:rsidRPr="003A0EFC">
        <w:rPr>
          <w:rFonts w:ascii="FrankRuehl" w:hAnsi="FrankRuehl" w:cs="FrankRuehl" w:hint="cs"/>
          <w:sz w:val="24"/>
          <w:szCs w:val="24"/>
          <w:rtl/>
        </w:rPr>
        <w:t>קרבן.</w:t>
      </w:r>
    </w:p>
    <w:p w:rsidR="00C26E1A" w:rsidRDefault="00C26E1A" w:rsidP="00C26E1A">
      <w:pPr>
        <w:spacing w:line="276" w:lineRule="auto"/>
        <w:rPr>
          <w:rFonts w:ascii="FrankRuehl" w:hAnsi="FrankRuehl" w:cs="FrankRuehl"/>
          <w:sz w:val="24"/>
          <w:szCs w:val="24"/>
          <w:rtl/>
        </w:rPr>
      </w:pPr>
    </w:p>
    <w:p w:rsidR="00782FFD" w:rsidRDefault="00782FFD" w:rsidP="00C26E1A">
      <w:pPr>
        <w:spacing w:line="276" w:lineRule="auto"/>
        <w:rPr>
          <w:sz w:val="24"/>
          <w:szCs w:val="24"/>
          <w:rtl/>
        </w:rPr>
      </w:pPr>
    </w:p>
    <w:p w:rsidR="00C26E1A" w:rsidRDefault="00C26E1A" w:rsidP="00C26E1A">
      <w:pPr>
        <w:spacing w:line="276" w:lineRule="auto"/>
        <w:rPr>
          <w:sz w:val="24"/>
          <w:szCs w:val="24"/>
          <w:rtl/>
        </w:rPr>
      </w:pPr>
      <w:r>
        <w:rPr>
          <w:rFonts w:hint="cs"/>
          <w:sz w:val="24"/>
          <w:szCs w:val="24"/>
          <w:rtl/>
        </w:rPr>
        <w:t>נאמר בתורה:</w:t>
      </w:r>
    </w:p>
    <w:p w:rsidR="00C26E1A" w:rsidRDefault="00C26E1A" w:rsidP="00C26E1A">
      <w:pPr>
        <w:spacing w:line="276" w:lineRule="auto"/>
        <w:ind w:left="720"/>
        <w:rPr>
          <w:sz w:val="24"/>
          <w:szCs w:val="24"/>
          <w:rtl/>
        </w:rPr>
      </w:pPr>
      <w:r w:rsidRPr="001F7269">
        <w:rPr>
          <w:sz w:val="24"/>
          <w:szCs w:val="24"/>
          <w:rtl/>
        </w:rPr>
        <w:t>ומאת עדת בני ישראל יקח שני שעירי עזים לחטאת ואיל אחד לעלה</w:t>
      </w:r>
      <w:r>
        <w:rPr>
          <w:rFonts w:hint="cs"/>
          <w:sz w:val="24"/>
          <w:szCs w:val="24"/>
          <w:rtl/>
        </w:rPr>
        <w:t>.</w:t>
      </w:r>
      <w:r w:rsidRPr="001F7269">
        <w:rPr>
          <w:sz w:val="24"/>
          <w:szCs w:val="24"/>
          <w:rtl/>
        </w:rPr>
        <w:t xml:space="preserve"> והקריב אהרן את פר החטאת אשר לו</w:t>
      </w:r>
      <w:r>
        <w:rPr>
          <w:rFonts w:hint="cs"/>
          <w:sz w:val="24"/>
          <w:szCs w:val="24"/>
          <w:rtl/>
        </w:rPr>
        <w:t>,</w:t>
      </w:r>
      <w:r w:rsidRPr="001F7269">
        <w:rPr>
          <w:sz w:val="24"/>
          <w:szCs w:val="24"/>
          <w:rtl/>
        </w:rPr>
        <w:t xml:space="preserve"> וכפר בעדו ובעד ביתו</w:t>
      </w:r>
      <w:r>
        <w:rPr>
          <w:rFonts w:hint="cs"/>
          <w:sz w:val="24"/>
          <w:szCs w:val="24"/>
          <w:rtl/>
        </w:rPr>
        <w:t>.</w:t>
      </w:r>
      <w:r w:rsidRPr="001F7269">
        <w:rPr>
          <w:sz w:val="24"/>
          <w:szCs w:val="24"/>
          <w:rtl/>
        </w:rPr>
        <w:t xml:space="preserve"> ולקח את שני השעירם</w:t>
      </w:r>
      <w:r>
        <w:rPr>
          <w:rFonts w:hint="cs"/>
          <w:sz w:val="24"/>
          <w:szCs w:val="24"/>
          <w:rtl/>
        </w:rPr>
        <w:t>,</w:t>
      </w:r>
      <w:r w:rsidRPr="001F7269">
        <w:rPr>
          <w:sz w:val="24"/>
          <w:szCs w:val="24"/>
          <w:rtl/>
        </w:rPr>
        <w:t xml:space="preserve"> והעמיד אתם לפני </w:t>
      </w:r>
      <w:r>
        <w:rPr>
          <w:rFonts w:hint="cs"/>
          <w:sz w:val="24"/>
          <w:szCs w:val="24"/>
          <w:rtl/>
        </w:rPr>
        <w:t>ה'</w:t>
      </w:r>
      <w:r w:rsidRPr="001F7269">
        <w:rPr>
          <w:sz w:val="24"/>
          <w:szCs w:val="24"/>
          <w:rtl/>
        </w:rPr>
        <w:t xml:space="preserve"> פתח אהל מועד: ונתן אהרן על שני השעירם גרלות</w:t>
      </w:r>
      <w:r>
        <w:rPr>
          <w:rFonts w:hint="cs"/>
          <w:sz w:val="24"/>
          <w:szCs w:val="24"/>
          <w:rtl/>
        </w:rPr>
        <w:t>,</w:t>
      </w:r>
      <w:r w:rsidRPr="001F7269">
        <w:rPr>
          <w:sz w:val="24"/>
          <w:szCs w:val="24"/>
          <w:rtl/>
        </w:rPr>
        <w:t xml:space="preserve"> גורל אחד </w:t>
      </w:r>
      <w:r>
        <w:rPr>
          <w:rFonts w:hint="cs"/>
          <w:sz w:val="24"/>
          <w:szCs w:val="24"/>
          <w:rtl/>
        </w:rPr>
        <w:t>לה'</w:t>
      </w:r>
      <w:r w:rsidRPr="001F7269">
        <w:rPr>
          <w:sz w:val="24"/>
          <w:szCs w:val="24"/>
          <w:rtl/>
        </w:rPr>
        <w:t xml:space="preserve"> וגורל אחד לעזאזל</w:t>
      </w:r>
      <w:r>
        <w:rPr>
          <w:rFonts w:hint="cs"/>
          <w:sz w:val="24"/>
          <w:szCs w:val="24"/>
          <w:rtl/>
        </w:rPr>
        <w:t>.</w:t>
      </w:r>
      <w:r w:rsidRPr="001F7269">
        <w:rPr>
          <w:sz w:val="24"/>
          <w:szCs w:val="24"/>
          <w:rtl/>
        </w:rPr>
        <w:t xml:space="preserve"> והקריב אהרן את השעיר אשר עלה עליו הגורל </w:t>
      </w:r>
      <w:r>
        <w:rPr>
          <w:rFonts w:hint="cs"/>
          <w:sz w:val="24"/>
          <w:szCs w:val="24"/>
          <w:rtl/>
        </w:rPr>
        <w:t>לה',</w:t>
      </w:r>
      <w:r w:rsidRPr="001F7269">
        <w:rPr>
          <w:sz w:val="24"/>
          <w:szCs w:val="24"/>
          <w:rtl/>
        </w:rPr>
        <w:t xml:space="preserve"> ועשהו חטאת</w:t>
      </w:r>
      <w:r>
        <w:rPr>
          <w:rFonts w:hint="cs"/>
          <w:sz w:val="24"/>
          <w:szCs w:val="24"/>
          <w:rtl/>
        </w:rPr>
        <w:t>.</w:t>
      </w:r>
      <w:r w:rsidRPr="001F7269">
        <w:rPr>
          <w:sz w:val="24"/>
          <w:szCs w:val="24"/>
          <w:rtl/>
        </w:rPr>
        <w:t xml:space="preserve"> והשעיר אשר עלה עליו הגורל לעזאזל יעמד חי לפני </w:t>
      </w:r>
      <w:r>
        <w:rPr>
          <w:rFonts w:hint="cs"/>
          <w:sz w:val="24"/>
          <w:szCs w:val="24"/>
          <w:rtl/>
        </w:rPr>
        <w:t>ה'</w:t>
      </w:r>
      <w:r w:rsidRPr="001F7269">
        <w:rPr>
          <w:sz w:val="24"/>
          <w:szCs w:val="24"/>
          <w:rtl/>
        </w:rPr>
        <w:t xml:space="preserve"> לכפר עליו</w:t>
      </w:r>
      <w:r>
        <w:rPr>
          <w:rFonts w:hint="cs"/>
          <w:sz w:val="24"/>
          <w:szCs w:val="24"/>
          <w:rtl/>
        </w:rPr>
        <w:t>,</w:t>
      </w:r>
      <w:r w:rsidRPr="001F7269">
        <w:rPr>
          <w:sz w:val="24"/>
          <w:szCs w:val="24"/>
          <w:rtl/>
        </w:rPr>
        <w:t xml:space="preserve"> לשלח אתו לעזאזל המדברה</w:t>
      </w:r>
      <w:r>
        <w:rPr>
          <w:rFonts w:hint="cs"/>
          <w:sz w:val="24"/>
          <w:szCs w:val="24"/>
          <w:rtl/>
        </w:rPr>
        <w:t>.</w:t>
      </w:r>
    </w:p>
    <w:p w:rsidR="00C26E1A" w:rsidRPr="001F7269" w:rsidRDefault="00C26E1A" w:rsidP="00C26E1A">
      <w:pPr>
        <w:spacing w:line="276" w:lineRule="auto"/>
        <w:jc w:val="right"/>
        <w:rPr>
          <w:sz w:val="20"/>
          <w:szCs w:val="20"/>
          <w:rtl/>
        </w:rPr>
      </w:pPr>
      <w:r>
        <w:rPr>
          <w:rFonts w:hint="cs"/>
          <w:sz w:val="20"/>
          <w:szCs w:val="20"/>
          <w:rtl/>
        </w:rPr>
        <w:t>[ויקרא טז ה-יא]</w:t>
      </w:r>
    </w:p>
    <w:p w:rsidR="00C26E1A" w:rsidRDefault="00C26E1A" w:rsidP="00C26E1A">
      <w:pPr>
        <w:spacing w:line="276" w:lineRule="auto"/>
        <w:rPr>
          <w:sz w:val="24"/>
          <w:szCs w:val="24"/>
          <w:rtl/>
        </w:rPr>
      </w:pPr>
      <w:r>
        <w:rPr>
          <w:rFonts w:hint="cs"/>
          <w:sz w:val="24"/>
          <w:szCs w:val="24"/>
          <w:rtl/>
        </w:rPr>
        <w:t>מן הפסוקים עולה שכחלק מעבודת הכהן הגדול ביום הכיפורים עליו לקחת שני שעירים 'לחטאת'. ברם, מהמשך הפרשייה עולה שבעוד השעיר האחד מוקרב לה' כ'חטאת', השעיר השני משולח לעזאזל. הנצי"ב בפירושו לתורה עמד על הפער העולה מבין שני חלקי הפרשייה:</w:t>
      </w:r>
    </w:p>
    <w:p w:rsidR="00C26E1A" w:rsidRDefault="00C26E1A" w:rsidP="00C26E1A">
      <w:pPr>
        <w:spacing w:line="276" w:lineRule="auto"/>
        <w:ind w:left="720"/>
        <w:rPr>
          <w:sz w:val="24"/>
          <w:szCs w:val="24"/>
          <w:rtl/>
        </w:rPr>
      </w:pPr>
      <w:r w:rsidRPr="001F7269">
        <w:rPr>
          <w:sz w:val="24"/>
          <w:szCs w:val="24"/>
          <w:rtl/>
        </w:rPr>
        <w:t>לשם חטאת</w:t>
      </w:r>
      <w:r>
        <w:rPr>
          <w:rFonts w:hint="cs"/>
          <w:sz w:val="24"/>
          <w:szCs w:val="24"/>
          <w:rtl/>
        </w:rPr>
        <w:t xml:space="preserve"> </w:t>
      </w:r>
      <w:r>
        <w:rPr>
          <w:sz w:val="24"/>
          <w:szCs w:val="24"/>
          <w:rtl/>
        </w:rPr>
        <w:t>–</w:t>
      </w:r>
      <w:r>
        <w:rPr>
          <w:rFonts w:hint="cs"/>
          <w:sz w:val="24"/>
          <w:szCs w:val="24"/>
          <w:rtl/>
        </w:rPr>
        <w:t xml:space="preserve"> </w:t>
      </w:r>
      <w:r w:rsidRPr="001F7269">
        <w:rPr>
          <w:sz w:val="24"/>
          <w:szCs w:val="24"/>
          <w:rtl/>
        </w:rPr>
        <w:t>וגם לתכלית אחד דשניהם מכפרים חטאות, אבל לא למעשה נקראים שניהם חטאת כאשר יבואר במקרא ט</w:t>
      </w:r>
      <w:r>
        <w:rPr>
          <w:rFonts w:hint="cs"/>
          <w:sz w:val="24"/>
          <w:szCs w:val="24"/>
          <w:rtl/>
        </w:rPr>
        <w:t>.</w:t>
      </w:r>
    </w:p>
    <w:p w:rsidR="00C26E1A" w:rsidRPr="001F7269" w:rsidRDefault="00C26E1A" w:rsidP="00C26E1A">
      <w:pPr>
        <w:spacing w:line="276" w:lineRule="auto"/>
        <w:jc w:val="right"/>
        <w:rPr>
          <w:sz w:val="20"/>
          <w:szCs w:val="20"/>
          <w:rtl/>
        </w:rPr>
      </w:pPr>
      <w:r>
        <w:rPr>
          <w:rFonts w:hint="cs"/>
          <w:sz w:val="20"/>
          <w:szCs w:val="20"/>
          <w:rtl/>
        </w:rPr>
        <w:t>[העמק דבר שם ה ד"ה שני]</w:t>
      </w:r>
    </w:p>
    <w:p w:rsidR="00C26E1A" w:rsidRDefault="00C26E1A" w:rsidP="00C26E1A">
      <w:pPr>
        <w:spacing w:line="276" w:lineRule="auto"/>
        <w:rPr>
          <w:sz w:val="24"/>
          <w:szCs w:val="24"/>
          <w:rtl/>
        </w:rPr>
      </w:pPr>
      <w:r>
        <w:rPr>
          <w:rFonts w:hint="cs"/>
          <w:sz w:val="24"/>
          <w:szCs w:val="24"/>
          <w:rtl/>
        </w:rPr>
        <w:t xml:space="preserve">לדברי הנצי"ב, בעוד מטרת לקיחת שני השעירים היא הקרבת קורבן החטאת, ואולי אף אופי כפרתם של שני השעירים זהה לכפרת החטאת, למעשה, רק אחד השעירים מוגדר בפועל כשעיר לחטאת. בשיעור היום ננסה לעמוד על משמעות הקביעה לפיה גם השעיר המשתלח מוגדר כחטאת וכקורבן, ונבחן את האפשרויות השונות העולות מדברי הפרשנים, ראשונים כאחרונים, בנוגע למעמד  השעיר המשתלח כקורבן. </w:t>
      </w:r>
    </w:p>
    <w:p w:rsidR="00C26E1A" w:rsidRDefault="00C26E1A" w:rsidP="00C26E1A">
      <w:pPr>
        <w:spacing w:line="276" w:lineRule="auto"/>
        <w:rPr>
          <w:sz w:val="24"/>
          <w:szCs w:val="24"/>
          <w:rtl/>
        </w:rPr>
      </w:pPr>
      <w:r>
        <w:rPr>
          <w:rFonts w:hint="cs"/>
          <w:sz w:val="24"/>
          <w:szCs w:val="24"/>
          <w:rtl/>
        </w:rPr>
        <w:t xml:space="preserve">בשיעורים הקודמים בעניין דין שעירי יום הכיפורים הארכנו בביאור משמעות מעשה ההגרלה. בבואנו לדון במעמד השעיר המשתלח כקורבן, מסתבר שיש לראות במעשה ההגרלה מעשה מכונן אשר יפה כוחו לפצל את דיוננו לשני שלבים שונים: מעמד השעיר כקורבן לפני ההגרלה, ומעמדו כקורבן לאחריה. </w:t>
      </w:r>
    </w:p>
    <w:p w:rsidR="00C26E1A" w:rsidRDefault="00C26E1A" w:rsidP="00C26E1A">
      <w:pPr>
        <w:spacing w:line="276" w:lineRule="auto"/>
        <w:rPr>
          <w:sz w:val="24"/>
          <w:szCs w:val="24"/>
          <w:rtl/>
        </w:rPr>
      </w:pPr>
      <w:r>
        <w:rPr>
          <w:rFonts w:hint="cs"/>
          <w:sz w:val="24"/>
          <w:szCs w:val="24"/>
          <w:rtl/>
        </w:rPr>
        <w:lastRenderedPageBreak/>
        <w:t xml:space="preserve">הדיון בדבר מעמד השעיר המשתלח כקורבן, בשלב הקודם להגרלה, נסוב בעיקר סביב ביאור הדין המופיע במספר מקומות </w:t>
      </w:r>
      <w:r>
        <w:rPr>
          <w:rFonts w:hint="cs"/>
          <w:sz w:val="20"/>
          <w:szCs w:val="20"/>
          <w:rtl/>
        </w:rPr>
        <w:t>[יומא סג:; חולין יא:; תמורה ו:]</w:t>
      </w:r>
      <w:r>
        <w:rPr>
          <w:rFonts w:hint="cs"/>
          <w:sz w:val="24"/>
          <w:szCs w:val="24"/>
          <w:rtl/>
        </w:rPr>
        <w:t xml:space="preserve"> לפיו "אין הגורל קובע אלא בראוי לשם". משמעות דין זה, כפי שהיא משתקפת בסוגיות השונות, עשויה להשפיע באופן ישיר על דיוננו בדבר מעמד השעיר המשתלח.</w:t>
      </w:r>
    </w:p>
    <w:p w:rsidR="00C26E1A" w:rsidRDefault="00C26E1A" w:rsidP="00C26E1A">
      <w:pPr>
        <w:spacing w:line="276" w:lineRule="auto"/>
        <w:rPr>
          <w:sz w:val="24"/>
          <w:szCs w:val="24"/>
          <w:rtl/>
        </w:rPr>
      </w:pPr>
      <w:r>
        <w:rPr>
          <w:rFonts w:hint="cs"/>
          <w:sz w:val="24"/>
          <w:szCs w:val="24"/>
          <w:rtl/>
        </w:rPr>
        <w:t>הסוגיה במסכת תמורה עוסקת באיסור להקדיש בהמה בעלת מום לקורבן. הגמרא מציינת דרשה אשר ממנה עולה שדין זה קיים גם ביחס לשעיר המשתלח. על כך מקשה הגמרא:</w:t>
      </w:r>
    </w:p>
    <w:p w:rsidR="00C26E1A" w:rsidRDefault="00C26E1A" w:rsidP="00C26E1A">
      <w:pPr>
        <w:spacing w:line="276" w:lineRule="auto"/>
        <w:ind w:left="720"/>
        <w:rPr>
          <w:sz w:val="24"/>
          <w:szCs w:val="24"/>
          <w:rtl/>
        </w:rPr>
      </w:pPr>
      <w:r w:rsidRPr="00BD4B6D">
        <w:rPr>
          <w:sz w:val="24"/>
          <w:szCs w:val="24"/>
          <w:rtl/>
        </w:rPr>
        <w:t>טעמא דכתב קרא לה' הוא דלא מייתי שעיר המשתלח</w:t>
      </w:r>
      <w:r>
        <w:rPr>
          <w:rFonts w:hint="cs"/>
          <w:sz w:val="24"/>
          <w:szCs w:val="24"/>
          <w:rtl/>
        </w:rPr>
        <w:t>,</w:t>
      </w:r>
      <w:r w:rsidRPr="00BD4B6D">
        <w:rPr>
          <w:sz w:val="24"/>
          <w:szCs w:val="24"/>
          <w:rtl/>
        </w:rPr>
        <w:t xml:space="preserve"> הא לא רבי קרא לה' הוה אמינא שעיר המשתלח בעל מום שפיר דמי</w:t>
      </w:r>
      <w:r>
        <w:rPr>
          <w:rFonts w:hint="cs"/>
          <w:sz w:val="24"/>
          <w:szCs w:val="24"/>
          <w:rtl/>
        </w:rPr>
        <w:t>,</w:t>
      </w:r>
      <w:r w:rsidRPr="00BD4B6D">
        <w:rPr>
          <w:sz w:val="24"/>
          <w:szCs w:val="24"/>
          <w:rtl/>
        </w:rPr>
        <w:t xml:space="preserve"> מכדי אין הגורל קבוע אלא בדבר הראוי</w:t>
      </w:r>
      <w:r>
        <w:rPr>
          <w:rFonts w:hint="cs"/>
          <w:sz w:val="24"/>
          <w:szCs w:val="24"/>
          <w:rtl/>
        </w:rPr>
        <w:t>.</w:t>
      </w:r>
    </w:p>
    <w:p w:rsidR="00C26E1A" w:rsidRPr="00BD4B6D" w:rsidRDefault="00C26E1A" w:rsidP="00C26E1A">
      <w:pPr>
        <w:spacing w:line="276" w:lineRule="auto"/>
        <w:jc w:val="right"/>
        <w:rPr>
          <w:sz w:val="20"/>
          <w:szCs w:val="20"/>
          <w:rtl/>
        </w:rPr>
      </w:pPr>
      <w:r>
        <w:rPr>
          <w:rFonts w:hint="cs"/>
          <w:sz w:val="20"/>
          <w:szCs w:val="20"/>
          <w:rtl/>
        </w:rPr>
        <w:t>[תמורה ו:]</w:t>
      </w:r>
    </w:p>
    <w:p w:rsidR="00C26E1A" w:rsidRDefault="00C26E1A" w:rsidP="00C26E1A">
      <w:pPr>
        <w:spacing w:line="276" w:lineRule="auto"/>
        <w:rPr>
          <w:sz w:val="24"/>
          <w:szCs w:val="24"/>
          <w:rtl/>
        </w:rPr>
      </w:pPr>
      <w:r>
        <w:rPr>
          <w:rFonts w:hint="cs"/>
          <w:sz w:val="24"/>
          <w:szCs w:val="24"/>
          <w:rtl/>
        </w:rPr>
        <w:t>הגמרא תוהה מדוע יש צורך בלימוד מיוחד לכך שקיים איסור להקדיש לשעיר המשתלח שעיר בעל מום, שכן לכאורה ניתן ללמוד זאת מהכלל לפיו הגורל קובע את השעירים רק כאשר שני השעירים ראויים להיקרב כקורבן לה'! על כך עונה רבא:</w:t>
      </w:r>
    </w:p>
    <w:p w:rsidR="00C26E1A" w:rsidRDefault="00C26E1A" w:rsidP="00C26E1A">
      <w:pPr>
        <w:spacing w:line="276" w:lineRule="auto"/>
        <w:ind w:left="720"/>
        <w:rPr>
          <w:sz w:val="24"/>
          <w:szCs w:val="24"/>
          <w:rtl/>
        </w:rPr>
      </w:pPr>
      <w:r w:rsidRPr="00BD4B6D">
        <w:rPr>
          <w:sz w:val="24"/>
          <w:szCs w:val="24"/>
          <w:rtl/>
        </w:rPr>
        <w:t>רבא אמר</w:t>
      </w:r>
      <w:r>
        <w:rPr>
          <w:rFonts w:hint="cs"/>
          <w:sz w:val="24"/>
          <w:szCs w:val="24"/>
          <w:rtl/>
        </w:rPr>
        <w:t>:</w:t>
      </w:r>
      <w:r w:rsidRPr="00BD4B6D">
        <w:rPr>
          <w:sz w:val="24"/>
          <w:szCs w:val="24"/>
          <w:rtl/>
        </w:rPr>
        <w:t xml:space="preserve"> לא נצרכא כגון שהומם בו ביום וחיללו על חבירו</w:t>
      </w:r>
      <w:r>
        <w:rPr>
          <w:rFonts w:hint="cs"/>
          <w:sz w:val="24"/>
          <w:szCs w:val="24"/>
          <w:rtl/>
        </w:rPr>
        <w:t>. סלקא דעתך</w:t>
      </w:r>
      <w:r w:rsidRPr="00BD4B6D">
        <w:rPr>
          <w:sz w:val="24"/>
          <w:szCs w:val="24"/>
          <w:rtl/>
        </w:rPr>
        <w:t xml:space="preserve"> אמינא</w:t>
      </w:r>
      <w:r>
        <w:rPr>
          <w:rFonts w:hint="cs"/>
          <w:sz w:val="24"/>
          <w:szCs w:val="24"/>
          <w:rtl/>
        </w:rPr>
        <w:t>,</w:t>
      </w:r>
      <w:r w:rsidRPr="00BD4B6D">
        <w:rPr>
          <w:sz w:val="24"/>
          <w:szCs w:val="24"/>
          <w:rtl/>
        </w:rPr>
        <w:t xml:space="preserve"> בשלמא מעיקרא לא ידענא אי האי מיקבע לשם</w:t>
      </w:r>
      <w:r>
        <w:rPr>
          <w:rFonts w:hint="cs"/>
          <w:sz w:val="24"/>
          <w:szCs w:val="24"/>
          <w:rtl/>
        </w:rPr>
        <w:t>,</w:t>
      </w:r>
      <w:r w:rsidRPr="00BD4B6D">
        <w:rPr>
          <w:sz w:val="24"/>
          <w:szCs w:val="24"/>
          <w:rtl/>
        </w:rPr>
        <w:t xml:space="preserve"> אבל הכא כיון דאינכר שם לא לקי</w:t>
      </w:r>
      <w:r>
        <w:rPr>
          <w:rFonts w:hint="cs"/>
          <w:sz w:val="24"/>
          <w:szCs w:val="24"/>
          <w:rtl/>
        </w:rPr>
        <w:t>,</w:t>
      </w:r>
      <w:r w:rsidRPr="00BD4B6D">
        <w:rPr>
          <w:sz w:val="24"/>
          <w:szCs w:val="24"/>
          <w:rtl/>
        </w:rPr>
        <w:t xml:space="preserve"> קמ"ל</w:t>
      </w:r>
      <w:r>
        <w:rPr>
          <w:rFonts w:hint="cs"/>
          <w:sz w:val="24"/>
          <w:szCs w:val="24"/>
          <w:rtl/>
        </w:rPr>
        <w:t>.</w:t>
      </w:r>
    </w:p>
    <w:p w:rsidR="00C26E1A" w:rsidRPr="00BD4B6D" w:rsidRDefault="00C26E1A" w:rsidP="00C26E1A">
      <w:pPr>
        <w:spacing w:line="276" w:lineRule="auto"/>
        <w:ind w:left="720"/>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t>רבא סובר שמכוח הכלל "אין הגורל קובע אלא בראוי לשם" היינו סוברים שהצורך בשעיר הראוי לה' הוא רק בשלב לפני ההגרלה, וזאת בכדי להבטיח שהשעיר עליו ייפול הגורל 'לה'' יהיה ראוי להקרבה. אך לאחר ההגרלה, אין איסור בהקדשת שעיר בעל מום לעזאזל. למסקנה, הדרשה הנוספת מלמדת שלאחר ההגרלה ישנו פסול ייחודי של בעל מום בשעיר המשתלח, שאינו נובע ממעמדו כקרבן. יוצא שעל פי דברי רבא אין לראות בכלל "אין הגורל קובע אלא בראוי לשם" ביטוי למעמדו של השעיר לעזאזל כקורבן. מדובר בצורך 'טכני' שמטרתו להבטיח את העובדה שהשעיר שייפול עליו הגורל לה' יהיה ראוי לה'</w:t>
      </w:r>
      <w:r>
        <w:rPr>
          <w:rStyle w:val="a7"/>
          <w:sz w:val="24"/>
          <w:szCs w:val="24"/>
          <w:rtl/>
        </w:rPr>
        <w:footnoteReference w:id="126"/>
      </w:r>
      <w:r>
        <w:rPr>
          <w:rFonts w:hint="cs"/>
          <w:sz w:val="24"/>
          <w:szCs w:val="24"/>
          <w:rtl/>
        </w:rPr>
        <w:t>. כך גם עולה מדברי רש"י בסוגיה ביומא:</w:t>
      </w:r>
    </w:p>
    <w:p w:rsidR="00C26E1A" w:rsidRDefault="00C26E1A" w:rsidP="00C26E1A">
      <w:pPr>
        <w:spacing w:line="276" w:lineRule="auto"/>
        <w:ind w:left="720"/>
        <w:rPr>
          <w:sz w:val="24"/>
          <w:szCs w:val="24"/>
          <w:rtl/>
        </w:rPr>
      </w:pPr>
      <w:r w:rsidRPr="00117C96">
        <w:rPr>
          <w:sz w:val="24"/>
          <w:szCs w:val="24"/>
          <w:rtl/>
        </w:rPr>
        <w:t>והא אין הגורל קובע לשם אלא את הראוי לשם, וכיון דלא ידע על איזה מהן יעלה הגורל לשם</w:t>
      </w:r>
      <w:r>
        <w:rPr>
          <w:rFonts w:hint="cs"/>
          <w:sz w:val="24"/>
          <w:szCs w:val="24"/>
          <w:rtl/>
        </w:rPr>
        <w:t>,</w:t>
      </w:r>
      <w:r w:rsidRPr="00117C96">
        <w:rPr>
          <w:sz w:val="24"/>
          <w:szCs w:val="24"/>
          <w:rtl/>
        </w:rPr>
        <w:t xml:space="preserve"> אי אפשר להיות אחד מהן מחוסר זמן.</w:t>
      </w:r>
    </w:p>
    <w:p w:rsidR="00C26E1A" w:rsidRPr="00117C96" w:rsidRDefault="00C26E1A" w:rsidP="00C26E1A">
      <w:pPr>
        <w:spacing w:line="276" w:lineRule="auto"/>
        <w:jc w:val="right"/>
        <w:rPr>
          <w:sz w:val="20"/>
          <w:szCs w:val="20"/>
          <w:rtl/>
        </w:rPr>
      </w:pPr>
      <w:r>
        <w:rPr>
          <w:rFonts w:hint="cs"/>
          <w:sz w:val="20"/>
          <w:szCs w:val="20"/>
          <w:rtl/>
        </w:rPr>
        <w:t>[רש"י סג: ד"ה והא]</w:t>
      </w:r>
    </w:p>
    <w:p w:rsidR="00C26E1A" w:rsidRDefault="00C26E1A" w:rsidP="00C26E1A">
      <w:pPr>
        <w:spacing w:line="276" w:lineRule="auto"/>
        <w:rPr>
          <w:sz w:val="24"/>
          <w:szCs w:val="24"/>
          <w:rtl/>
        </w:rPr>
      </w:pPr>
      <w:r>
        <w:rPr>
          <w:rFonts w:hint="cs"/>
          <w:sz w:val="24"/>
          <w:szCs w:val="24"/>
          <w:rtl/>
        </w:rPr>
        <w:t xml:space="preserve">כאמור, פרשנות זו של הכלל מובילה למסקנה לפיה השעיר המשתלח אינו מוגדר כקורבן אף קודם ההגרלה. אל מול תפיסה זו, יש להעמיד את ההלכה, שעסקנו בה בשיעורים הקודמים </w:t>
      </w:r>
      <w:r>
        <w:rPr>
          <w:rFonts w:hint="cs"/>
          <w:sz w:val="20"/>
          <w:szCs w:val="20"/>
          <w:rtl/>
        </w:rPr>
        <w:t>['גורל השעירים']</w:t>
      </w:r>
      <w:r>
        <w:rPr>
          <w:rFonts w:hint="cs"/>
          <w:sz w:val="24"/>
          <w:szCs w:val="24"/>
          <w:rtl/>
        </w:rPr>
        <w:t>, לפיה השוחט את שני השעירים לפני ההגרלה בחוץ חייב משום 'שחוטי חוץ':</w:t>
      </w:r>
    </w:p>
    <w:p w:rsidR="00C26E1A" w:rsidRDefault="00C26E1A" w:rsidP="00C26E1A">
      <w:pPr>
        <w:spacing w:line="276" w:lineRule="auto"/>
        <w:ind w:left="720"/>
        <w:rPr>
          <w:sz w:val="24"/>
          <w:szCs w:val="24"/>
          <w:rtl/>
        </w:rPr>
      </w:pPr>
      <w:r w:rsidRPr="00A524DA">
        <w:rPr>
          <w:sz w:val="24"/>
          <w:szCs w:val="24"/>
          <w:rtl/>
        </w:rPr>
        <w:t>תנו רבנן</w:t>
      </w:r>
      <w:r>
        <w:rPr>
          <w:rFonts w:hint="cs"/>
          <w:sz w:val="24"/>
          <w:szCs w:val="24"/>
          <w:rtl/>
        </w:rPr>
        <w:t>,</w:t>
      </w:r>
      <w:r w:rsidRPr="00A524DA">
        <w:rPr>
          <w:sz w:val="24"/>
          <w:szCs w:val="24"/>
          <w:rtl/>
        </w:rPr>
        <w:t xml:space="preserve"> שני שעירי יום הכיפורים ששחטן בחוץ</w:t>
      </w:r>
      <w:r>
        <w:rPr>
          <w:rFonts w:hint="cs"/>
          <w:sz w:val="24"/>
          <w:szCs w:val="24"/>
          <w:rtl/>
        </w:rPr>
        <w:t>,</w:t>
      </w:r>
      <w:r w:rsidRPr="00A524DA">
        <w:rPr>
          <w:sz w:val="24"/>
          <w:szCs w:val="24"/>
          <w:rtl/>
        </w:rPr>
        <w:t xml:space="preserve"> עד שלא הגריל עליהן חייב על שניהם</w:t>
      </w:r>
      <w:r>
        <w:rPr>
          <w:rFonts w:hint="cs"/>
          <w:sz w:val="24"/>
          <w:szCs w:val="24"/>
          <w:rtl/>
        </w:rPr>
        <w:t>,</w:t>
      </w:r>
      <w:r w:rsidRPr="00A524DA">
        <w:rPr>
          <w:sz w:val="24"/>
          <w:szCs w:val="24"/>
          <w:rtl/>
        </w:rPr>
        <w:t xml:space="preserve"> משהגריל עליהן חייב על של שם ופטור על של עזאזל</w:t>
      </w:r>
      <w:r>
        <w:rPr>
          <w:rFonts w:hint="cs"/>
          <w:sz w:val="24"/>
          <w:szCs w:val="24"/>
          <w:rtl/>
        </w:rPr>
        <w:t>.</w:t>
      </w:r>
    </w:p>
    <w:p w:rsidR="00C26E1A" w:rsidRPr="00A524DA" w:rsidRDefault="00C26E1A" w:rsidP="00C26E1A">
      <w:pPr>
        <w:spacing w:line="276" w:lineRule="auto"/>
        <w:ind w:left="720"/>
        <w:jc w:val="right"/>
        <w:rPr>
          <w:sz w:val="20"/>
          <w:szCs w:val="20"/>
          <w:rtl/>
        </w:rPr>
      </w:pPr>
      <w:r>
        <w:rPr>
          <w:rFonts w:hint="cs"/>
          <w:sz w:val="20"/>
          <w:szCs w:val="20"/>
          <w:rtl/>
        </w:rPr>
        <w:t>[סב:]</w:t>
      </w:r>
    </w:p>
    <w:p w:rsidR="00C26E1A" w:rsidRDefault="00C26E1A" w:rsidP="00C26E1A">
      <w:pPr>
        <w:spacing w:line="276" w:lineRule="auto"/>
        <w:rPr>
          <w:sz w:val="24"/>
          <w:szCs w:val="24"/>
          <w:rtl/>
        </w:rPr>
      </w:pPr>
      <w:r>
        <w:rPr>
          <w:rFonts w:hint="cs"/>
          <w:sz w:val="24"/>
          <w:szCs w:val="24"/>
          <w:rtl/>
        </w:rPr>
        <w:t>הלכה זו מעוררת קושי בנוגע להבנה לפיה השעיר המשתלח אינו מוגדר כקרבן כלל, כפי שהקשה הגרי"ז:</w:t>
      </w:r>
    </w:p>
    <w:p w:rsidR="00C26E1A" w:rsidRDefault="00C26E1A" w:rsidP="00C26E1A">
      <w:pPr>
        <w:spacing w:line="276" w:lineRule="auto"/>
        <w:ind w:left="720"/>
        <w:rPr>
          <w:sz w:val="24"/>
          <w:szCs w:val="24"/>
          <w:rtl/>
        </w:rPr>
      </w:pPr>
      <w:r w:rsidRPr="00383ED4">
        <w:rPr>
          <w:sz w:val="24"/>
          <w:szCs w:val="24"/>
          <w:rtl/>
        </w:rPr>
        <w:t>צ"ע למה מקשה הגמ' משום שאין הגורל קובע וכו' ולכן צריך שיהא תם</w:t>
      </w:r>
      <w:r>
        <w:rPr>
          <w:rFonts w:hint="cs"/>
          <w:sz w:val="24"/>
          <w:szCs w:val="24"/>
          <w:rtl/>
        </w:rPr>
        <w:t>,</w:t>
      </w:r>
      <w:r w:rsidRPr="00383ED4">
        <w:rPr>
          <w:sz w:val="24"/>
          <w:szCs w:val="24"/>
          <w:rtl/>
        </w:rPr>
        <w:t xml:space="preserve"> הא מבואר ביומא (דף ס"ב ע"ב) דעד שלא הגריל עליהן חייב על שניהם משום שחוטי חוץ משום דראוי לשעיר הנעשה בחוץ</w:t>
      </w:r>
      <w:r>
        <w:rPr>
          <w:rFonts w:hint="cs"/>
          <w:sz w:val="24"/>
          <w:szCs w:val="24"/>
          <w:rtl/>
        </w:rPr>
        <w:t>,</w:t>
      </w:r>
      <w:r w:rsidRPr="00383ED4">
        <w:rPr>
          <w:sz w:val="24"/>
          <w:szCs w:val="24"/>
          <w:rtl/>
        </w:rPr>
        <w:t xml:space="preserve"> משום דכל אחד הוא שם חטאת קודם שהוקבע לעזאזל</w:t>
      </w:r>
      <w:r>
        <w:rPr>
          <w:rFonts w:hint="cs"/>
          <w:sz w:val="24"/>
          <w:szCs w:val="24"/>
          <w:rtl/>
        </w:rPr>
        <w:t>.</w:t>
      </w:r>
    </w:p>
    <w:p w:rsidR="00C26E1A" w:rsidRPr="00383ED4" w:rsidRDefault="00C26E1A" w:rsidP="00C26E1A">
      <w:pPr>
        <w:spacing w:line="276" w:lineRule="auto"/>
        <w:ind w:left="720"/>
        <w:jc w:val="right"/>
        <w:rPr>
          <w:sz w:val="20"/>
          <w:szCs w:val="20"/>
          <w:rtl/>
        </w:rPr>
      </w:pPr>
      <w:r>
        <w:rPr>
          <w:rFonts w:hint="cs"/>
          <w:sz w:val="20"/>
          <w:szCs w:val="20"/>
          <w:rtl/>
        </w:rPr>
        <w:t>[חידושי הגרי"ז תמורה ו: ד"ה טעמא]</w:t>
      </w:r>
    </w:p>
    <w:p w:rsidR="00C26E1A" w:rsidRDefault="00C26E1A" w:rsidP="00C26E1A">
      <w:pPr>
        <w:spacing w:line="276" w:lineRule="auto"/>
        <w:rPr>
          <w:sz w:val="24"/>
          <w:szCs w:val="24"/>
          <w:rtl/>
        </w:rPr>
      </w:pPr>
      <w:r>
        <w:rPr>
          <w:rFonts w:hint="cs"/>
          <w:sz w:val="24"/>
          <w:szCs w:val="24"/>
          <w:rtl/>
        </w:rPr>
        <w:lastRenderedPageBreak/>
        <w:t>מכך שהשוחט את השעירים בחוץ חייב משום שחוטי חוץ, לומד הגרי"ז שמעמד שני השעירים הוא כחטאת. ממילא מתקשה הגרי"ז לקבל את האפשרות לפיה הכלל "אין הגורל קובע אלא בראוי לשם" נועד בכדי להבטיח שהגורל 'לה'' ייפול על שעיר הראוי להקרבה בלבד, אלא טמונה בחובו תפיסה עקרונית ביחס למעמדם של השעירים</w:t>
      </w:r>
      <w:r>
        <w:rPr>
          <w:rStyle w:val="a7"/>
          <w:sz w:val="24"/>
          <w:szCs w:val="24"/>
          <w:rtl/>
        </w:rPr>
        <w:footnoteReference w:id="127"/>
      </w:r>
      <w:r>
        <w:rPr>
          <w:rFonts w:hint="cs"/>
          <w:sz w:val="24"/>
          <w:szCs w:val="24"/>
          <w:rtl/>
        </w:rPr>
        <w:t xml:space="preserve">. </w:t>
      </w:r>
    </w:p>
    <w:p w:rsidR="00C26E1A" w:rsidRDefault="00C26E1A" w:rsidP="00C26E1A">
      <w:pPr>
        <w:spacing w:line="276" w:lineRule="auto"/>
        <w:rPr>
          <w:sz w:val="24"/>
          <w:szCs w:val="24"/>
          <w:rtl/>
        </w:rPr>
      </w:pPr>
      <w:r>
        <w:rPr>
          <w:rFonts w:hint="cs"/>
          <w:sz w:val="24"/>
          <w:szCs w:val="24"/>
          <w:rtl/>
        </w:rPr>
        <w:t>אכן, על רקע קושי זה, אנו מוצאים באחרונים, בניסוחים שונים, הבנה שונה, לכלל דלעיל. כך כותב הרב משה פיינשטיין:</w:t>
      </w:r>
    </w:p>
    <w:p w:rsidR="00C26E1A" w:rsidRDefault="00C26E1A" w:rsidP="00C26E1A">
      <w:pPr>
        <w:spacing w:line="276" w:lineRule="auto"/>
        <w:ind w:left="720"/>
        <w:rPr>
          <w:sz w:val="24"/>
          <w:szCs w:val="24"/>
          <w:rtl/>
        </w:rPr>
      </w:pPr>
      <w:r>
        <w:rPr>
          <w:rFonts w:hint="cs"/>
          <w:sz w:val="24"/>
          <w:szCs w:val="24"/>
          <w:rtl/>
        </w:rPr>
        <w:t>שמצד הגרלה לא היה חסרון, כיון שעל כל פנים הוא בשם שעיר ומתקיים לשון הקרא 'על שני השעירים', ואם יעלה הגורל דשם על הכשר לשם והגורל דעזאזל על השני יוכשרו שניהם, ואם לאו יביאו אחרים להגריל בשביל השם כמו במת של שם. אלא הוא פסול במשתלח מצד עצמו שצריך שיהיה כשר גם לשם.</w:t>
      </w:r>
    </w:p>
    <w:p w:rsidR="00C26E1A" w:rsidRDefault="00C26E1A" w:rsidP="00C26E1A">
      <w:pPr>
        <w:spacing w:line="276" w:lineRule="auto"/>
        <w:jc w:val="right"/>
        <w:rPr>
          <w:sz w:val="20"/>
          <w:szCs w:val="20"/>
          <w:rtl/>
        </w:rPr>
      </w:pPr>
      <w:r>
        <w:rPr>
          <w:rFonts w:hint="cs"/>
          <w:sz w:val="20"/>
          <w:szCs w:val="20"/>
          <w:rtl/>
        </w:rPr>
        <w:t>[דברות משה חולין סימן ט ענף ב ד"ה אבל]</w:t>
      </w:r>
    </w:p>
    <w:p w:rsidR="00C26E1A" w:rsidRDefault="00C26E1A" w:rsidP="00C26E1A">
      <w:pPr>
        <w:spacing w:line="276" w:lineRule="auto"/>
        <w:rPr>
          <w:sz w:val="24"/>
          <w:szCs w:val="24"/>
          <w:rtl/>
        </w:rPr>
      </w:pPr>
      <w:r>
        <w:rPr>
          <w:rFonts w:hint="cs"/>
          <w:sz w:val="24"/>
          <w:szCs w:val="24"/>
          <w:rtl/>
        </w:rPr>
        <w:t>לדברי הרב פיינשטיין, במידה והגורל 'לה'' ייפול על השעיר הכשר להקרבה, אין כל פסול בכך שהשעיר השני לא יהיה ראוי להקרבה, לפחות מצד קיומו של מעשה ההגרלה. לכן, לדבריו הכלל "אין הגורל קובע אלא בראוי לשם" הינו בעל משמעות עקרונית. בהמשך מעמיק הרב פיינשטיין הבנה זו:</w:t>
      </w:r>
    </w:p>
    <w:p w:rsidR="00C26E1A" w:rsidRDefault="00C26E1A" w:rsidP="00C26E1A">
      <w:pPr>
        <w:spacing w:line="276" w:lineRule="auto"/>
        <w:ind w:left="720"/>
        <w:rPr>
          <w:sz w:val="24"/>
          <w:szCs w:val="24"/>
          <w:rtl/>
        </w:rPr>
      </w:pPr>
      <w:r>
        <w:rPr>
          <w:rFonts w:hint="cs"/>
          <w:sz w:val="24"/>
          <w:szCs w:val="24"/>
          <w:rtl/>
        </w:rPr>
        <w:t>דהפסול דאין הגורל קובע אלא בראוי לשם... הוא דין חדש שמכפר בחוץ נמי נפסל בפסולין דמומין ומחוסר זמן כמכפר בפנים.</w:t>
      </w:r>
    </w:p>
    <w:p w:rsidR="00C26E1A" w:rsidRPr="008B3EF0" w:rsidRDefault="00C26E1A" w:rsidP="00C26E1A">
      <w:pPr>
        <w:spacing w:line="276" w:lineRule="auto"/>
        <w:ind w:left="720"/>
        <w:jc w:val="right"/>
        <w:rPr>
          <w:sz w:val="20"/>
          <w:szCs w:val="20"/>
          <w:rtl/>
        </w:rPr>
      </w:pPr>
      <w:r>
        <w:rPr>
          <w:rFonts w:hint="cs"/>
          <w:sz w:val="20"/>
          <w:szCs w:val="20"/>
          <w:rtl/>
        </w:rPr>
        <w:t>[שם ד"ה וכיון]</w:t>
      </w:r>
    </w:p>
    <w:p w:rsidR="00C26E1A" w:rsidRDefault="00C26E1A" w:rsidP="00C26E1A">
      <w:pPr>
        <w:spacing w:line="276" w:lineRule="auto"/>
        <w:rPr>
          <w:sz w:val="24"/>
          <w:szCs w:val="24"/>
          <w:rtl/>
        </w:rPr>
      </w:pPr>
      <w:r>
        <w:rPr>
          <w:rFonts w:hint="cs"/>
          <w:sz w:val="24"/>
          <w:szCs w:val="24"/>
          <w:rtl/>
        </w:rPr>
        <w:t xml:space="preserve">נמצא, שאין לראות בכלל הנידון דרישה מעשית בעלמא לכך שהשעיר אשר ייפול עליו הגורל לה' יהיה כשר לקורבן, אלא מדובר בקביעה עקרונית לפיה שני השעירים בעלי מעמד קורבן, וממילא עליהם להיות כשרים וראויים לקורבן. </w:t>
      </w:r>
    </w:p>
    <w:p w:rsidR="00C26E1A" w:rsidRDefault="00C26E1A" w:rsidP="00C26E1A">
      <w:pPr>
        <w:spacing w:line="276" w:lineRule="auto"/>
        <w:rPr>
          <w:sz w:val="24"/>
          <w:szCs w:val="24"/>
          <w:rtl/>
        </w:rPr>
      </w:pPr>
      <w:r>
        <w:rPr>
          <w:rFonts w:hint="cs"/>
          <w:sz w:val="24"/>
          <w:szCs w:val="24"/>
          <w:rtl/>
        </w:rPr>
        <w:t xml:space="preserve">פרשנות זו של הכלל עולה מהאופן בו הוא מנוסח בסוגיה בחולין: </w:t>
      </w:r>
    </w:p>
    <w:p w:rsidR="00C26E1A" w:rsidRDefault="00C26E1A" w:rsidP="00C26E1A">
      <w:pPr>
        <w:spacing w:line="276" w:lineRule="auto"/>
        <w:ind w:left="720"/>
        <w:rPr>
          <w:sz w:val="24"/>
          <w:szCs w:val="24"/>
          <w:rtl/>
        </w:rPr>
      </w:pPr>
      <w:r w:rsidRPr="008978DF">
        <w:rPr>
          <w:sz w:val="24"/>
          <w:szCs w:val="24"/>
          <w:rtl/>
        </w:rPr>
        <w:t xml:space="preserve">הא אין גורל קובע </w:t>
      </w:r>
      <w:r w:rsidRPr="00FF115E">
        <w:rPr>
          <w:b/>
          <w:bCs/>
          <w:sz w:val="24"/>
          <w:szCs w:val="24"/>
          <w:rtl/>
        </w:rPr>
        <w:t>לעזאזל</w:t>
      </w:r>
      <w:r w:rsidRPr="008978DF">
        <w:rPr>
          <w:sz w:val="24"/>
          <w:szCs w:val="24"/>
          <w:rtl/>
        </w:rPr>
        <w:t xml:space="preserve"> אלא בדבר הראוי לש</w:t>
      </w:r>
      <w:r>
        <w:rPr>
          <w:rFonts w:hint="cs"/>
          <w:sz w:val="24"/>
          <w:szCs w:val="24"/>
          <w:rtl/>
        </w:rPr>
        <w:t>ם.</w:t>
      </w:r>
    </w:p>
    <w:p w:rsidR="00C26E1A" w:rsidRPr="008978DF" w:rsidRDefault="00C26E1A" w:rsidP="00C26E1A">
      <w:pPr>
        <w:spacing w:line="276" w:lineRule="auto"/>
        <w:ind w:left="720"/>
        <w:jc w:val="right"/>
        <w:rPr>
          <w:sz w:val="20"/>
          <w:szCs w:val="20"/>
          <w:rtl/>
        </w:rPr>
      </w:pPr>
      <w:r>
        <w:rPr>
          <w:rFonts w:hint="cs"/>
          <w:sz w:val="20"/>
          <w:szCs w:val="20"/>
          <w:rtl/>
        </w:rPr>
        <w:t>[חולין יא:]</w:t>
      </w:r>
    </w:p>
    <w:p w:rsidR="00C26E1A" w:rsidRDefault="00C26E1A" w:rsidP="00C26E1A">
      <w:pPr>
        <w:spacing w:line="276" w:lineRule="auto"/>
        <w:rPr>
          <w:sz w:val="24"/>
          <w:szCs w:val="24"/>
          <w:rtl/>
        </w:rPr>
      </w:pPr>
      <w:r>
        <w:rPr>
          <w:rFonts w:hint="cs"/>
          <w:sz w:val="24"/>
          <w:szCs w:val="24"/>
          <w:rtl/>
        </w:rPr>
        <w:t>מדברי הגמרא מבואר שאף לצורך קביעת השעיר כשעיר לעזאזל, השעיר צריך להיות 'ראוי לשם'</w:t>
      </w:r>
      <w:r>
        <w:rPr>
          <w:rStyle w:val="a7"/>
          <w:sz w:val="24"/>
          <w:szCs w:val="24"/>
          <w:rtl/>
        </w:rPr>
        <w:footnoteReference w:id="128"/>
      </w:r>
      <w:r>
        <w:rPr>
          <w:rFonts w:hint="cs"/>
          <w:sz w:val="24"/>
          <w:szCs w:val="24"/>
          <w:rtl/>
        </w:rPr>
        <w:t xml:space="preserve">. </w:t>
      </w:r>
    </w:p>
    <w:p w:rsidR="00C26E1A" w:rsidRDefault="00C26E1A" w:rsidP="00C26E1A">
      <w:pPr>
        <w:spacing w:line="276" w:lineRule="auto"/>
        <w:rPr>
          <w:sz w:val="24"/>
          <w:szCs w:val="24"/>
          <w:rtl/>
        </w:rPr>
      </w:pPr>
    </w:p>
    <w:p w:rsidR="00C26E1A" w:rsidRDefault="00C26E1A" w:rsidP="00C26E1A">
      <w:pPr>
        <w:spacing w:line="276" w:lineRule="auto"/>
        <w:rPr>
          <w:sz w:val="24"/>
          <w:szCs w:val="24"/>
          <w:rtl/>
        </w:rPr>
      </w:pPr>
      <w:r>
        <w:rPr>
          <w:rFonts w:hint="cs"/>
          <w:sz w:val="24"/>
          <w:szCs w:val="24"/>
          <w:rtl/>
        </w:rPr>
        <w:t xml:space="preserve">עד כה עסקנו במעמד השעיר המשתלח כקורבן קודם ההגרלה. ביחס למעמדו של השעיר לאחר ההגרלה, ניתן למצוא עמדות שונות בדברי הראשונים. </w:t>
      </w:r>
    </w:p>
    <w:p w:rsidR="00C26E1A" w:rsidRDefault="00C26E1A" w:rsidP="00C26E1A">
      <w:pPr>
        <w:spacing w:line="276" w:lineRule="auto"/>
        <w:rPr>
          <w:sz w:val="24"/>
          <w:szCs w:val="24"/>
          <w:rtl/>
        </w:rPr>
      </w:pPr>
      <w:r>
        <w:rPr>
          <w:rFonts w:hint="cs"/>
          <w:sz w:val="24"/>
          <w:szCs w:val="24"/>
          <w:rtl/>
        </w:rPr>
        <w:t>נאמר בספרא:</w:t>
      </w:r>
    </w:p>
    <w:p w:rsidR="00C26E1A" w:rsidRDefault="00C26E1A" w:rsidP="00C26E1A">
      <w:pPr>
        <w:spacing w:line="276" w:lineRule="auto"/>
        <w:ind w:left="720"/>
        <w:rPr>
          <w:sz w:val="24"/>
          <w:szCs w:val="24"/>
          <w:rtl/>
        </w:rPr>
      </w:pPr>
      <w:r>
        <w:rPr>
          <w:rFonts w:hint="cs"/>
          <w:sz w:val="24"/>
          <w:szCs w:val="24"/>
          <w:rtl/>
        </w:rPr>
        <w:t xml:space="preserve">"עתי" </w:t>
      </w:r>
      <w:r>
        <w:rPr>
          <w:sz w:val="24"/>
          <w:szCs w:val="24"/>
          <w:rtl/>
        </w:rPr>
        <w:t>–</w:t>
      </w:r>
      <w:r>
        <w:rPr>
          <w:rFonts w:hint="cs"/>
          <w:sz w:val="24"/>
          <w:szCs w:val="24"/>
          <w:rtl/>
        </w:rPr>
        <w:t xml:space="preserve"> אפילו בשבת, "עתי" </w:t>
      </w:r>
      <w:r>
        <w:rPr>
          <w:sz w:val="24"/>
          <w:szCs w:val="24"/>
          <w:rtl/>
        </w:rPr>
        <w:t>–</w:t>
      </w:r>
      <w:r>
        <w:rPr>
          <w:rFonts w:hint="cs"/>
          <w:sz w:val="24"/>
          <w:szCs w:val="24"/>
          <w:rtl/>
        </w:rPr>
        <w:t xml:space="preserve"> אפילו בטומאה.</w:t>
      </w:r>
    </w:p>
    <w:p w:rsidR="00C26E1A" w:rsidRPr="00611E30" w:rsidRDefault="00C26E1A" w:rsidP="00C26E1A">
      <w:pPr>
        <w:spacing w:line="276" w:lineRule="auto"/>
        <w:ind w:left="720"/>
        <w:jc w:val="right"/>
        <w:rPr>
          <w:sz w:val="20"/>
          <w:szCs w:val="20"/>
          <w:rtl/>
        </w:rPr>
      </w:pPr>
      <w:r>
        <w:rPr>
          <w:rFonts w:hint="cs"/>
          <w:sz w:val="20"/>
          <w:szCs w:val="20"/>
          <w:rtl/>
        </w:rPr>
        <w:t>[ספרא אחרי מות פ"ד ה"ח]</w:t>
      </w:r>
    </w:p>
    <w:p w:rsidR="00C26E1A" w:rsidRDefault="00C26E1A" w:rsidP="00C26E1A">
      <w:pPr>
        <w:spacing w:line="276" w:lineRule="auto"/>
        <w:rPr>
          <w:sz w:val="24"/>
          <w:szCs w:val="24"/>
          <w:rtl/>
        </w:rPr>
      </w:pPr>
      <w:r>
        <w:rPr>
          <w:rFonts w:hint="cs"/>
          <w:sz w:val="24"/>
          <w:szCs w:val="24"/>
          <w:rtl/>
        </w:rPr>
        <w:lastRenderedPageBreak/>
        <w:t>בפירוש המיוחס לר"ש על הספרא, דן בשאלה מדוע יש צורך בדרשה מיוחדת המלמדת ששילוח השעיר נעשה אפילו בשבת, הרי כל עבודות יום הכיפורים דוחות את השבת. לשאלה זו מציע המיוחס לר"ש שתי תשובות:</w:t>
      </w:r>
    </w:p>
    <w:p w:rsidR="00C26E1A" w:rsidRDefault="00C26E1A" w:rsidP="00C26E1A">
      <w:pPr>
        <w:spacing w:line="276" w:lineRule="auto"/>
        <w:ind w:left="720"/>
        <w:rPr>
          <w:sz w:val="24"/>
          <w:szCs w:val="24"/>
          <w:rtl/>
        </w:rPr>
      </w:pPr>
      <w:r>
        <w:rPr>
          <w:rFonts w:hint="cs"/>
          <w:sz w:val="24"/>
          <w:szCs w:val="24"/>
          <w:rtl/>
        </w:rPr>
        <w:t>דהוה אמינא דשלוח השעיר אינה בעבודת שאר קרבנות דדוחין שבת, שאפילו רבי שמעון דמחמיר בשעיר המשתלח, דאמר יעמד חי עד שעת וידוי דוידוי מעכב אבל שלוח לכולי עלמא לא מעכב, לכך צריך לרבות ששילוחו דוחה שבת... ומיהו מביאין מירושלמי דודאי מעכב.. ויש לומר, טעמא דצריך שילוחו ריבוי משום דלאו קדשי מזבח הוא.</w:t>
      </w:r>
    </w:p>
    <w:p w:rsidR="00C26E1A" w:rsidRPr="00611E30" w:rsidRDefault="00C26E1A" w:rsidP="00C26E1A">
      <w:pPr>
        <w:spacing w:line="276" w:lineRule="auto"/>
        <w:ind w:left="720"/>
        <w:jc w:val="right"/>
        <w:rPr>
          <w:sz w:val="20"/>
          <w:szCs w:val="20"/>
          <w:rtl/>
        </w:rPr>
      </w:pPr>
      <w:r>
        <w:rPr>
          <w:rFonts w:hint="cs"/>
          <w:sz w:val="20"/>
          <w:szCs w:val="20"/>
          <w:rtl/>
        </w:rPr>
        <w:t>[המיוחס לר"ש שם ד"ה עתי]</w:t>
      </w:r>
    </w:p>
    <w:p w:rsidR="00C26E1A" w:rsidRDefault="00C26E1A" w:rsidP="00C26E1A">
      <w:pPr>
        <w:spacing w:line="276" w:lineRule="auto"/>
        <w:rPr>
          <w:sz w:val="24"/>
          <w:szCs w:val="24"/>
          <w:rtl/>
        </w:rPr>
      </w:pPr>
      <w:r>
        <w:rPr>
          <w:rFonts w:hint="cs"/>
          <w:sz w:val="24"/>
          <w:szCs w:val="24"/>
          <w:rtl/>
        </w:rPr>
        <w:t xml:space="preserve">המיוחס לר"ש סובר שלשיטת הבבלי, הצורך בדרשה המלמדת ששילוח השעיר דוחה שבת ברור: הואיל ולכולי עלמא השילוח אינו מעכב, היה מקום לחשוב שעבודת השילוח אינה כלולה בעבודות הדוחות את השבת. ברם, לשיטת הירושלמי הסובר שמצוות השילוח מעכבת, השאלה במקומה עומדת. לכן מציע המיוחס ר"ש שלדברי הירושלמי צריך לומר שהצורך בדרשה מיוחדת נובע מכך שהשעיר אינו מוגדר כ'קדשי מזבח'. לשיטתו צריך לומר, שאף אם אנו סוברים שלפני ההגרלה השעיר המשתלח מוגדר כקרבן, לאחר ההגרלה פוקעת קדושת הקרבן שבו. </w:t>
      </w:r>
    </w:p>
    <w:p w:rsidR="00C26E1A" w:rsidRDefault="00C26E1A" w:rsidP="00C26E1A">
      <w:pPr>
        <w:spacing w:line="276" w:lineRule="auto"/>
        <w:rPr>
          <w:sz w:val="24"/>
          <w:szCs w:val="24"/>
          <w:rtl/>
        </w:rPr>
      </w:pPr>
      <w:r>
        <w:rPr>
          <w:rFonts w:hint="cs"/>
          <w:sz w:val="24"/>
          <w:szCs w:val="24"/>
          <w:rtl/>
        </w:rPr>
        <w:t xml:space="preserve">מנגד, בדברי ראשונים אחרים נראה שאף לאחר ההגרלה, משתמר מעמדו של השעיר כקרבן. התוספתא </w:t>
      </w:r>
      <w:r>
        <w:rPr>
          <w:rFonts w:hint="cs"/>
          <w:sz w:val="20"/>
          <w:szCs w:val="20"/>
          <w:rtl/>
        </w:rPr>
        <w:t xml:space="preserve">[פ"ד הט"ז] </w:t>
      </w:r>
      <w:r>
        <w:rPr>
          <w:rFonts w:hint="cs"/>
          <w:sz w:val="24"/>
          <w:szCs w:val="24"/>
          <w:rtl/>
        </w:rPr>
        <w:t>מלמדת ש"</w:t>
      </w:r>
      <w:r w:rsidRPr="005E0549">
        <w:rPr>
          <w:rFonts w:hint="cs"/>
          <w:sz w:val="24"/>
          <w:szCs w:val="24"/>
          <w:rtl/>
        </w:rPr>
        <w:t>חומר</w:t>
      </w:r>
      <w:r w:rsidRPr="005E0549">
        <w:rPr>
          <w:sz w:val="24"/>
          <w:szCs w:val="24"/>
          <w:rtl/>
        </w:rPr>
        <w:t xml:space="preserve"> </w:t>
      </w:r>
      <w:r w:rsidRPr="005E0549">
        <w:rPr>
          <w:rFonts w:hint="cs"/>
          <w:sz w:val="24"/>
          <w:szCs w:val="24"/>
          <w:rtl/>
        </w:rPr>
        <w:t>בשעיר</w:t>
      </w:r>
      <w:r w:rsidRPr="005E0549">
        <w:rPr>
          <w:sz w:val="24"/>
          <w:szCs w:val="24"/>
          <w:rtl/>
        </w:rPr>
        <w:t xml:space="preserve"> </w:t>
      </w:r>
      <w:r w:rsidRPr="005E0549">
        <w:rPr>
          <w:rFonts w:hint="cs"/>
          <w:sz w:val="24"/>
          <w:szCs w:val="24"/>
          <w:rtl/>
        </w:rPr>
        <w:t>שאין</w:t>
      </w:r>
      <w:r w:rsidRPr="005E0549">
        <w:rPr>
          <w:sz w:val="24"/>
          <w:szCs w:val="24"/>
          <w:rtl/>
        </w:rPr>
        <w:t xml:space="preserve"> </w:t>
      </w:r>
      <w:r w:rsidRPr="005E0549">
        <w:rPr>
          <w:rFonts w:hint="cs"/>
          <w:sz w:val="24"/>
          <w:szCs w:val="24"/>
          <w:rtl/>
        </w:rPr>
        <w:t>ביום</w:t>
      </w:r>
      <w:r w:rsidRPr="005E0549">
        <w:rPr>
          <w:sz w:val="24"/>
          <w:szCs w:val="24"/>
          <w:rtl/>
        </w:rPr>
        <w:t xml:space="preserve"> </w:t>
      </w:r>
      <w:r w:rsidRPr="005E0549">
        <w:rPr>
          <w:rFonts w:hint="cs"/>
          <w:sz w:val="24"/>
          <w:szCs w:val="24"/>
          <w:rtl/>
        </w:rPr>
        <w:t>הכפורים</w:t>
      </w:r>
      <w:r w:rsidRPr="005E0549">
        <w:rPr>
          <w:sz w:val="24"/>
          <w:szCs w:val="24"/>
          <w:rtl/>
        </w:rPr>
        <w:t xml:space="preserve"> </w:t>
      </w:r>
      <w:r w:rsidRPr="005E0549">
        <w:rPr>
          <w:rFonts w:hint="cs"/>
          <w:sz w:val="24"/>
          <w:szCs w:val="24"/>
          <w:rtl/>
        </w:rPr>
        <w:t>וביום</w:t>
      </w:r>
      <w:r w:rsidRPr="005E0549">
        <w:rPr>
          <w:sz w:val="24"/>
          <w:szCs w:val="24"/>
          <w:rtl/>
        </w:rPr>
        <w:t xml:space="preserve"> </w:t>
      </w:r>
      <w:r w:rsidRPr="005E0549">
        <w:rPr>
          <w:rFonts w:hint="cs"/>
          <w:sz w:val="24"/>
          <w:szCs w:val="24"/>
          <w:rtl/>
        </w:rPr>
        <w:t>הכפורים</w:t>
      </w:r>
      <w:r w:rsidRPr="005E0549">
        <w:rPr>
          <w:sz w:val="24"/>
          <w:szCs w:val="24"/>
          <w:rtl/>
        </w:rPr>
        <w:t xml:space="preserve"> </w:t>
      </w:r>
      <w:r w:rsidRPr="005E0549">
        <w:rPr>
          <w:rFonts w:hint="cs"/>
          <w:sz w:val="24"/>
          <w:szCs w:val="24"/>
          <w:rtl/>
        </w:rPr>
        <w:t>שאין</w:t>
      </w:r>
      <w:r w:rsidRPr="005E0549">
        <w:rPr>
          <w:sz w:val="24"/>
          <w:szCs w:val="24"/>
          <w:rtl/>
        </w:rPr>
        <w:t xml:space="preserve"> </w:t>
      </w:r>
      <w:r w:rsidRPr="005E0549">
        <w:rPr>
          <w:rFonts w:hint="cs"/>
          <w:sz w:val="24"/>
          <w:szCs w:val="24"/>
          <w:rtl/>
        </w:rPr>
        <w:t>בשעיר</w:t>
      </w:r>
      <w:r>
        <w:rPr>
          <w:rFonts w:hint="cs"/>
          <w:sz w:val="24"/>
          <w:szCs w:val="24"/>
          <w:rtl/>
        </w:rPr>
        <w:t>,</w:t>
      </w:r>
      <w:r w:rsidRPr="005E0549">
        <w:rPr>
          <w:sz w:val="24"/>
          <w:szCs w:val="24"/>
          <w:rtl/>
        </w:rPr>
        <w:t xml:space="preserve"> </w:t>
      </w:r>
      <w:r w:rsidRPr="005E0549">
        <w:rPr>
          <w:rFonts w:hint="cs"/>
          <w:sz w:val="24"/>
          <w:szCs w:val="24"/>
          <w:rtl/>
        </w:rPr>
        <w:t>שיום</w:t>
      </w:r>
      <w:r w:rsidRPr="005E0549">
        <w:rPr>
          <w:sz w:val="24"/>
          <w:szCs w:val="24"/>
          <w:rtl/>
        </w:rPr>
        <w:t xml:space="preserve"> </w:t>
      </w:r>
      <w:r w:rsidRPr="005E0549">
        <w:rPr>
          <w:rFonts w:hint="cs"/>
          <w:sz w:val="24"/>
          <w:szCs w:val="24"/>
          <w:rtl/>
        </w:rPr>
        <w:t>הכפורים</w:t>
      </w:r>
      <w:r w:rsidRPr="005E0549">
        <w:rPr>
          <w:sz w:val="24"/>
          <w:szCs w:val="24"/>
          <w:rtl/>
        </w:rPr>
        <w:t xml:space="preserve"> </w:t>
      </w:r>
      <w:r w:rsidRPr="005E0549">
        <w:rPr>
          <w:rFonts w:hint="cs"/>
          <w:sz w:val="24"/>
          <w:szCs w:val="24"/>
          <w:rtl/>
        </w:rPr>
        <w:t>מכפר</w:t>
      </w:r>
      <w:r w:rsidRPr="005E0549">
        <w:rPr>
          <w:sz w:val="24"/>
          <w:szCs w:val="24"/>
          <w:rtl/>
        </w:rPr>
        <w:t xml:space="preserve"> </w:t>
      </w:r>
      <w:r w:rsidRPr="005E0549">
        <w:rPr>
          <w:rFonts w:hint="cs"/>
          <w:sz w:val="24"/>
          <w:szCs w:val="24"/>
          <w:rtl/>
        </w:rPr>
        <w:t>בלא</w:t>
      </w:r>
      <w:r w:rsidRPr="005E0549">
        <w:rPr>
          <w:sz w:val="24"/>
          <w:szCs w:val="24"/>
          <w:rtl/>
        </w:rPr>
        <w:t xml:space="preserve"> </w:t>
      </w:r>
      <w:r w:rsidRPr="005E0549">
        <w:rPr>
          <w:rFonts w:hint="cs"/>
          <w:sz w:val="24"/>
          <w:szCs w:val="24"/>
          <w:rtl/>
        </w:rPr>
        <w:t>שעיר</w:t>
      </w:r>
      <w:r w:rsidRPr="005E0549">
        <w:rPr>
          <w:sz w:val="24"/>
          <w:szCs w:val="24"/>
          <w:rtl/>
        </w:rPr>
        <w:t xml:space="preserve"> </w:t>
      </w:r>
      <w:r w:rsidRPr="005E0549">
        <w:rPr>
          <w:rFonts w:hint="cs"/>
          <w:sz w:val="24"/>
          <w:szCs w:val="24"/>
          <w:rtl/>
        </w:rPr>
        <w:t>ושעיר</w:t>
      </w:r>
      <w:r w:rsidRPr="005E0549">
        <w:rPr>
          <w:sz w:val="24"/>
          <w:szCs w:val="24"/>
          <w:rtl/>
        </w:rPr>
        <w:t xml:space="preserve"> </w:t>
      </w:r>
      <w:r w:rsidRPr="005E0549">
        <w:rPr>
          <w:rFonts w:hint="cs"/>
          <w:sz w:val="24"/>
          <w:szCs w:val="24"/>
          <w:rtl/>
        </w:rPr>
        <w:t>אין</w:t>
      </w:r>
      <w:r w:rsidRPr="005E0549">
        <w:rPr>
          <w:sz w:val="24"/>
          <w:szCs w:val="24"/>
          <w:rtl/>
        </w:rPr>
        <w:t xml:space="preserve"> </w:t>
      </w:r>
      <w:r w:rsidRPr="005E0549">
        <w:rPr>
          <w:rFonts w:hint="cs"/>
          <w:sz w:val="24"/>
          <w:szCs w:val="24"/>
          <w:rtl/>
        </w:rPr>
        <w:t>מכפר</w:t>
      </w:r>
      <w:r w:rsidRPr="005E0549">
        <w:rPr>
          <w:sz w:val="24"/>
          <w:szCs w:val="24"/>
          <w:rtl/>
        </w:rPr>
        <w:t xml:space="preserve"> </w:t>
      </w:r>
      <w:r w:rsidRPr="005E0549">
        <w:rPr>
          <w:rFonts w:hint="cs"/>
          <w:sz w:val="24"/>
          <w:szCs w:val="24"/>
          <w:rtl/>
        </w:rPr>
        <w:t>אלא</w:t>
      </w:r>
      <w:r w:rsidRPr="005E0549">
        <w:rPr>
          <w:sz w:val="24"/>
          <w:szCs w:val="24"/>
          <w:rtl/>
        </w:rPr>
        <w:t xml:space="preserve"> </w:t>
      </w:r>
      <w:r w:rsidRPr="005E0549">
        <w:rPr>
          <w:rFonts w:hint="cs"/>
          <w:sz w:val="24"/>
          <w:szCs w:val="24"/>
          <w:rtl/>
        </w:rPr>
        <w:t>עם</w:t>
      </w:r>
      <w:r w:rsidRPr="005E0549">
        <w:rPr>
          <w:sz w:val="24"/>
          <w:szCs w:val="24"/>
          <w:rtl/>
        </w:rPr>
        <w:t xml:space="preserve"> </w:t>
      </w:r>
      <w:r w:rsidRPr="005E0549">
        <w:rPr>
          <w:rFonts w:hint="cs"/>
          <w:sz w:val="24"/>
          <w:szCs w:val="24"/>
          <w:rtl/>
        </w:rPr>
        <w:t>יום</w:t>
      </w:r>
      <w:r w:rsidRPr="005E0549">
        <w:rPr>
          <w:sz w:val="24"/>
          <w:szCs w:val="24"/>
          <w:rtl/>
        </w:rPr>
        <w:t xml:space="preserve"> </w:t>
      </w:r>
      <w:r w:rsidRPr="005E0549">
        <w:rPr>
          <w:rFonts w:hint="cs"/>
          <w:sz w:val="24"/>
          <w:szCs w:val="24"/>
          <w:rtl/>
        </w:rPr>
        <w:t>הכפורים</w:t>
      </w:r>
      <w:r>
        <w:rPr>
          <w:rFonts w:hint="cs"/>
          <w:sz w:val="24"/>
          <w:szCs w:val="24"/>
          <w:rtl/>
        </w:rPr>
        <w:t>". הרשב"א ביאר את דברי התוספתא:</w:t>
      </w:r>
    </w:p>
    <w:p w:rsidR="00C26E1A" w:rsidRDefault="00C26E1A" w:rsidP="00C26E1A">
      <w:pPr>
        <w:spacing w:line="276" w:lineRule="auto"/>
        <w:ind w:left="720"/>
        <w:rPr>
          <w:sz w:val="24"/>
          <w:szCs w:val="24"/>
          <w:rtl/>
        </w:rPr>
      </w:pPr>
      <w:r w:rsidRPr="007408D5">
        <w:rPr>
          <w:rFonts w:hint="cs"/>
          <w:sz w:val="24"/>
          <w:szCs w:val="24"/>
          <w:rtl/>
        </w:rPr>
        <w:t>ונ</w:t>
      </w:r>
      <w:r>
        <w:rPr>
          <w:rFonts w:hint="cs"/>
          <w:sz w:val="24"/>
          <w:szCs w:val="24"/>
          <w:rtl/>
        </w:rPr>
        <w:t>ראה לי דהכי פירושא,</w:t>
      </w:r>
      <w:r w:rsidRPr="007408D5">
        <w:rPr>
          <w:sz w:val="24"/>
          <w:szCs w:val="24"/>
          <w:rtl/>
        </w:rPr>
        <w:t xml:space="preserve"> </w:t>
      </w:r>
      <w:r w:rsidRPr="007408D5">
        <w:rPr>
          <w:rFonts w:hint="cs"/>
          <w:sz w:val="24"/>
          <w:szCs w:val="24"/>
          <w:rtl/>
        </w:rPr>
        <w:t>דיו</w:t>
      </w:r>
      <w:r>
        <w:rPr>
          <w:rFonts w:hint="cs"/>
          <w:sz w:val="24"/>
          <w:szCs w:val="24"/>
          <w:rtl/>
        </w:rPr>
        <w:t>ם הכיפורים</w:t>
      </w:r>
      <w:r w:rsidRPr="007408D5">
        <w:rPr>
          <w:sz w:val="24"/>
          <w:szCs w:val="24"/>
          <w:rtl/>
        </w:rPr>
        <w:t xml:space="preserve"> </w:t>
      </w:r>
      <w:r w:rsidRPr="007408D5">
        <w:rPr>
          <w:rFonts w:hint="cs"/>
          <w:sz w:val="24"/>
          <w:szCs w:val="24"/>
          <w:rtl/>
        </w:rPr>
        <w:t>בלא</w:t>
      </w:r>
      <w:r w:rsidRPr="007408D5">
        <w:rPr>
          <w:sz w:val="24"/>
          <w:szCs w:val="24"/>
          <w:rtl/>
        </w:rPr>
        <w:t xml:space="preserve"> </w:t>
      </w:r>
      <w:r w:rsidRPr="007408D5">
        <w:rPr>
          <w:rFonts w:hint="cs"/>
          <w:sz w:val="24"/>
          <w:szCs w:val="24"/>
          <w:rtl/>
        </w:rPr>
        <w:t>שעיר</w:t>
      </w:r>
      <w:r w:rsidRPr="007408D5">
        <w:rPr>
          <w:sz w:val="24"/>
          <w:szCs w:val="24"/>
          <w:rtl/>
        </w:rPr>
        <w:t xml:space="preserve"> </w:t>
      </w:r>
      <w:r w:rsidRPr="007408D5">
        <w:rPr>
          <w:rFonts w:hint="cs"/>
          <w:sz w:val="24"/>
          <w:szCs w:val="24"/>
          <w:rtl/>
        </w:rPr>
        <w:t>המשתלח</w:t>
      </w:r>
      <w:r w:rsidRPr="007408D5">
        <w:rPr>
          <w:sz w:val="24"/>
          <w:szCs w:val="24"/>
          <w:rtl/>
        </w:rPr>
        <w:t xml:space="preserve"> </w:t>
      </w:r>
      <w:r w:rsidRPr="007408D5">
        <w:rPr>
          <w:rFonts w:hint="cs"/>
          <w:sz w:val="24"/>
          <w:szCs w:val="24"/>
          <w:rtl/>
        </w:rPr>
        <w:t>מכפר</w:t>
      </w:r>
      <w:r>
        <w:rPr>
          <w:rFonts w:hint="cs"/>
          <w:sz w:val="24"/>
          <w:szCs w:val="24"/>
          <w:rtl/>
        </w:rPr>
        <w:t>,</w:t>
      </w:r>
      <w:r w:rsidRPr="007408D5">
        <w:rPr>
          <w:sz w:val="24"/>
          <w:szCs w:val="24"/>
          <w:rtl/>
        </w:rPr>
        <w:t xml:space="preserve"> </w:t>
      </w:r>
      <w:r>
        <w:rPr>
          <w:rFonts w:hint="cs"/>
          <w:sz w:val="24"/>
          <w:szCs w:val="24"/>
          <w:rtl/>
        </w:rPr>
        <w:t>מה שאין כן</w:t>
      </w:r>
      <w:r w:rsidRPr="007408D5">
        <w:rPr>
          <w:sz w:val="24"/>
          <w:szCs w:val="24"/>
          <w:rtl/>
        </w:rPr>
        <w:t xml:space="preserve"> </w:t>
      </w:r>
      <w:r w:rsidRPr="007408D5">
        <w:rPr>
          <w:rFonts w:hint="cs"/>
          <w:sz w:val="24"/>
          <w:szCs w:val="24"/>
          <w:rtl/>
        </w:rPr>
        <w:t>בשעיר</w:t>
      </w:r>
      <w:r w:rsidRPr="007408D5">
        <w:rPr>
          <w:sz w:val="24"/>
          <w:szCs w:val="24"/>
          <w:rtl/>
        </w:rPr>
        <w:t xml:space="preserve"> </w:t>
      </w:r>
      <w:r w:rsidRPr="007408D5">
        <w:rPr>
          <w:rFonts w:hint="cs"/>
          <w:sz w:val="24"/>
          <w:szCs w:val="24"/>
          <w:rtl/>
        </w:rPr>
        <w:t>שאינו</w:t>
      </w:r>
      <w:r w:rsidRPr="007408D5">
        <w:rPr>
          <w:sz w:val="24"/>
          <w:szCs w:val="24"/>
          <w:rtl/>
        </w:rPr>
        <w:t xml:space="preserve"> </w:t>
      </w:r>
      <w:r w:rsidRPr="007408D5">
        <w:rPr>
          <w:rFonts w:hint="cs"/>
          <w:sz w:val="24"/>
          <w:szCs w:val="24"/>
          <w:rtl/>
        </w:rPr>
        <w:t>מכפר</w:t>
      </w:r>
      <w:r w:rsidRPr="007408D5">
        <w:rPr>
          <w:sz w:val="24"/>
          <w:szCs w:val="24"/>
          <w:rtl/>
        </w:rPr>
        <w:t xml:space="preserve"> </w:t>
      </w:r>
      <w:r w:rsidRPr="007408D5">
        <w:rPr>
          <w:rFonts w:hint="cs"/>
          <w:sz w:val="24"/>
          <w:szCs w:val="24"/>
          <w:rtl/>
        </w:rPr>
        <w:t>אף</w:t>
      </w:r>
      <w:r w:rsidRPr="007408D5">
        <w:rPr>
          <w:sz w:val="24"/>
          <w:szCs w:val="24"/>
          <w:rtl/>
        </w:rPr>
        <w:t xml:space="preserve"> </w:t>
      </w:r>
      <w:r w:rsidRPr="007408D5">
        <w:rPr>
          <w:rFonts w:hint="cs"/>
          <w:sz w:val="24"/>
          <w:szCs w:val="24"/>
          <w:rtl/>
        </w:rPr>
        <w:t>על</w:t>
      </w:r>
      <w:r w:rsidRPr="007408D5">
        <w:rPr>
          <w:sz w:val="24"/>
          <w:szCs w:val="24"/>
          <w:rtl/>
        </w:rPr>
        <w:t xml:space="preserve"> </w:t>
      </w:r>
      <w:r w:rsidRPr="007408D5">
        <w:rPr>
          <w:rFonts w:hint="cs"/>
          <w:sz w:val="24"/>
          <w:szCs w:val="24"/>
          <w:rtl/>
        </w:rPr>
        <w:t>פי</w:t>
      </w:r>
      <w:r w:rsidRPr="007408D5">
        <w:rPr>
          <w:sz w:val="24"/>
          <w:szCs w:val="24"/>
          <w:rtl/>
        </w:rPr>
        <w:t xml:space="preserve"> </w:t>
      </w:r>
      <w:r w:rsidRPr="007408D5">
        <w:rPr>
          <w:rFonts w:hint="cs"/>
          <w:sz w:val="24"/>
          <w:szCs w:val="24"/>
          <w:rtl/>
        </w:rPr>
        <w:t>שהגרילו</w:t>
      </w:r>
      <w:r w:rsidRPr="007408D5">
        <w:rPr>
          <w:sz w:val="24"/>
          <w:szCs w:val="24"/>
          <w:rtl/>
        </w:rPr>
        <w:t xml:space="preserve"> </w:t>
      </w:r>
      <w:r w:rsidRPr="007408D5">
        <w:rPr>
          <w:rFonts w:hint="cs"/>
          <w:sz w:val="24"/>
          <w:szCs w:val="24"/>
          <w:rtl/>
        </w:rPr>
        <w:t>עליו</w:t>
      </w:r>
      <w:r w:rsidRPr="007408D5">
        <w:rPr>
          <w:sz w:val="24"/>
          <w:szCs w:val="24"/>
          <w:rtl/>
        </w:rPr>
        <w:t xml:space="preserve"> </w:t>
      </w:r>
      <w:r>
        <w:rPr>
          <w:rFonts w:hint="cs"/>
          <w:sz w:val="24"/>
          <w:szCs w:val="24"/>
          <w:rtl/>
        </w:rPr>
        <w:t>אלא אם כן</w:t>
      </w:r>
      <w:r w:rsidRPr="007408D5">
        <w:rPr>
          <w:sz w:val="24"/>
          <w:szCs w:val="24"/>
          <w:rtl/>
        </w:rPr>
        <w:t xml:space="preserve"> </w:t>
      </w:r>
      <w:r w:rsidRPr="007408D5">
        <w:rPr>
          <w:rFonts w:hint="cs"/>
          <w:sz w:val="24"/>
          <w:szCs w:val="24"/>
          <w:rtl/>
        </w:rPr>
        <w:t>נשתלח</w:t>
      </w:r>
      <w:r w:rsidRPr="007408D5">
        <w:rPr>
          <w:sz w:val="24"/>
          <w:szCs w:val="24"/>
          <w:rtl/>
        </w:rPr>
        <w:t xml:space="preserve">, </w:t>
      </w:r>
      <w:r w:rsidRPr="002D14B3">
        <w:rPr>
          <w:rFonts w:hint="eastAsia"/>
          <w:b/>
          <w:bCs/>
          <w:sz w:val="24"/>
          <w:szCs w:val="24"/>
          <w:rtl/>
        </w:rPr>
        <w:t>ושילוחו</w:t>
      </w:r>
      <w:r w:rsidRPr="002D14B3">
        <w:rPr>
          <w:b/>
          <w:bCs/>
          <w:sz w:val="24"/>
          <w:szCs w:val="24"/>
          <w:rtl/>
        </w:rPr>
        <w:t xml:space="preserve"> </w:t>
      </w:r>
      <w:r w:rsidRPr="002D14B3">
        <w:rPr>
          <w:rFonts w:hint="eastAsia"/>
          <w:b/>
          <w:bCs/>
          <w:sz w:val="24"/>
          <w:szCs w:val="24"/>
          <w:rtl/>
        </w:rPr>
        <w:t>קרי</w:t>
      </w:r>
      <w:r w:rsidRPr="002D14B3">
        <w:rPr>
          <w:b/>
          <w:bCs/>
          <w:sz w:val="24"/>
          <w:szCs w:val="24"/>
          <w:rtl/>
        </w:rPr>
        <w:t xml:space="preserve"> </w:t>
      </w:r>
      <w:r w:rsidRPr="002D14B3">
        <w:rPr>
          <w:rFonts w:hint="eastAsia"/>
          <w:b/>
          <w:bCs/>
          <w:sz w:val="24"/>
          <w:szCs w:val="24"/>
          <w:rtl/>
        </w:rPr>
        <w:t>קרבן</w:t>
      </w:r>
      <w:r w:rsidRPr="007408D5">
        <w:rPr>
          <w:sz w:val="24"/>
          <w:szCs w:val="24"/>
          <w:rtl/>
        </w:rPr>
        <w:t xml:space="preserve"> </w:t>
      </w:r>
      <w:r w:rsidRPr="007408D5">
        <w:rPr>
          <w:rFonts w:hint="cs"/>
          <w:sz w:val="24"/>
          <w:szCs w:val="24"/>
          <w:rtl/>
        </w:rPr>
        <w:t>לפי</w:t>
      </w:r>
      <w:r w:rsidRPr="007408D5">
        <w:rPr>
          <w:sz w:val="24"/>
          <w:szCs w:val="24"/>
          <w:rtl/>
        </w:rPr>
        <w:t xml:space="preserve"> </w:t>
      </w:r>
      <w:r w:rsidRPr="007408D5">
        <w:rPr>
          <w:rFonts w:hint="cs"/>
          <w:sz w:val="24"/>
          <w:szCs w:val="24"/>
          <w:rtl/>
        </w:rPr>
        <w:t>ששניהם</w:t>
      </w:r>
      <w:r w:rsidRPr="007408D5">
        <w:rPr>
          <w:sz w:val="24"/>
          <w:szCs w:val="24"/>
          <w:rtl/>
        </w:rPr>
        <w:t xml:space="preserve"> </w:t>
      </w:r>
      <w:r w:rsidRPr="007408D5">
        <w:rPr>
          <w:rFonts w:hint="cs"/>
          <w:sz w:val="24"/>
          <w:szCs w:val="24"/>
          <w:rtl/>
        </w:rPr>
        <w:t>שוים</w:t>
      </w:r>
      <w:r>
        <w:rPr>
          <w:rFonts w:hint="cs"/>
          <w:sz w:val="24"/>
          <w:szCs w:val="24"/>
          <w:rtl/>
        </w:rPr>
        <w:t>,</w:t>
      </w:r>
      <w:r w:rsidRPr="007408D5">
        <w:rPr>
          <w:sz w:val="24"/>
          <w:szCs w:val="24"/>
          <w:rtl/>
        </w:rPr>
        <w:t xml:space="preserve"> </w:t>
      </w:r>
      <w:r w:rsidRPr="007408D5">
        <w:rPr>
          <w:rFonts w:hint="cs"/>
          <w:sz w:val="24"/>
          <w:szCs w:val="24"/>
          <w:rtl/>
        </w:rPr>
        <w:t>הקרב</w:t>
      </w:r>
      <w:r w:rsidRPr="007408D5">
        <w:rPr>
          <w:sz w:val="24"/>
          <w:szCs w:val="24"/>
          <w:rtl/>
        </w:rPr>
        <w:t xml:space="preserve"> </w:t>
      </w:r>
      <w:r w:rsidRPr="007408D5">
        <w:rPr>
          <w:rFonts w:hint="cs"/>
          <w:sz w:val="24"/>
          <w:szCs w:val="24"/>
          <w:rtl/>
        </w:rPr>
        <w:t>בפנים</w:t>
      </w:r>
      <w:r w:rsidRPr="007408D5">
        <w:rPr>
          <w:sz w:val="24"/>
          <w:szCs w:val="24"/>
          <w:rtl/>
        </w:rPr>
        <w:t xml:space="preserve"> </w:t>
      </w:r>
      <w:r w:rsidRPr="007408D5">
        <w:rPr>
          <w:rFonts w:hint="cs"/>
          <w:sz w:val="24"/>
          <w:szCs w:val="24"/>
          <w:rtl/>
        </w:rPr>
        <w:t>והמשתלח</w:t>
      </w:r>
      <w:r>
        <w:rPr>
          <w:rFonts w:hint="cs"/>
          <w:sz w:val="24"/>
          <w:szCs w:val="24"/>
          <w:rtl/>
        </w:rPr>
        <w:t>,</w:t>
      </w:r>
      <w:r w:rsidRPr="007408D5">
        <w:rPr>
          <w:sz w:val="24"/>
          <w:szCs w:val="24"/>
          <w:rtl/>
        </w:rPr>
        <w:t xml:space="preserve"> </w:t>
      </w:r>
      <w:r w:rsidRPr="007408D5">
        <w:rPr>
          <w:rFonts w:hint="cs"/>
          <w:sz w:val="24"/>
          <w:szCs w:val="24"/>
          <w:rtl/>
        </w:rPr>
        <w:t>ושבפנים</w:t>
      </w:r>
      <w:r w:rsidRPr="007408D5">
        <w:rPr>
          <w:sz w:val="24"/>
          <w:szCs w:val="24"/>
          <w:rtl/>
        </w:rPr>
        <w:t xml:space="preserve"> </w:t>
      </w:r>
      <w:r w:rsidRPr="007408D5">
        <w:rPr>
          <w:rFonts w:hint="cs"/>
          <w:sz w:val="24"/>
          <w:szCs w:val="24"/>
          <w:rtl/>
        </w:rPr>
        <w:t>קרבן</w:t>
      </w:r>
      <w:r w:rsidRPr="007408D5">
        <w:rPr>
          <w:sz w:val="24"/>
          <w:szCs w:val="24"/>
          <w:rtl/>
        </w:rPr>
        <w:t xml:space="preserve"> </w:t>
      </w:r>
      <w:r w:rsidRPr="007408D5">
        <w:rPr>
          <w:rFonts w:hint="cs"/>
          <w:sz w:val="24"/>
          <w:szCs w:val="24"/>
          <w:rtl/>
        </w:rPr>
        <w:t>לד</w:t>
      </w:r>
      <w:r w:rsidRPr="007408D5">
        <w:rPr>
          <w:sz w:val="24"/>
          <w:szCs w:val="24"/>
          <w:rtl/>
        </w:rPr>
        <w:t xml:space="preserve">' </w:t>
      </w:r>
      <w:r w:rsidRPr="007408D5">
        <w:rPr>
          <w:rFonts w:hint="cs"/>
          <w:sz w:val="24"/>
          <w:szCs w:val="24"/>
          <w:rtl/>
        </w:rPr>
        <w:t>והשני</w:t>
      </w:r>
      <w:r w:rsidRPr="007408D5">
        <w:rPr>
          <w:sz w:val="24"/>
          <w:szCs w:val="24"/>
          <w:rtl/>
        </w:rPr>
        <w:t xml:space="preserve"> </w:t>
      </w:r>
      <w:r w:rsidRPr="007408D5">
        <w:rPr>
          <w:rFonts w:hint="cs"/>
          <w:sz w:val="24"/>
          <w:szCs w:val="24"/>
          <w:rtl/>
        </w:rPr>
        <w:t>מש</w:t>
      </w:r>
      <w:r>
        <w:rPr>
          <w:rFonts w:hint="cs"/>
          <w:sz w:val="24"/>
          <w:szCs w:val="24"/>
          <w:rtl/>
        </w:rPr>
        <w:t>ו</w:t>
      </w:r>
      <w:r w:rsidRPr="007408D5">
        <w:rPr>
          <w:rFonts w:hint="cs"/>
          <w:sz w:val="24"/>
          <w:szCs w:val="24"/>
          <w:rtl/>
        </w:rPr>
        <w:t>לח</w:t>
      </w:r>
      <w:r w:rsidRPr="007408D5">
        <w:rPr>
          <w:sz w:val="24"/>
          <w:szCs w:val="24"/>
          <w:rtl/>
        </w:rPr>
        <w:t xml:space="preserve"> </w:t>
      </w:r>
      <w:r w:rsidRPr="007408D5">
        <w:rPr>
          <w:rFonts w:hint="cs"/>
          <w:sz w:val="24"/>
          <w:szCs w:val="24"/>
          <w:rtl/>
        </w:rPr>
        <w:t>לעזאזל</w:t>
      </w:r>
      <w:r w:rsidRPr="007408D5">
        <w:rPr>
          <w:sz w:val="24"/>
          <w:szCs w:val="24"/>
          <w:rtl/>
        </w:rPr>
        <w:t>.</w:t>
      </w:r>
    </w:p>
    <w:p w:rsidR="00C26E1A" w:rsidRPr="007408D5" w:rsidRDefault="00C26E1A" w:rsidP="00C26E1A">
      <w:pPr>
        <w:spacing w:line="276" w:lineRule="auto"/>
        <w:ind w:left="720"/>
        <w:jc w:val="right"/>
        <w:rPr>
          <w:sz w:val="20"/>
          <w:szCs w:val="20"/>
          <w:rtl/>
        </w:rPr>
      </w:pPr>
      <w:r>
        <w:rPr>
          <w:rFonts w:hint="cs"/>
          <w:sz w:val="20"/>
          <w:szCs w:val="20"/>
          <w:rtl/>
        </w:rPr>
        <w:t>[רשב"א שבועות יג: ד"ה חומר]</w:t>
      </w:r>
    </w:p>
    <w:p w:rsidR="00C26E1A" w:rsidRDefault="00C26E1A" w:rsidP="00C26E1A">
      <w:pPr>
        <w:spacing w:line="276" w:lineRule="auto"/>
        <w:rPr>
          <w:sz w:val="24"/>
          <w:szCs w:val="24"/>
          <w:rtl/>
        </w:rPr>
      </w:pPr>
      <w:r>
        <w:rPr>
          <w:rFonts w:hint="cs"/>
          <w:sz w:val="24"/>
          <w:szCs w:val="24"/>
          <w:rtl/>
        </w:rPr>
        <w:t>מדברי הרשב"א עולה ששילוח השעיר מוגדר כהקרבה</w:t>
      </w:r>
      <w:r>
        <w:rPr>
          <w:rStyle w:val="a7"/>
          <w:sz w:val="24"/>
          <w:szCs w:val="24"/>
          <w:rtl/>
        </w:rPr>
        <w:footnoteReference w:id="129"/>
      </w:r>
      <w:r>
        <w:rPr>
          <w:rFonts w:hint="cs"/>
          <w:sz w:val="24"/>
          <w:szCs w:val="24"/>
          <w:rtl/>
        </w:rPr>
        <w:t>, וכשם שהשעיר לה' קרב בפנים, כך השעיר לעזאזל 'קרב' בחוץ, על ידי שילוחו למדבר</w:t>
      </w:r>
      <w:r>
        <w:rPr>
          <w:rStyle w:val="a7"/>
          <w:sz w:val="24"/>
          <w:szCs w:val="24"/>
          <w:rtl/>
        </w:rPr>
        <w:footnoteReference w:id="130"/>
      </w:r>
      <w:r>
        <w:rPr>
          <w:rFonts w:hint="cs"/>
          <w:sz w:val="24"/>
          <w:szCs w:val="24"/>
          <w:rtl/>
        </w:rPr>
        <w:t>.</w:t>
      </w:r>
    </w:p>
    <w:p w:rsidR="00C26E1A" w:rsidRDefault="00C26E1A" w:rsidP="00C26E1A">
      <w:pPr>
        <w:spacing w:line="276" w:lineRule="auto"/>
        <w:rPr>
          <w:sz w:val="24"/>
          <w:szCs w:val="24"/>
          <w:rtl/>
        </w:rPr>
      </w:pPr>
      <w:r>
        <w:rPr>
          <w:rFonts w:hint="cs"/>
          <w:sz w:val="24"/>
          <w:szCs w:val="24"/>
          <w:rtl/>
        </w:rPr>
        <w:t>נמצא, שבדברי הראשונים קיימת מחלוקת בשאלה האם מעמדו של השעיר כקרבן משתמר אף לאחר ההגרלה. ברם, יש לציין, שבגמרא מבואר שלכולי עלמא, לפחות חלק מהפסולים הנוהגים בקדשי המזבח, נוהגים בשעיר המשתלח גם לאחר ההגרלה:</w:t>
      </w:r>
    </w:p>
    <w:p w:rsidR="00C26E1A" w:rsidRDefault="00C26E1A" w:rsidP="00C26E1A">
      <w:pPr>
        <w:spacing w:line="276" w:lineRule="auto"/>
        <w:ind w:left="720"/>
        <w:rPr>
          <w:sz w:val="24"/>
          <w:szCs w:val="24"/>
          <w:rtl/>
        </w:rPr>
      </w:pPr>
      <w:r w:rsidRPr="001E51EC">
        <w:rPr>
          <w:rFonts w:hint="cs"/>
          <w:sz w:val="24"/>
          <w:szCs w:val="24"/>
          <w:rtl/>
        </w:rPr>
        <w:t>ירצה</w:t>
      </w:r>
      <w:r w:rsidRPr="001E51EC">
        <w:rPr>
          <w:sz w:val="24"/>
          <w:szCs w:val="24"/>
          <w:rtl/>
        </w:rPr>
        <w:t xml:space="preserve"> </w:t>
      </w:r>
      <w:r w:rsidRPr="001E51EC">
        <w:rPr>
          <w:rFonts w:hint="cs"/>
          <w:sz w:val="24"/>
          <w:szCs w:val="24"/>
          <w:rtl/>
        </w:rPr>
        <w:t>לקרבן</w:t>
      </w:r>
      <w:r w:rsidRPr="001E51EC">
        <w:rPr>
          <w:sz w:val="24"/>
          <w:szCs w:val="24"/>
          <w:rtl/>
        </w:rPr>
        <w:t xml:space="preserve"> </w:t>
      </w:r>
      <w:r w:rsidRPr="001E51EC">
        <w:rPr>
          <w:rFonts w:hint="cs"/>
          <w:sz w:val="24"/>
          <w:szCs w:val="24"/>
          <w:rtl/>
        </w:rPr>
        <w:t>אשה</w:t>
      </w:r>
      <w:r w:rsidRPr="001E51EC">
        <w:rPr>
          <w:sz w:val="24"/>
          <w:szCs w:val="24"/>
          <w:rtl/>
        </w:rPr>
        <w:t xml:space="preserve"> </w:t>
      </w:r>
      <w:r w:rsidRPr="001E51EC">
        <w:rPr>
          <w:rFonts w:hint="cs"/>
          <w:sz w:val="24"/>
          <w:szCs w:val="24"/>
          <w:rtl/>
        </w:rPr>
        <w:t>לה</w:t>
      </w:r>
      <w:r w:rsidRPr="001E51EC">
        <w:rPr>
          <w:sz w:val="24"/>
          <w:szCs w:val="24"/>
          <w:rtl/>
        </w:rPr>
        <w:t xml:space="preserve">' </w:t>
      </w:r>
      <w:r>
        <w:rPr>
          <w:sz w:val="24"/>
          <w:szCs w:val="24"/>
          <w:rtl/>
        </w:rPr>
        <w:t>–</w:t>
      </w:r>
      <w:r>
        <w:rPr>
          <w:rFonts w:hint="cs"/>
          <w:sz w:val="24"/>
          <w:szCs w:val="24"/>
          <w:rtl/>
        </w:rPr>
        <w:t xml:space="preserve"> </w:t>
      </w:r>
      <w:r w:rsidRPr="001E51EC">
        <w:rPr>
          <w:rFonts w:hint="cs"/>
          <w:sz w:val="24"/>
          <w:szCs w:val="24"/>
          <w:rtl/>
        </w:rPr>
        <w:t>אלו</w:t>
      </w:r>
      <w:r w:rsidRPr="001E51EC">
        <w:rPr>
          <w:sz w:val="24"/>
          <w:szCs w:val="24"/>
          <w:rtl/>
        </w:rPr>
        <w:t xml:space="preserve"> </w:t>
      </w:r>
      <w:r w:rsidRPr="001E51EC">
        <w:rPr>
          <w:rFonts w:hint="cs"/>
          <w:sz w:val="24"/>
          <w:szCs w:val="24"/>
          <w:rtl/>
        </w:rPr>
        <w:t>אישים</w:t>
      </w:r>
      <w:r>
        <w:rPr>
          <w:rFonts w:hint="cs"/>
          <w:sz w:val="24"/>
          <w:szCs w:val="24"/>
          <w:rtl/>
        </w:rPr>
        <w:t>.</w:t>
      </w:r>
      <w:r w:rsidRPr="001E51EC">
        <w:rPr>
          <w:sz w:val="24"/>
          <w:szCs w:val="24"/>
          <w:rtl/>
        </w:rPr>
        <w:t xml:space="preserve"> </w:t>
      </w:r>
      <w:r w:rsidRPr="001E51EC">
        <w:rPr>
          <w:rFonts w:hint="cs"/>
          <w:sz w:val="24"/>
          <w:szCs w:val="24"/>
          <w:rtl/>
        </w:rPr>
        <w:t>מנין</w:t>
      </w:r>
      <w:r w:rsidRPr="001E51EC">
        <w:rPr>
          <w:sz w:val="24"/>
          <w:szCs w:val="24"/>
          <w:rtl/>
        </w:rPr>
        <w:t xml:space="preserve"> </w:t>
      </w:r>
      <w:r w:rsidRPr="001E51EC">
        <w:rPr>
          <w:rFonts w:hint="cs"/>
          <w:sz w:val="24"/>
          <w:szCs w:val="24"/>
          <w:rtl/>
        </w:rPr>
        <w:t>שלא</w:t>
      </w:r>
      <w:r w:rsidRPr="001E51EC">
        <w:rPr>
          <w:sz w:val="24"/>
          <w:szCs w:val="24"/>
          <w:rtl/>
        </w:rPr>
        <w:t xml:space="preserve"> </w:t>
      </w:r>
      <w:r w:rsidRPr="001E51EC">
        <w:rPr>
          <w:rFonts w:hint="cs"/>
          <w:sz w:val="24"/>
          <w:szCs w:val="24"/>
          <w:rtl/>
        </w:rPr>
        <w:t>יקדישנו</w:t>
      </w:r>
      <w:r w:rsidRPr="001E51EC">
        <w:rPr>
          <w:sz w:val="24"/>
          <w:szCs w:val="24"/>
          <w:rtl/>
        </w:rPr>
        <w:t xml:space="preserve"> </w:t>
      </w:r>
      <w:r w:rsidRPr="001E51EC">
        <w:rPr>
          <w:rFonts w:hint="cs"/>
          <w:sz w:val="24"/>
          <w:szCs w:val="24"/>
          <w:rtl/>
        </w:rPr>
        <w:t>מחוסר</w:t>
      </w:r>
      <w:r w:rsidRPr="001E51EC">
        <w:rPr>
          <w:sz w:val="24"/>
          <w:szCs w:val="24"/>
          <w:rtl/>
        </w:rPr>
        <w:t xml:space="preserve"> </w:t>
      </w:r>
      <w:r w:rsidRPr="001E51EC">
        <w:rPr>
          <w:rFonts w:hint="cs"/>
          <w:sz w:val="24"/>
          <w:szCs w:val="24"/>
          <w:rtl/>
        </w:rPr>
        <w:t>זמן</w:t>
      </w:r>
      <w:r>
        <w:rPr>
          <w:rFonts w:hint="cs"/>
          <w:sz w:val="24"/>
          <w:szCs w:val="24"/>
          <w:rtl/>
        </w:rPr>
        <w:t>?</w:t>
      </w:r>
      <w:r w:rsidRPr="001E51EC">
        <w:rPr>
          <w:sz w:val="24"/>
          <w:szCs w:val="24"/>
          <w:rtl/>
        </w:rPr>
        <w:t xml:space="preserve"> </w:t>
      </w:r>
      <w:r w:rsidRPr="001E51EC">
        <w:rPr>
          <w:rFonts w:hint="cs"/>
          <w:sz w:val="24"/>
          <w:szCs w:val="24"/>
          <w:rtl/>
        </w:rPr>
        <w:t>תלמוד</w:t>
      </w:r>
      <w:r w:rsidRPr="001E51EC">
        <w:rPr>
          <w:sz w:val="24"/>
          <w:szCs w:val="24"/>
          <w:rtl/>
        </w:rPr>
        <w:t xml:space="preserve"> </w:t>
      </w:r>
      <w:r w:rsidRPr="001E51EC">
        <w:rPr>
          <w:rFonts w:hint="cs"/>
          <w:sz w:val="24"/>
          <w:szCs w:val="24"/>
          <w:rtl/>
        </w:rPr>
        <w:t>לומר</w:t>
      </w:r>
      <w:r w:rsidRPr="001E51EC">
        <w:rPr>
          <w:sz w:val="24"/>
          <w:szCs w:val="24"/>
          <w:rtl/>
        </w:rPr>
        <w:t xml:space="preserve"> </w:t>
      </w:r>
      <w:r>
        <w:rPr>
          <w:rFonts w:hint="cs"/>
          <w:sz w:val="24"/>
          <w:szCs w:val="24"/>
          <w:rtl/>
        </w:rPr>
        <w:t>'</w:t>
      </w:r>
      <w:r w:rsidRPr="001E51EC">
        <w:rPr>
          <w:rFonts w:hint="cs"/>
          <w:sz w:val="24"/>
          <w:szCs w:val="24"/>
          <w:rtl/>
        </w:rPr>
        <w:t>קרבן</w:t>
      </w:r>
      <w:r w:rsidRPr="001E51EC">
        <w:rPr>
          <w:sz w:val="24"/>
          <w:szCs w:val="24"/>
          <w:rtl/>
        </w:rPr>
        <w:t xml:space="preserve"> </w:t>
      </w:r>
      <w:r w:rsidRPr="001E51EC">
        <w:rPr>
          <w:rFonts w:hint="cs"/>
          <w:sz w:val="24"/>
          <w:szCs w:val="24"/>
          <w:rtl/>
        </w:rPr>
        <w:t>לה</w:t>
      </w:r>
      <w:r w:rsidRPr="001E51EC">
        <w:rPr>
          <w:sz w:val="24"/>
          <w:szCs w:val="24"/>
          <w:rtl/>
        </w:rPr>
        <w:t>'</w:t>
      </w:r>
      <w:r>
        <w:rPr>
          <w:rFonts w:hint="cs"/>
          <w:sz w:val="24"/>
          <w:szCs w:val="24"/>
          <w:rtl/>
        </w:rPr>
        <w:t>'</w:t>
      </w:r>
      <w:r w:rsidRPr="001E51EC">
        <w:rPr>
          <w:sz w:val="24"/>
          <w:szCs w:val="24"/>
          <w:rtl/>
        </w:rPr>
        <w:t xml:space="preserve"> </w:t>
      </w:r>
      <w:r>
        <w:rPr>
          <w:sz w:val="24"/>
          <w:szCs w:val="24"/>
          <w:rtl/>
        </w:rPr>
        <w:t>–</w:t>
      </w:r>
      <w:r>
        <w:rPr>
          <w:rFonts w:hint="cs"/>
          <w:sz w:val="24"/>
          <w:szCs w:val="24"/>
          <w:rtl/>
        </w:rPr>
        <w:t xml:space="preserve"> </w:t>
      </w:r>
      <w:r w:rsidRPr="001E51EC">
        <w:rPr>
          <w:rFonts w:hint="cs"/>
          <w:sz w:val="24"/>
          <w:szCs w:val="24"/>
          <w:rtl/>
        </w:rPr>
        <w:t>לרבות</w:t>
      </w:r>
      <w:r w:rsidRPr="001E51EC">
        <w:rPr>
          <w:sz w:val="24"/>
          <w:szCs w:val="24"/>
          <w:rtl/>
        </w:rPr>
        <w:t xml:space="preserve"> </w:t>
      </w:r>
      <w:r w:rsidRPr="001E51EC">
        <w:rPr>
          <w:rFonts w:hint="cs"/>
          <w:sz w:val="24"/>
          <w:szCs w:val="24"/>
          <w:rtl/>
        </w:rPr>
        <w:t>שעיר</w:t>
      </w:r>
      <w:r w:rsidRPr="001E51EC">
        <w:rPr>
          <w:sz w:val="24"/>
          <w:szCs w:val="24"/>
          <w:rtl/>
        </w:rPr>
        <w:t xml:space="preserve"> </w:t>
      </w:r>
      <w:r w:rsidRPr="001E51EC">
        <w:rPr>
          <w:rFonts w:hint="cs"/>
          <w:sz w:val="24"/>
          <w:szCs w:val="24"/>
          <w:rtl/>
        </w:rPr>
        <w:t>המשתלח</w:t>
      </w:r>
      <w:r>
        <w:rPr>
          <w:rFonts w:hint="cs"/>
          <w:sz w:val="24"/>
          <w:szCs w:val="24"/>
          <w:rtl/>
        </w:rPr>
        <w:t>.</w:t>
      </w:r>
    </w:p>
    <w:p w:rsidR="00C26E1A" w:rsidRPr="001E51EC" w:rsidRDefault="00C26E1A" w:rsidP="00C26E1A">
      <w:pPr>
        <w:spacing w:line="276" w:lineRule="auto"/>
        <w:ind w:left="720"/>
        <w:jc w:val="right"/>
        <w:rPr>
          <w:sz w:val="20"/>
          <w:szCs w:val="20"/>
          <w:rtl/>
        </w:rPr>
      </w:pPr>
      <w:r>
        <w:rPr>
          <w:rFonts w:hint="cs"/>
          <w:sz w:val="20"/>
          <w:szCs w:val="20"/>
          <w:rtl/>
        </w:rPr>
        <w:t>[סג:]</w:t>
      </w:r>
    </w:p>
    <w:p w:rsidR="00C26E1A" w:rsidRDefault="00C26E1A" w:rsidP="00C26E1A">
      <w:pPr>
        <w:spacing w:line="276" w:lineRule="auto"/>
        <w:ind w:left="720"/>
        <w:rPr>
          <w:sz w:val="24"/>
          <w:szCs w:val="24"/>
          <w:rtl/>
        </w:rPr>
      </w:pPr>
      <w:r w:rsidRPr="001E51EC">
        <w:rPr>
          <w:rFonts w:hint="cs"/>
          <w:sz w:val="24"/>
          <w:szCs w:val="24"/>
          <w:rtl/>
        </w:rPr>
        <w:t>דתניא</w:t>
      </w:r>
      <w:r>
        <w:rPr>
          <w:rFonts w:hint="cs"/>
          <w:sz w:val="24"/>
          <w:szCs w:val="24"/>
          <w:rtl/>
        </w:rPr>
        <w:t>,</w:t>
      </w:r>
      <w:r w:rsidRPr="001E51EC">
        <w:rPr>
          <w:sz w:val="24"/>
          <w:szCs w:val="24"/>
          <w:rtl/>
        </w:rPr>
        <w:t xml:space="preserve"> </w:t>
      </w:r>
      <w:r>
        <w:rPr>
          <w:rFonts w:hint="cs"/>
          <w:sz w:val="24"/>
          <w:szCs w:val="24"/>
          <w:rtl/>
        </w:rPr>
        <w:t>'</w:t>
      </w:r>
      <w:r w:rsidRPr="001E51EC">
        <w:rPr>
          <w:rFonts w:hint="cs"/>
          <w:sz w:val="24"/>
          <w:szCs w:val="24"/>
          <w:rtl/>
        </w:rPr>
        <w:t>ואשה</w:t>
      </w:r>
      <w:r w:rsidRPr="001E51EC">
        <w:rPr>
          <w:sz w:val="24"/>
          <w:szCs w:val="24"/>
          <w:rtl/>
        </w:rPr>
        <w:t xml:space="preserve"> </w:t>
      </w:r>
      <w:r w:rsidRPr="001E51EC">
        <w:rPr>
          <w:rFonts w:hint="cs"/>
          <w:sz w:val="24"/>
          <w:szCs w:val="24"/>
          <w:rtl/>
        </w:rPr>
        <w:t>לא</w:t>
      </w:r>
      <w:r w:rsidRPr="001E51EC">
        <w:rPr>
          <w:sz w:val="24"/>
          <w:szCs w:val="24"/>
          <w:rtl/>
        </w:rPr>
        <w:t xml:space="preserve"> </w:t>
      </w:r>
      <w:r w:rsidRPr="001E51EC">
        <w:rPr>
          <w:rFonts w:hint="cs"/>
          <w:sz w:val="24"/>
          <w:szCs w:val="24"/>
          <w:rtl/>
        </w:rPr>
        <w:t>תתנו</w:t>
      </w:r>
      <w:r w:rsidRPr="001E51EC">
        <w:rPr>
          <w:sz w:val="24"/>
          <w:szCs w:val="24"/>
          <w:rtl/>
        </w:rPr>
        <w:t xml:space="preserve"> </w:t>
      </w:r>
      <w:r w:rsidRPr="001E51EC">
        <w:rPr>
          <w:rFonts w:hint="cs"/>
          <w:sz w:val="24"/>
          <w:szCs w:val="24"/>
          <w:rtl/>
        </w:rPr>
        <w:t>מהם</w:t>
      </w:r>
      <w:r>
        <w:rPr>
          <w:rFonts w:hint="cs"/>
          <w:sz w:val="24"/>
          <w:szCs w:val="24"/>
          <w:rtl/>
        </w:rPr>
        <w:t xml:space="preserve">' </w:t>
      </w:r>
      <w:r>
        <w:rPr>
          <w:sz w:val="24"/>
          <w:szCs w:val="24"/>
          <w:rtl/>
        </w:rPr>
        <w:t>–</w:t>
      </w:r>
      <w:r w:rsidRPr="001E51EC">
        <w:rPr>
          <w:sz w:val="24"/>
          <w:szCs w:val="24"/>
          <w:rtl/>
        </w:rPr>
        <w:t xml:space="preserve"> </w:t>
      </w:r>
      <w:r w:rsidRPr="001E51EC">
        <w:rPr>
          <w:rFonts w:hint="cs"/>
          <w:sz w:val="24"/>
          <w:szCs w:val="24"/>
          <w:rtl/>
        </w:rPr>
        <w:t>אלו</w:t>
      </w:r>
      <w:r w:rsidRPr="001E51EC">
        <w:rPr>
          <w:sz w:val="24"/>
          <w:szCs w:val="24"/>
          <w:rtl/>
        </w:rPr>
        <w:t xml:space="preserve"> </w:t>
      </w:r>
      <w:r w:rsidRPr="001E51EC">
        <w:rPr>
          <w:rFonts w:hint="cs"/>
          <w:sz w:val="24"/>
          <w:szCs w:val="24"/>
          <w:rtl/>
        </w:rPr>
        <w:t>החלבים</w:t>
      </w:r>
      <w:r>
        <w:rPr>
          <w:rFonts w:hint="cs"/>
          <w:sz w:val="24"/>
          <w:szCs w:val="24"/>
          <w:rtl/>
        </w:rPr>
        <w:t>.</w:t>
      </w:r>
      <w:r w:rsidRPr="001E51EC">
        <w:rPr>
          <w:sz w:val="24"/>
          <w:szCs w:val="24"/>
          <w:rtl/>
        </w:rPr>
        <w:t xml:space="preserve"> </w:t>
      </w:r>
      <w:r w:rsidRPr="001E51EC">
        <w:rPr>
          <w:rFonts w:hint="cs"/>
          <w:sz w:val="24"/>
          <w:szCs w:val="24"/>
          <w:rtl/>
        </w:rPr>
        <w:t>אין</w:t>
      </w:r>
      <w:r w:rsidRPr="001E51EC">
        <w:rPr>
          <w:sz w:val="24"/>
          <w:szCs w:val="24"/>
          <w:rtl/>
        </w:rPr>
        <w:t xml:space="preserve"> </w:t>
      </w:r>
      <w:r w:rsidRPr="001E51EC">
        <w:rPr>
          <w:rFonts w:hint="cs"/>
          <w:sz w:val="24"/>
          <w:szCs w:val="24"/>
          <w:rtl/>
        </w:rPr>
        <w:t>לי</w:t>
      </w:r>
      <w:r w:rsidRPr="001E51EC">
        <w:rPr>
          <w:sz w:val="24"/>
          <w:szCs w:val="24"/>
          <w:rtl/>
        </w:rPr>
        <w:t xml:space="preserve"> </w:t>
      </w:r>
      <w:r w:rsidRPr="001E51EC">
        <w:rPr>
          <w:rFonts w:hint="cs"/>
          <w:sz w:val="24"/>
          <w:szCs w:val="24"/>
          <w:rtl/>
        </w:rPr>
        <w:t>אלא</w:t>
      </w:r>
      <w:r w:rsidRPr="001E51EC">
        <w:rPr>
          <w:sz w:val="24"/>
          <w:szCs w:val="24"/>
          <w:rtl/>
        </w:rPr>
        <w:t xml:space="preserve"> </w:t>
      </w:r>
      <w:r w:rsidRPr="001E51EC">
        <w:rPr>
          <w:rFonts w:hint="cs"/>
          <w:sz w:val="24"/>
          <w:szCs w:val="24"/>
          <w:rtl/>
        </w:rPr>
        <w:t>כולן</w:t>
      </w:r>
      <w:r>
        <w:rPr>
          <w:rFonts w:hint="cs"/>
          <w:sz w:val="24"/>
          <w:szCs w:val="24"/>
          <w:rtl/>
        </w:rPr>
        <w:t>,</w:t>
      </w:r>
      <w:r w:rsidRPr="001E51EC">
        <w:rPr>
          <w:sz w:val="24"/>
          <w:szCs w:val="24"/>
          <w:rtl/>
        </w:rPr>
        <w:t xml:space="preserve"> </w:t>
      </w:r>
      <w:r w:rsidRPr="001E51EC">
        <w:rPr>
          <w:rFonts w:hint="cs"/>
          <w:sz w:val="24"/>
          <w:szCs w:val="24"/>
          <w:rtl/>
        </w:rPr>
        <w:t>מקצתן</w:t>
      </w:r>
      <w:r w:rsidRPr="001E51EC">
        <w:rPr>
          <w:sz w:val="24"/>
          <w:szCs w:val="24"/>
          <w:rtl/>
        </w:rPr>
        <w:t xml:space="preserve"> </w:t>
      </w:r>
      <w:r w:rsidRPr="001E51EC">
        <w:rPr>
          <w:rFonts w:hint="cs"/>
          <w:sz w:val="24"/>
          <w:szCs w:val="24"/>
          <w:rtl/>
        </w:rPr>
        <w:t>מנין</w:t>
      </w:r>
      <w:r>
        <w:rPr>
          <w:rFonts w:hint="cs"/>
          <w:sz w:val="24"/>
          <w:szCs w:val="24"/>
          <w:rtl/>
        </w:rPr>
        <w:t>?</w:t>
      </w:r>
      <w:r w:rsidRPr="001E51EC">
        <w:rPr>
          <w:sz w:val="24"/>
          <w:szCs w:val="24"/>
          <w:rtl/>
        </w:rPr>
        <w:t xml:space="preserve"> </w:t>
      </w:r>
      <w:r w:rsidRPr="001E51EC">
        <w:rPr>
          <w:rFonts w:hint="cs"/>
          <w:sz w:val="24"/>
          <w:szCs w:val="24"/>
          <w:rtl/>
        </w:rPr>
        <w:t>תלמוד</w:t>
      </w:r>
      <w:r w:rsidRPr="001E51EC">
        <w:rPr>
          <w:sz w:val="24"/>
          <w:szCs w:val="24"/>
          <w:rtl/>
        </w:rPr>
        <w:t xml:space="preserve"> </w:t>
      </w:r>
      <w:r w:rsidRPr="001E51EC">
        <w:rPr>
          <w:rFonts w:hint="cs"/>
          <w:sz w:val="24"/>
          <w:szCs w:val="24"/>
          <w:rtl/>
        </w:rPr>
        <w:t>לומר</w:t>
      </w:r>
      <w:r w:rsidRPr="001E51EC">
        <w:rPr>
          <w:sz w:val="24"/>
          <w:szCs w:val="24"/>
          <w:rtl/>
        </w:rPr>
        <w:t xml:space="preserve"> </w:t>
      </w:r>
      <w:r>
        <w:rPr>
          <w:rFonts w:hint="cs"/>
          <w:sz w:val="24"/>
          <w:szCs w:val="24"/>
          <w:rtl/>
        </w:rPr>
        <w:t>'</w:t>
      </w:r>
      <w:r w:rsidRPr="001E51EC">
        <w:rPr>
          <w:rFonts w:hint="cs"/>
          <w:sz w:val="24"/>
          <w:szCs w:val="24"/>
          <w:rtl/>
        </w:rPr>
        <w:t>מהם</w:t>
      </w:r>
      <w:r w:rsidRPr="001E51EC">
        <w:rPr>
          <w:sz w:val="24"/>
          <w:szCs w:val="24"/>
          <w:rtl/>
        </w:rPr>
        <w:t xml:space="preserve"> </w:t>
      </w:r>
      <w:r w:rsidRPr="001E51EC">
        <w:rPr>
          <w:rFonts w:hint="cs"/>
          <w:sz w:val="24"/>
          <w:szCs w:val="24"/>
          <w:rtl/>
        </w:rPr>
        <w:t>מזבח</w:t>
      </w:r>
      <w:r>
        <w:rPr>
          <w:rFonts w:hint="cs"/>
          <w:sz w:val="24"/>
          <w:szCs w:val="24"/>
          <w:rtl/>
        </w:rPr>
        <w:t xml:space="preserve">' </w:t>
      </w:r>
      <w:r>
        <w:rPr>
          <w:sz w:val="24"/>
          <w:szCs w:val="24"/>
          <w:rtl/>
        </w:rPr>
        <w:t>–</w:t>
      </w:r>
      <w:r w:rsidRPr="001E51EC">
        <w:rPr>
          <w:sz w:val="24"/>
          <w:szCs w:val="24"/>
          <w:rtl/>
        </w:rPr>
        <w:t xml:space="preserve"> </w:t>
      </w:r>
      <w:r w:rsidRPr="001E51EC">
        <w:rPr>
          <w:rFonts w:hint="cs"/>
          <w:sz w:val="24"/>
          <w:szCs w:val="24"/>
          <w:rtl/>
        </w:rPr>
        <w:t>זו</w:t>
      </w:r>
      <w:r w:rsidRPr="001E51EC">
        <w:rPr>
          <w:sz w:val="24"/>
          <w:szCs w:val="24"/>
          <w:rtl/>
        </w:rPr>
        <w:t xml:space="preserve"> </w:t>
      </w:r>
      <w:r w:rsidRPr="001E51EC">
        <w:rPr>
          <w:rFonts w:hint="cs"/>
          <w:sz w:val="24"/>
          <w:szCs w:val="24"/>
          <w:rtl/>
        </w:rPr>
        <w:t>זריקת</w:t>
      </w:r>
      <w:r w:rsidRPr="001E51EC">
        <w:rPr>
          <w:sz w:val="24"/>
          <w:szCs w:val="24"/>
          <w:rtl/>
        </w:rPr>
        <w:t xml:space="preserve"> </w:t>
      </w:r>
      <w:r w:rsidRPr="001E51EC">
        <w:rPr>
          <w:rFonts w:hint="cs"/>
          <w:sz w:val="24"/>
          <w:szCs w:val="24"/>
          <w:rtl/>
        </w:rPr>
        <w:t>דמים</w:t>
      </w:r>
      <w:r>
        <w:rPr>
          <w:rFonts w:hint="cs"/>
          <w:sz w:val="24"/>
          <w:szCs w:val="24"/>
          <w:rtl/>
        </w:rPr>
        <w:t>,</w:t>
      </w:r>
      <w:r w:rsidRPr="001E51EC">
        <w:rPr>
          <w:sz w:val="24"/>
          <w:szCs w:val="24"/>
          <w:rtl/>
        </w:rPr>
        <w:t xml:space="preserve"> </w:t>
      </w:r>
      <w:r>
        <w:rPr>
          <w:rFonts w:hint="cs"/>
          <w:sz w:val="24"/>
          <w:szCs w:val="24"/>
          <w:rtl/>
        </w:rPr>
        <w:t>'</w:t>
      </w:r>
      <w:r w:rsidRPr="001E51EC">
        <w:rPr>
          <w:rFonts w:hint="cs"/>
          <w:sz w:val="24"/>
          <w:szCs w:val="24"/>
          <w:rtl/>
        </w:rPr>
        <w:t>לה</w:t>
      </w:r>
      <w:r w:rsidRPr="001E51EC">
        <w:rPr>
          <w:sz w:val="24"/>
          <w:szCs w:val="24"/>
          <w:rtl/>
        </w:rPr>
        <w:t>'</w:t>
      </w:r>
      <w:r>
        <w:rPr>
          <w:rFonts w:hint="cs"/>
          <w:sz w:val="24"/>
          <w:szCs w:val="24"/>
          <w:rtl/>
        </w:rPr>
        <w:t xml:space="preserve">' </w:t>
      </w:r>
      <w:r>
        <w:rPr>
          <w:sz w:val="24"/>
          <w:szCs w:val="24"/>
          <w:rtl/>
        </w:rPr>
        <w:t>–</w:t>
      </w:r>
      <w:r w:rsidRPr="001E51EC">
        <w:rPr>
          <w:sz w:val="24"/>
          <w:szCs w:val="24"/>
          <w:rtl/>
        </w:rPr>
        <w:t xml:space="preserve"> </w:t>
      </w:r>
      <w:r w:rsidRPr="001E51EC">
        <w:rPr>
          <w:rFonts w:hint="cs"/>
          <w:sz w:val="24"/>
          <w:szCs w:val="24"/>
          <w:rtl/>
        </w:rPr>
        <w:t>לרבות</w:t>
      </w:r>
      <w:r w:rsidRPr="001E51EC">
        <w:rPr>
          <w:sz w:val="24"/>
          <w:szCs w:val="24"/>
          <w:rtl/>
        </w:rPr>
        <w:t xml:space="preserve"> </w:t>
      </w:r>
      <w:r w:rsidRPr="001E51EC">
        <w:rPr>
          <w:rFonts w:hint="cs"/>
          <w:sz w:val="24"/>
          <w:szCs w:val="24"/>
          <w:rtl/>
        </w:rPr>
        <w:t>שעיר</w:t>
      </w:r>
      <w:r w:rsidRPr="001E51EC">
        <w:rPr>
          <w:sz w:val="24"/>
          <w:szCs w:val="24"/>
          <w:rtl/>
        </w:rPr>
        <w:t xml:space="preserve"> </w:t>
      </w:r>
      <w:r w:rsidRPr="001E51EC">
        <w:rPr>
          <w:rFonts w:hint="cs"/>
          <w:sz w:val="24"/>
          <w:szCs w:val="24"/>
          <w:rtl/>
        </w:rPr>
        <w:t>המשתלח</w:t>
      </w:r>
      <w:r>
        <w:rPr>
          <w:rFonts w:hint="cs"/>
          <w:sz w:val="24"/>
          <w:szCs w:val="24"/>
          <w:rtl/>
        </w:rPr>
        <w:t>.</w:t>
      </w:r>
    </w:p>
    <w:p w:rsidR="00C26E1A" w:rsidRPr="001E51EC" w:rsidRDefault="00C26E1A" w:rsidP="00C26E1A">
      <w:pPr>
        <w:spacing w:line="276" w:lineRule="auto"/>
        <w:ind w:left="720"/>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t xml:space="preserve">בסוגיות </w:t>
      </w:r>
      <w:r>
        <w:rPr>
          <w:rFonts w:hint="cs"/>
          <w:sz w:val="20"/>
          <w:szCs w:val="20"/>
          <w:rtl/>
        </w:rPr>
        <w:t>[יומא סג: תמורה ו:]</w:t>
      </w:r>
      <w:r>
        <w:rPr>
          <w:rFonts w:hint="cs"/>
          <w:sz w:val="24"/>
          <w:szCs w:val="24"/>
          <w:rtl/>
        </w:rPr>
        <w:t xml:space="preserve"> מבואר שהצורך בדרשות אלו הוא בכדי ללמד שפסולים אלו נוהגים אף לאחר ההגרלה, שכן קודם ההגרלה פסולים אלו נלמדים מכח הכלל "אין הגורל קובע אלא בראוי לשם". נראה שצריך לומר שהראשונים יבארו את משמעות פטורים אלו על פי שיטתם. מי שסובר שמעמד השעיר כקרבן פוקע מיד לאחר ההגרלה, יאמר שמדובר בדיני פטור ייחודיים שנלמדים מדרשה מיוחדת, ואין להסיק מהם שהשעיר המשתלח מוגדר כקורבן. לעומת זאת, מי שסובר </w:t>
      </w:r>
      <w:r>
        <w:rPr>
          <w:rFonts w:hint="cs"/>
          <w:sz w:val="24"/>
          <w:szCs w:val="24"/>
          <w:rtl/>
        </w:rPr>
        <w:lastRenderedPageBreak/>
        <w:t>שמעמד השעיר כקרבן נותר אף לאחר ההגרלה, יאמר שדיני הפטור הנלמדים בברייתות מלמדים על עיקרון כללי יותר, לפיו כל הלכות הפסול הנוהגות בקדשי המזבח, נוהגות אף בשעיר</w:t>
      </w:r>
      <w:r>
        <w:rPr>
          <w:rStyle w:val="a7"/>
          <w:sz w:val="24"/>
          <w:szCs w:val="24"/>
          <w:rtl/>
        </w:rPr>
        <w:footnoteReference w:id="131"/>
      </w:r>
      <w:r>
        <w:rPr>
          <w:rFonts w:hint="cs"/>
          <w:sz w:val="24"/>
          <w:szCs w:val="24"/>
          <w:rtl/>
        </w:rPr>
        <w:t xml:space="preserve">. </w:t>
      </w:r>
    </w:p>
    <w:p w:rsidR="00C26E1A" w:rsidRDefault="00C26E1A" w:rsidP="00C26E1A">
      <w:pPr>
        <w:spacing w:line="276" w:lineRule="auto"/>
        <w:rPr>
          <w:sz w:val="24"/>
          <w:szCs w:val="24"/>
          <w:rtl/>
        </w:rPr>
      </w:pPr>
    </w:p>
    <w:p w:rsidR="00C26E1A" w:rsidRDefault="00C26E1A" w:rsidP="00C26E1A">
      <w:pPr>
        <w:spacing w:line="276" w:lineRule="auto"/>
        <w:rPr>
          <w:sz w:val="24"/>
          <w:szCs w:val="24"/>
          <w:rtl/>
        </w:rPr>
      </w:pPr>
      <w:r>
        <w:rPr>
          <w:rFonts w:hint="cs"/>
          <w:sz w:val="24"/>
          <w:szCs w:val="24"/>
          <w:rtl/>
        </w:rPr>
        <w:t>עד כה הנחנו, שבנוגע למעמד השעיר לאחר ההגרלה ישנן שתי אפשרויות: או שמעמדו נותר כקרבן גם לאחר ההגרלה, או שמעמדו כקרבן פוגע מיד לאחר ההגרלה. בדברי הרמב"ם אנו מוצאים עמדה שלישית בעניין זה:</w:t>
      </w:r>
    </w:p>
    <w:p w:rsidR="00C26E1A" w:rsidRDefault="00C26E1A" w:rsidP="00782FFD">
      <w:pPr>
        <w:spacing w:line="276" w:lineRule="auto"/>
        <w:ind w:left="720"/>
        <w:rPr>
          <w:sz w:val="24"/>
          <w:szCs w:val="24"/>
          <w:rtl/>
        </w:rPr>
      </w:pPr>
      <w:r w:rsidRPr="007D5980">
        <w:rPr>
          <w:rFonts w:hint="cs"/>
          <w:sz w:val="24"/>
          <w:szCs w:val="24"/>
          <w:rtl/>
        </w:rPr>
        <w:t>שני</w:t>
      </w:r>
      <w:r w:rsidRPr="007D5980">
        <w:rPr>
          <w:sz w:val="24"/>
          <w:szCs w:val="24"/>
          <w:rtl/>
        </w:rPr>
        <w:t xml:space="preserve"> </w:t>
      </w:r>
      <w:r w:rsidRPr="007D5980">
        <w:rPr>
          <w:rFonts w:hint="cs"/>
          <w:sz w:val="24"/>
          <w:szCs w:val="24"/>
          <w:rtl/>
        </w:rPr>
        <w:t>שעירי</w:t>
      </w:r>
      <w:r w:rsidRPr="007D5980">
        <w:rPr>
          <w:sz w:val="24"/>
          <w:szCs w:val="24"/>
          <w:rtl/>
        </w:rPr>
        <w:t xml:space="preserve"> </w:t>
      </w:r>
      <w:r w:rsidRPr="007D5980">
        <w:rPr>
          <w:rFonts w:hint="cs"/>
          <w:sz w:val="24"/>
          <w:szCs w:val="24"/>
          <w:rtl/>
        </w:rPr>
        <w:t>יום</w:t>
      </w:r>
      <w:r w:rsidRPr="007D5980">
        <w:rPr>
          <w:sz w:val="24"/>
          <w:szCs w:val="24"/>
          <w:rtl/>
        </w:rPr>
        <w:t xml:space="preserve"> </w:t>
      </w:r>
      <w:r w:rsidRPr="007D5980">
        <w:rPr>
          <w:rFonts w:hint="cs"/>
          <w:sz w:val="24"/>
          <w:szCs w:val="24"/>
          <w:rtl/>
        </w:rPr>
        <w:t>הכפורים</w:t>
      </w:r>
      <w:r w:rsidRPr="007D5980">
        <w:rPr>
          <w:sz w:val="24"/>
          <w:szCs w:val="24"/>
          <w:rtl/>
        </w:rPr>
        <w:t xml:space="preserve"> </w:t>
      </w:r>
      <w:r w:rsidRPr="007D5980">
        <w:rPr>
          <w:rFonts w:hint="cs"/>
          <w:sz w:val="24"/>
          <w:szCs w:val="24"/>
          <w:rtl/>
        </w:rPr>
        <w:t>ששחטם</w:t>
      </w:r>
      <w:r w:rsidRPr="007D5980">
        <w:rPr>
          <w:sz w:val="24"/>
          <w:szCs w:val="24"/>
          <w:rtl/>
        </w:rPr>
        <w:t xml:space="preserve"> </w:t>
      </w:r>
      <w:r w:rsidRPr="007D5980">
        <w:rPr>
          <w:rFonts w:hint="cs"/>
          <w:sz w:val="24"/>
          <w:szCs w:val="24"/>
          <w:rtl/>
        </w:rPr>
        <w:t>בחוץ</w:t>
      </w:r>
      <w:r w:rsidRPr="007D5980">
        <w:rPr>
          <w:sz w:val="24"/>
          <w:szCs w:val="24"/>
          <w:rtl/>
        </w:rPr>
        <w:t xml:space="preserve">, </w:t>
      </w:r>
      <w:r w:rsidRPr="007D5980">
        <w:rPr>
          <w:rFonts w:hint="cs"/>
          <w:sz w:val="24"/>
          <w:szCs w:val="24"/>
          <w:rtl/>
        </w:rPr>
        <w:t>אם</w:t>
      </w:r>
      <w:r w:rsidRPr="007D5980">
        <w:rPr>
          <w:sz w:val="24"/>
          <w:szCs w:val="24"/>
          <w:rtl/>
        </w:rPr>
        <w:t xml:space="preserve"> </w:t>
      </w:r>
      <w:r w:rsidRPr="007D5980">
        <w:rPr>
          <w:rFonts w:hint="cs"/>
          <w:sz w:val="24"/>
          <w:szCs w:val="24"/>
          <w:rtl/>
        </w:rPr>
        <w:t>עד</w:t>
      </w:r>
      <w:r w:rsidRPr="007D5980">
        <w:rPr>
          <w:sz w:val="24"/>
          <w:szCs w:val="24"/>
          <w:rtl/>
        </w:rPr>
        <w:t xml:space="preserve"> </w:t>
      </w:r>
      <w:r w:rsidRPr="007D5980">
        <w:rPr>
          <w:rFonts w:hint="cs"/>
          <w:sz w:val="24"/>
          <w:szCs w:val="24"/>
          <w:rtl/>
        </w:rPr>
        <w:t>שלא</w:t>
      </w:r>
      <w:r w:rsidRPr="007D5980">
        <w:rPr>
          <w:sz w:val="24"/>
          <w:szCs w:val="24"/>
          <w:rtl/>
        </w:rPr>
        <w:t xml:space="preserve"> </w:t>
      </w:r>
      <w:r w:rsidRPr="007D5980">
        <w:rPr>
          <w:rFonts w:hint="cs"/>
          <w:sz w:val="24"/>
          <w:szCs w:val="24"/>
          <w:rtl/>
        </w:rPr>
        <w:t>התודה</w:t>
      </w:r>
      <w:r w:rsidRPr="007D5980">
        <w:rPr>
          <w:sz w:val="24"/>
          <w:szCs w:val="24"/>
          <w:rtl/>
        </w:rPr>
        <w:t xml:space="preserve"> </w:t>
      </w:r>
      <w:r w:rsidRPr="007D5980">
        <w:rPr>
          <w:rFonts w:hint="cs"/>
          <w:sz w:val="24"/>
          <w:szCs w:val="24"/>
          <w:rtl/>
        </w:rPr>
        <w:t>עליהם</w:t>
      </w:r>
      <w:r w:rsidRPr="007D5980">
        <w:rPr>
          <w:sz w:val="24"/>
          <w:szCs w:val="24"/>
          <w:rtl/>
        </w:rPr>
        <w:t xml:space="preserve"> </w:t>
      </w:r>
      <w:r w:rsidRPr="007D5980">
        <w:rPr>
          <w:rFonts w:hint="cs"/>
          <w:sz w:val="24"/>
          <w:szCs w:val="24"/>
          <w:rtl/>
        </w:rPr>
        <w:t>חייב</w:t>
      </w:r>
      <w:r w:rsidRPr="007D5980">
        <w:rPr>
          <w:sz w:val="24"/>
          <w:szCs w:val="24"/>
          <w:rtl/>
        </w:rPr>
        <w:t xml:space="preserve"> </w:t>
      </w:r>
      <w:r w:rsidRPr="007D5980">
        <w:rPr>
          <w:rFonts w:hint="cs"/>
          <w:sz w:val="24"/>
          <w:szCs w:val="24"/>
          <w:rtl/>
        </w:rPr>
        <w:t>כרת</w:t>
      </w:r>
      <w:r w:rsidRPr="007D5980">
        <w:rPr>
          <w:sz w:val="24"/>
          <w:szCs w:val="24"/>
          <w:rtl/>
        </w:rPr>
        <w:t xml:space="preserve"> </w:t>
      </w:r>
      <w:r w:rsidRPr="007D5980">
        <w:rPr>
          <w:rFonts w:hint="cs"/>
          <w:sz w:val="24"/>
          <w:szCs w:val="24"/>
          <w:rtl/>
        </w:rPr>
        <w:t>על</w:t>
      </w:r>
      <w:r w:rsidRPr="007D5980">
        <w:rPr>
          <w:sz w:val="24"/>
          <w:szCs w:val="24"/>
          <w:rtl/>
        </w:rPr>
        <w:t xml:space="preserve"> </w:t>
      </w:r>
      <w:r w:rsidRPr="007D5980">
        <w:rPr>
          <w:rFonts w:hint="cs"/>
          <w:sz w:val="24"/>
          <w:szCs w:val="24"/>
          <w:rtl/>
        </w:rPr>
        <w:t>שניהן</w:t>
      </w:r>
      <w:r w:rsidRPr="007D5980">
        <w:rPr>
          <w:sz w:val="24"/>
          <w:szCs w:val="24"/>
          <w:rtl/>
        </w:rPr>
        <w:t xml:space="preserve"> </w:t>
      </w:r>
      <w:r w:rsidRPr="007D5980">
        <w:rPr>
          <w:rFonts w:hint="cs"/>
          <w:sz w:val="24"/>
          <w:szCs w:val="24"/>
          <w:rtl/>
        </w:rPr>
        <w:t>הואיל</w:t>
      </w:r>
      <w:r w:rsidRPr="007D5980">
        <w:rPr>
          <w:sz w:val="24"/>
          <w:szCs w:val="24"/>
          <w:rtl/>
        </w:rPr>
        <w:t xml:space="preserve"> </w:t>
      </w:r>
      <w:r w:rsidRPr="007D5980">
        <w:rPr>
          <w:rFonts w:hint="cs"/>
          <w:sz w:val="24"/>
          <w:szCs w:val="24"/>
          <w:rtl/>
        </w:rPr>
        <w:t>וראויין</w:t>
      </w:r>
      <w:r w:rsidRPr="007D5980">
        <w:rPr>
          <w:sz w:val="24"/>
          <w:szCs w:val="24"/>
          <w:rtl/>
        </w:rPr>
        <w:t xml:space="preserve"> </w:t>
      </w:r>
      <w:r w:rsidRPr="007D5980">
        <w:rPr>
          <w:rFonts w:hint="cs"/>
          <w:sz w:val="24"/>
          <w:szCs w:val="24"/>
          <w:rtl/>
        </w:rPr>
        <w:t>לבוא</w:t>
      </w:r>
      <w:r w:rsidRPr="007D5980">
        <w:rPr>
          <w:sz w:val="24"/>
          <w:szCs w:val="24"/>
          <w:rtl/>
        </w:rPr>
        <w:t xml:space="preserve"> </w:t>
      </w:r>
      <w:r w:rsidRPr="007D5980">
        <w:rPr>
          <w:rFonts w:hint="cs"/>
          <w:sz w:val="24"/>
          <w:szCs w:val="24"/>
          <w:rtl/>
        </w:rPr>
        <w:t>לפני</w:t>
      </w:r>
      <w:r w:rsidRPr="007D5980">
        <w:rPr>
          <w:sz w:val="24"/>
          <w:szCs w:val="24"/>
          <w:rtl/>
        </w:rPr>
        <w:t xml:space="preserve"> </w:t>
      </w:r>
      <w:r w:rsidRPr="007D5980">
        <w:rPr>
          <w:rFonts w:hint="cs"/>
          <w:sz w:val="24"/>
          <w:szCs w:val="24"/>
          <w:rtl/>
        </w:rPr>
        <w:t>השם</w:t>
      </w:r>
      <w:r w:rsidRPr="007D5980">
        <w:rPr>
          <w:sz w:val="24"/>
          <w:szCs w:val="24"/>
          <w:rtl/>
        </w:rPr>
        <w:t xml:space="preserve"> </w:t>
      </w:r>
      <w:r w:rsidRPr="007D5980">
        <w:rPr>
          <w:rFonts w:hint="cs"/>
          <w:sz w:val="24"/>
          <w:szCs w:val="24"/>
          <w:rtl/>
        </w:rPr>
        <w:t>לוידוי</w:t>
      </w:r>
      <w:r w:rsidRPr="007D5980">
        <w:rPr>
          <w:sz w:val="24"/>
          <w:szCs w:val="24"/>
          <w:rtl/>
        </w:rPr>
        <w:t xml:space="preserve">, </w:t>
      </w:r>
      <w:r w:rsidRPr="007D5980">
        <w:rPr>
          <w:rFonts w:hint="cs"/>
          <w:sz w:val="24"/>
          <w:szCs w:val="24"/>
          <w:rtl/>
        </w:rPr>
        <w:t>ואם</w:t>
      </w:r>
      <w:r w:rsidRPr="007D5980">
        <w:rPr>
          <w:sz w:val="24"/>
          <w:szCs w:val="24"/>
          <w:rtl/>
        </w:rPr>
        <w:t xml:space="preserve"> </w:t>
      </w:r>
      <w:r w:rsidRPr="007D5980">
        <w:rPr>
          <w:rFonts w:hint="cs"/>
          <w:sz w:val="24"/>
          <w:szCs w:val="24"/>
          <w:rtl/>
        </w:rPr>
        <w:t>אחר</w:t>
      </w:r>
      <w:r w:rsidRPr="007D5980">
        <w:rPr>
          <w:sz w:val="24"/>
          <w:szCs w:val="24"/>
          <w:rtl/>
        </w:rPr>
        <w:t xml:space="preserve"> </w:t>
      </w:r>
      <w:r w:rsidRPr="007D5980">
        <w:rPr>
          <w:rFonts w:hint="cs"/>
          <w:sz w:val="24"/>
          <w:szCs w:val="24"/>
          <w:rtl/>
        </w:rPr>
        <w:t>שהתודה</w:t>
      </w:r>
      <w:r w:rsidRPr="007D5980">
        <w:rPr>
          <w:sz w:val="24"/>
          <w:szCs w:val="24"/>
          <w:rtl/>
        </w:rPr>
        <w:t xml:space="preserve"> </w:t>
      </w:r>
      <w:r w:rsidRPr="007D5980">
        <w:rPr>
          <w:rFonts w:hint="cs"/>
          <w:sz w:val="24"/>
          <w:szCs w:val="24"/>
          <w:rtl/>
        </w:rPr>
        <w:t>פטור</w:t>
      </w:r>
      <w:r w:rsidRPr="007D5980">
        <w:rPr>
          <w:sz w:val="24"/>
          <w:szCs w:val="24"/>
          <w:rtl/>
        </w:rPr>
        <w:t xml:space="preserve"> </w:t>
      </w:r>
      <w:r w:rsidRPr="007D5980">
        <w:rPr>
          <w:rFonts w:hint="cs"/>
          <w:sz w:val="24"/>
          <w:szCs w:val="24"/>
          <w:rtl/>
        </w:rPr>
        <w:t>על</w:t>
      </w:r>
      <w:r w:rsidRPr="007D5980">
        <w:rPr>
          <w:sz w:val="24"/>
          <w:szCs w:val="24"/>
          <w:rtl/>
        </w:rPr>
        <w:t xml:space="preserve"> </w:t>
      </w:r>
      <w:r w:rsidRPr="007D5980">
        <w:rPr>
          <w:rFonts w:hint="cs"/>
          <w:sz w:val="24"/>
          <w:szCs w:val="24"/>
          <w:rtl/>
        </w:rPr>
        <w:t>המשתלח</w:t>
      </w:r>
      <w:r w:rsidRPr="007D5980">
        <w:rPr>
          <w:sz w:val="24"/>
          <w:szCs w:val="24"/>
          <w:rtl/>
        </w:rPr>
        <w:t xml:space="preserve"> </w:t>
      </w:r>
      <w:r w:rsidRPr="007D5980">
        <w:rPr>
          <w:rFonts w:hint="cs"/>
          <w:sz w:val="24"/>
          <w:szCs w:val="24"/>
          <w:rtl/>
        </w:rPr>
        <w:t>שהרי</w:t>
      </w:r>
      <w:r w:rsidRPr="007D5980">
        <w:rPr>
          <w:sz w:val="24"/>
          <w:szCs w:val="24"/>
          <w:rtl/>
        </w:rPr>
        <w:t xml:space="preserve"> </w:t>
      </w:r>
      <w:r w:rsidRPr="007D5980">
        <w:rPr>
          <w:rFonts w:hint="cs"/>
          <w:sz w:val="24"/>
          <w:szCs w:val="24"/>
          <w:rtl/>
        </w:rPr>
        <w:t>אינו</w:t>
      </w:r>
      <w:r w:rsidRPr="007D5980">
        <w:rPr>
          <w:sz w:val="24"/>
          <w:szCs w:val="24"/>
          <w:rtl/>
        </w:rPr>
        <w:t xml:space="preserve"> </w:t>
      </w:r>
      <w:r w:rsidRPr="007D5980">
        <w:rPr>
          <w:rFonts w:hint="cs"/>
          <w:sz w:val="24"/>
          <w:szCs w:val="24"/>
          <w:rtl/>
        </w:rPr>
        <w:t>ראוי</w:t>
      </w:r>
      <w:r w:rsidRPr="007D5980">
        <w:rPr>
          <w:sz w:val="24"/>
          <w:szCs w:val="24"/>
          <w:rtl/>
        </w:rPr>
        <w:t xml:space="preserve"> </w:t>
      </w:r>
      <w:r w:rsidRPr="007D5980">
        <w:rPr>
          <w:rFonts w:hint="cs"/>
          <w:sz w:val="24"/>
          <w:szCs w:val="24"/>
          <w:rtl/>
        </w:rPr>
        <w:t>לבוא</w:t>
      </w:r>
      <w:r w:rsidRPr="007D5980">
        <w:rPr>
          <w:sz w:val="24"/>
          <w:szCs w:val="24"/>
          <w:rtl/>
        </w:rPr>
        <w:t xml:space="preserve"> </w:t>
      </w:r>
      <w:r w:rsidRPr="007D5980">
        <w:rPr>
          <w:rFonts w:hint="cs"/>
          <w:sz w:val="24"/>
          <w:szCs w:val="24"/>
          <w:rtl/>
        </w:rPr>
        <w:t>לפני</w:t>
      </w:r>
      <w:r w:rsidRPr="007D5980">
        <w:rPr>
          <w:sz w:val="24"/>
          <w:szCs w:val="24"/>
          <w:rtl/>
        </w:rPr>
        <w:t xml:space="preserve"> </w:t>
      </w:r>
      <w:r w:rsidRPr="007D5980">
        <w:rPr>
          <w:rFonts w:hint="cs"/>
          <w:sz w:val="24"/>
          <w:szCs w:val="24"/>
          <w:rtl/>
        </w:rPr>
        <w:t>השם</w:t>
      </w:r>
      <w:r>
        <w:rPr>
          <w:rFonts w:hint="cs"/>
          <w:sz w:val="24"/>
          <w:szCs w:val="24"/>
          <w:rtl/>
        </w:rPr>
        <w:t>.</w:t>
      </w:r>
    </w:p>
    <w:p w:rsidR="00C26E1A" w:rsidRPr="007D5980" w:rsidRDefault="00C26E1A" w:rsidP="00C26E1A">
      <w:pPr>
        <w:spacing w:line="276" w:lineRule="auto"/>
        <w:ind w:left="720"/>
        <w:jc w:val="right"/>
        <w:rPr>
          <w:sz w:val="20"/>
          <w:szCs w:val="20"/>
          <w:rtl/>
        </w:rPr>
      </w:pPr>
      <w:r>
        <w:rPr>
          <w:rFonts w:hint="cs"/>
          <w:sz w:val="20"/>
          <w:szCs w:val="20"/>
          <w:rtl/>
        </w:rPr>
        <w:t>[רמב"ם מעשה הקורבנות פי"ח הי"א]</w:t>
      </w:r>
    </w:p>
    <w:p w:rsidR="00C26E1A" w:rsidRDefault="00C26E1A" w:rsidP="00C26E1A">
      <w:pPr>
        <w:spacing w:line="276" w:lineRule="auto"/>
        <w:rPr>
          <w:sz w:val="24"/>
          <w:szCs w:val="24"/>
          <w:rtl/>
        </w:rPr>
      </w:pPr>
      <w:r>
        <w:rPr>
          <w:rFonts w:hint="cs"/>
          <w:sz w:val="24"/>
          <w:szCs w:val="24"/>
          <w:rtl/>
        </w:rPr>
        <w:t xml:space="preserve">לדברי הרמב"ם </w:t>
      </w:r>
      <w:r>
        <w:rPr>
          <w:sz w:val="24"/>
          <w:szCs w:val="24"/>
          <w:rtl/>
        </w:rPr>
        <w:t>–</w:t>
      </w:r>
      <w:r>
        <w:rPr>
          <w:rFonts w:hint="cs"/>
          <w:sz w:val="24"/>
          <w:szCs w:val="24"/>
          <w:rtl/>
        </w:rPr>
        <w:t xml:space="preserve"> בניגוד לעולה מהסוגיה ביומא </w:t>
      </w:r>
      <w:r>
        <w:rPr>
          <w:rFonts w:hint="cs"/>
          <w:sz w:val="20"/>
          <w:szCs w:val="20"/>
          <w:rtl/>
        </w:rPr>
        <w:t>[סג:]</w:t>
      </w:r>
      <w:r>
        <w:rPr>
          <w:rFonts w:hint="cs"/>
          <w:sz w:val="24"/>
          <w:szCs w:val="24"/>
          <w:rtl/>
        </w:rPr>
        <w:t xml:space="preserve">, וכנראה על פי גרסתו בסוגיה בזבחים </w:t>
      </w:r>
      <w:r>
        <w:rPr>
          <w:rFonts w:hint="cs"/>
          <w:sz w:val="20"/>
          <w:szCs w:val="20"/>
          <w:rtl/>
        </w:rPr>
        <w:t>[קיג:]</w:t>
      </w:r>
      <w:r>
        <w:rPr>
          <w:rStyle w:val="a7"/>
          <w:sz w:val="24"/>
          <w:szCs w:val="24"/>
          <w:rtl/>
        </w:rPr>
        <w:footnoteReference w:id="132"/>
      </w:r>
      <w:r>
        <w:rPr>
          <w:rFonts w:hint="cs"/>
          <w:sz w:val="24"/>
          <w:szCs w:val="24"/>
          <w:rtl/>
        </w:rPr>
        <w:t xml:space="preserve"> </w:t>
      </w:r>
      <w:r>
        <w:rPr>
          <w:sz w:val="24"/>
          <w:szCs w:val="24"/>
          <w:rtl/>
        </w:rPr>
        <w:t>–</w:t>
      </w:r>
      <w:r>
        <w:rPr>
          <w:rFonts w:hint="cs"/>
          <w:sz w:val="24"/>
          <w:szCs w:val="24"/>
          <w:rtl/>
        </w:rPr>
        <w:t xml:space="preserve"> השוחט את השעיר המשתלח בחוץ חייב משום שחוטי חוץ עד לשעת הוידוי. מכך נראה שהרמב"ם סובר שמעמד השעיר המשתלח כקרבן נמשך עד לאחר ההגרלה, ופוקע מיד לאחר הוידוי הנעשה על השעיר, אשר משלים את עבודתו כקורבן פנים. לפי זה, לאחר הוידוי מעמדו של השעיר כקרבן פוקע, ואין בשילוחו למדבר אלא מצווה בלבד. </w:t>
      </w:r>
    </w:p>
    <w:p w:rsidR="00C26E1A" w:rsidRDefault="00C26E1A" w:rsidP="00C26E1A">
      <w:pPr>
        <w:spacing w:line="276" w:lineRule="auto"/>
        <w:rPr>
          <w:sz w:val="24"/>
          <w:szCs w:val="24"/>
          <w:rtl/>
        </w:rPr>
      </w:pPr>
      <w:r>
        <w:rPr>
          <w:rFonts w:hint="cs"/>
          <w:sz w:val="24"/>
          <w:szCs w:val="24"/>
          <w:rtl/>
        </w:rPr>
        <w:t xml:space="preserve">את הכרעת הרמב"ם, לפיה מעמד השעיר המשתלח כקרבן נשמר עד לשלב הוידוי עליו, קושר ר' חיים הלוי </w:t>
      </w:r>
      <w:r>
        <w:rPr>
          <w:rFonts w:hint="cs"/>
          <w:sz w:val="20"/>
          <w:szCs w:val="20"/>
          <w:rtl/>
        </w:rPr>
        <w:t xml:space="preserve">[חידושי הגרי"ז זבחים קיג: ד"ה ויש] </w:t>
      </w:r>
      <w:r>
        <w:rPr>
          <w:rFonts w:hint="cs"/>
          <w:sz w:val="24"/>
          <w:szCs w:val="24"/>
          <w:rtl/>
        </w:rPr>
        <w:t>במחלוקת התנאים בשאלת הגורם המעכב בכפרת השעיר:</w:t>
      </w:r>
    </w:p>
    <w:p w:rsidR="00C26E1A" w:rsidRDefault="00C26E1A" w:rsidP="00C26E1A">
      <w:pPr>
        <w:spacing w:line="276" w:lineRule="auto"/>
        <w:ind w:left="720"/>
        <w:rPr>
          <w:sz w:val="24"/>
          <w:szCs w:val="24"/>
          <w:rtl/>
        </w:rPr>
      </w:pPr>
      <w:r>
        <w:rPr>
          <w:rFonts w:hint="cs"/>
          <w:sz w:val="24"/>
          <w:szCs w:val="24"/>
          <w:rtl/>
        </w:rPr>
        <w:t>דתניא, '</w:t>
      </w:r>
      <w:r w:rsidRPr="00E53C61">
        <w:rPr>
          <w:sz w:val="24"/>
          <w:szCs w:val="24"/>
          <w:rtl/>
        </w:rPr>
        <w:t>יעמד חי לפני ה' לכפר עליו</w:t>
      </w:r>
      <w:r>
        <w:rPr>
          <w:rFonts w:hint="cs"/>
          <w:sz w:val="24"/>
          <w:szCs w:val="24"/>
          <w:rtl/>
        </w:rPr>
        <w:t>'.</w:t>
      </w:r>
      <w:r w:rsidRPr="00E53C61">
        <w:rPr>
          <w:sz w:val="24"/>
          <w:szCs w:val="24"/>
          <w:rtl/>
        </w:rPr>
        <w:t xml:space="preserve"> עד מתי יהיה זקוק לעמוד חי</w:t>
      </w:r>
      <w:r>
        <w:rPr>
          <w:rFonts w:hint="cs"/>
          <w:sz w:val="24"/>
          <w:szCs w:val="24"/>
          <w:rtl/>
        </w:rPr>
        <w:t>?</w:t>
      </w:r>
      <w:r w:rsidRPr="00E53C61">
        <w:rPr>
          <w:sz w:val="24"/>
          <w:szCs w:val="24"/>
          <w:rtl/>
        </w:rPr>
        <w:t xml:space="preserve"> עד שעת מתן דמו של חבירו</w:t>
      </w:r>
      <w:r>
        <w:rPr>
          <w:rFonts w:hint="cs"/>
          <w:sz w:val="24"/>
          <w:szCs w:val="24"/>
          <w:rtl/>
        </w:rPr>
        <w:t>,</w:t>
      </w:r>
      <w:r w:rsidRPr="00E53C61">
        <w:rPr>
          <w:sz w:val="24"/>
          <w:szCs w:val="24"/>
          <w:rtl/>
        </w:rPr>
        <w:t xml:space="preserve"> דברי רבי יהודה</w:t>
      </w:r>
      <w:r>
        <w:rPr>
          <w:rFonts w:hint="cs"/>
          <w:sz w:val="24"/>
          <w:szCs w:val="24"/>
          <w:rtl/>
        </w:rPr>
        <w:t>.</w:t>
      </w:r>
      <w:r w:rsidRPr="00E53C61">
        <w:rPr>
          <w:sz w:val="24"/>
          <w:szCs w:val="24"/>
          <w:rtl/>
        </w:rPr>
        <w:t xml:space="preserve"> רבי שמעון אומר עד שעת וידוי דברים</w:t>
      </w:r>
      <w:r>
        <w:rPr>
          <w:rFonts w:hint="cs"/>
          <w:sz w:val="24"/>
          <w:szCs w:val="24"/>
          <w:rtl/>
        </w:rPr>
        <w:t>.</w:t>
      </w:r>
      <w:r w:rsidRPr="00E53C61">
        <w:rPr>
          <w:sz w:val="24"/>
          <w:szCs w:val="24"/>
          <w:rtl/>
        </w:rPr>
        <w:t xml:space="preserve"> במאי קא מיפלגי</w:t>
      </w:r>
      <w:r>
        <w:rPr>
          <w:rFonts w:hint="cs"/>
          <w:sz w:val="24"/>
          <w:szCs w:val="24"/>
          <w:rtl/>
        </w:rPr>
        <w:t>?</w:t>
      </w:r>
      <w:r w:rsidRPr="00E53C61">
        <w:rPr>
          <w:sz w:val="24"/>
          <w:szCs w:val="24"/>
          <w:rtl/>
        </w:rPr>
        <w:t xml:space="preserve"> כדתניא</w:t>
      </w:r>
      <w:r>
        <w:rPr>
          <w:rFonts w:hint="cs"/>
          <w:sz w:val="24"/>
          <w:szCs w:val="24"/>
          <w:rtl/>
        </w:rPr>
        <w:t>,</w:t>
      </w:r>
      <w:r w:rsidRPr="00E53C61">
        <w:rPr>
          <w:sz w:val="24"/>
          <w:szCs w:val="24"/>
          <w:rtl/>
        </w:rPr>
        <w:t xml:space="preserve"> </w:t>
      </w:r>
      <w:r>
        <w:rPr>
          <w:rFonts w:hint="cs"/>
          <w:sz w:val="24"/>
          <w:szCs w:val="24"/>
          <w:rtl/>
        </w:rPr>
        <w:t>'</w:t>
      </w:r>
      <w:r w:rsidRPr="00E53C61">
        <w:rPr>
          <w:sz w:val="24"/>
          <w:szCs w:val="24"/>
          <w:rtl/>
        </w:rPr>
        <w:t>לכפר</w:t>
      </w:r>
      <w:r>
        <w:rPr>
          <w:rFonts w:hint="cs"/>
          <w:sz w:val="24"/>
          <w:szCs w:val="24"/>
          <w:rtl/>
        </w:rPr>
        <w:t>',</w:t>
      </w:r>
      <w:r w:rsidRPr="00E53C61">
        <w:rPr>
          <w:sz w:val="24"/>
          <w:szCs w:val="24"/>
          <w:rtl/>
        </w:rPr>
        <w:t xml:space="preserve"> בכפרת דמים הכתוב מדבר</w:t>
      </w:r>
      <w:r>
        <w:rPr>
          <w:rFonts w:hint="cs"/>
          <w:sz w:val="24"/>
          <w:szCs w:val="24"/>
          <w:rtl/>
        </w:rPr>
        <w:t>.</w:t>
      </w:r>
      <w:r w:rsidRPr="00E53C61">
        <w:rPr>
          <w:sz w:val="24"/>
          <w:szCs w:val="24"/>
          <w:rtl/>
        </w:rPr>
        <w:t xml:space="preserve"> וכן הוא אומר </w:t>
      </w:r>
      <w:r>
        <w:rPr>
          <w:rFonts w:hint="cs"/>
          <w:sz w:val="24"/>
          <w:szCs w:val="24"/>
          <w:rtl/>
        </w:rPr>
        <w:t>'</w:t>
      </w:r>
      <w:r w:rsidRPr="00E53C61">
        <w:rPr>
          <w:sz w:val="24"/>
          <w:szCs w:val="24"/>
          <w:rtl/>
        </w:rPr>
        <w:t>וכלה מכפר את הקדש</w:t>
      </w:r>
      <w:r>
        <w:rPr>
          <w:rFonts w:hint="cs"/>
          <w:sz w:val="24"/>
          <w:szCs w:val="24"/>
          <w:rtl/>
        </w:rPr>
        <w:t>',</w:t>
      </w:r>
      <w:r w:rsidRPr="00E53C61">
        <w:rPr>
          <w:sz w:val="24"/>
          <w:szCs w:val="24"/>
          <w:rtl/>
        </w:rPr>
        <w:t xml:space="preserve"> מה להלן בכפרת דמים אף כאן בכפרת דמים</w:t>
      </w:r>
      <w:r>
        <w:rPr>
          <w:rFonts w:hint="cs"/>
          <w:sz w:val="24"/>
          <w:szCs w:val="24"/>
          <w:rtl/>
        </w:rPr>
        <w:t>,</w:t>
      </w:r>
      <w:r w:rsidRPr="00E53C61">
        <w:rPr>
          <w:sz w:val="24"/>
          <w:szCs w:val="24"/>
          <w:rtl/>
        </w:rPr>
        <w:t xml:space="preserve"> דברי רבי יהודה</w:t>
      </w:r>
      <w:r>
        <w:rPr>
          <w:rFonts w:hint="cs"/>
          <w:sz w:val="24"/>
          <w:szCs w:val="24"/>
          <w:rtl/>
        </w:rPr>
        <w:t>.</w:t>
      </w:r>
      <w:r w:rsidRPr="00E53C61">
        <w:rPr>
          <w:sz w:val="24"/>
          <w:szCs w:val="24"/>
          <w:rtl/>
        </w:rPr>
        <w:t xml:space="preserve"> רבי שמעון אומר</w:t>
      </w:r>
      <w:r>
        <w:rPr>
          <w:rFonts w:hint="cs"/>
          <w:sz w:val="24"/>
          <w:szCs w:val="24"/>
          <w:rtl/>
        </w:rPr>
        <w:t>,</w:t>
      </w:r>
      <w:r w:rsidRPr="00E53C61">
        <w:rPr>
          <w:sz w:val="24"/>
          <w:szCs w:val="24"/>
          <w:rtl/>
        </w:rPr>
        <w:t xml:space="preserve"> </w:t>
      </w:r>
      <w:r>
        <w:rPr>
          <w:rFonts w:hint="cs"/>
          <w:sz w:val="24"/>
          <w:szCs w:val="24"/>
          <w:rtl/>
        </w:rPr>
        <w:t>'</w:t>
      </w:r>
      <w:r w:rsidRPr="00E53C61">
        <w:rPr>
          <w:sz w:val="24"/>
          <w:szCs w:val="24"/>
          <w:rtl/>
        </w:rPr>
        <w:t>לכפר עליו</w:t>
      </w:r>
      <w:r>
        <w:rPr>
          <w:rFonts w:hint="cs"/>
          <w:sz w:val="24"/>
          <w:szCs w:val="24"/>
          <w:rtl/>
        </w:rPr>
        <w:t>',</w:t>
      </w:r>
      <w:r w:rsidRPr="00E53C61">
        <w:rPr>
          <w:sz w:val="24"/>
          <w:szCs w:val="24"/>
          <w:rtl/>
        </w:rPr>
        <w:t xml:space="preserve"> בכפרת דברים הכתוב מדבר</w:t>
      </w:r>
      <w:r>
        <w:rPr>
          <w:rFonts w:hint="cs"/>
          <w:sz w:val="24"/>
          <w:szCs w:val="24"/>
          <w:rtl/>
        </w:rPr>
        <w:t>.</w:t>
      </w:r>
    </w:p>
    <w:p w:rsidR="00C26E1A" w:rsidRPr="00E53C61" w:rsidRDefault="00C26E1A" w:rsidP="00C26E1A">
      <w:pPr>
        <w:spacing w:line="276" w:lineRule="auto"/>
        <w:ind w:left="720"/>
        <w:jc w:val="right"/>
        <w:rPr>
          <w:sz w:val="20"/>
          <w:szCs w:val="20"/>
          <w:rtl/>
        </w:rPr>
      </w:pPr>
      <w:r>
        <w:rPr>
          <w:rFonts w:hint="cs"/>
          <w:sz w:val="20"/>
          <w:szCs w:val="20"/>
          <w:rtl/>
        </w:rPr>
        <w:t>[מ.-מ:]</w:t>
      </w:r>
    </w:p>
    <w:p w:rsidR="00C26E1A" w:rsidRDefault="00C26E1A" w:rsidP="00C26E1A">
      <w:pPr>
        <w:spacing w:line="276" w:lineRule="auto"/>
        <w:rPr>
          <w:sz w:val="24"/>
          <w:szCs w:val="24"/>
          <w:rtl/>
        </w:rPr>
      </w:pPr>
      <w:r>
        <w:rPr>
          <w:rFonts w:hint="cs"/>
          <w:sz w:val="24"/>
          <w:szCs w:val="24"/>
          <w:rtl/>
        </w:rPr>
        <w:t xml:space="preserve">מדברי הברייתא מבואר שר' יהודה ור' שמעון נחלקו בשאלה מהו הגורם המעכב את כפרת השעיר. לפי ר' יהודה, הגורם המעכב את הכפרה הוא הזאת דמו של השעיר הפנימי, ואילו לפי ר' שמעון הגורם המעכב הוא הוידוי שנעשה על השעיר המשתלח. לאור מחלוקת זו, ביאר ר' חיים את המחלוקת בין הסוגיה ביומא </w:t>
      </w:r>
      <w:r>
        <w:rPr>
          <w:rFonts w:hint="cs"/>
          <w:sz w:val="20"/>
          <w:szCs w:val="20"/>
          <w:rtl/>
        </w:rPr>
        <w:t>[סג:]</w:t>
      </w:r>
      <w:r>
        <w:rPr>
          <w:rFonts w:hint="cs"/>
          <w:sz w:val="24"/>
          <w:szCs w:val="24"/>
          <w:rtl/>
        </w:rPr>
        <w:t xml:space="preserve"> ובין הסוגיה בזבחים </w:t>
      </w:r>
      <w:r>
        <w:rPr>
          <w:rFonts w:hint="cs"/>
          <w:sz w:val="20"/>
          <w:szCs w:val="20"/>
          <w:rtl/>
        </w:rPr>
        <w:t>[שם]</w:t>
      </w:r>
      <w:r>
        <w:rPr>
          <w:rFonts w:hint="cs"/>
          <w:sz w:val="24"/>
          <w:szCs w:val="24"/>
          <w:rtl/>
        </w:rPr>
        <w:t>:</w:t>
      </w:r>
    </w:p>
    <w:p w:rsidR="00C26E1A" w:rsidRDefault="00C26E1A" w:rsidP="00C26E1A">
      <w:pPr>
        <w:spacing w:line="276" w:lineRule="auto"/>
        <w:ind w:left="720"/>
        <w:rPr>
          <w:sz w:val="24"/>
          <w:szCs w:val="24"/>
          <w:rtl/>
        </w:rPr>
      </w:pPr>
      <w:r w:rsidRPr="004A3565">
        <w:rPr>
          <w:sz w:val="24"/>
          <w:szCs w:val="24"/>
          <w:rtl/>
        </w:rPr>
        <w:t xml:space="preserve">ונראה לומר דהגמ' דזבחים בפ' פרת חטאת (קיג ע"ב) אזלא כר"ש דוידוי מעכב וא"כ יש בו עבודה בגופו ושפיר יש לחייב משום זה בחוץ כיון דעוד ראוי לוידוי, אבל הסוגיא דיומא אזלא כמ"ד דוידוי אינו מעכב, ואף דהוא צריך להיות חי עד שעת מתן דמו של חבירו, אבל </w:t>
      </w:r>
      <w:r w:rsidRPr="004A3565">
        <w:rPr>
          <w:sz w:val="24"/>
          <w:szCs w:val="24"/>
          <w:rtl/>
        </w:rPr>
        <w:lastRenderedPageBreak/>
        <w:t>זה אינו אלא עיכוב בפנימי, אבל בו בעצמו אין שום עבודה ומעשה בגופו, וע"כ משהגריל פטור על של עזאזל.</w:t>
      </w:r>
    </w:p>
    <w:p w:rsidR="00C26E1A" w:rsidRPr="00F6573D" w:rsidRDefault="00C26E1A" w:rsidP="00C26E1A">
      <w:pPr>
        <w:spacing w:line="276" w:lineRule="auto"/>
        <w:ind w:left="720"/>
        <w:jc w:val="right"/>
        <w:rPr>
          <w:sz w:val="20"/>
          <w:szCs w:val="20"/>
          <w:rtl/>
        </w:rPr>
      </w:pPr>
      <w:r>
        <w:rPr>
          <w:rFonts w:hint="cs"/>
          <w:sz w:val="20"/>
          <w:szCs w:val="20"/>
          <w:rtl/>
        </w:rPr>
        <w:t>[חידושי הגרי"ז שם]</w:t>
      </w:r>
    </w:p>
    <w:p w:rsidR="00C26E1A" w:rsidRDefault="00C26E1A" w:rsidP="00C26E1A">
      <w:pPr>
        <w:spacing w:line="276" w:lineRule="auto"/>
        <w:rPr>
          <w:sz w:val="24"/>
          <w:szCs w:val="24"/>
          <w:rtl/>
        </w:rPr>
      </w:pPr>
      <w:r>
        <w:rPr>
          <w:rFonts w:hint="cs"/>
          <w:sz w:val="24"/>
          <w:szCs w:val="24"/>
          <w:rtl/>
        </w:rPr>
        <w:t>ר' חיים סובר שהמחלוקת בשאלה עד מתי מתחייב השוחט את השעיר בחוץ, אם עד שעת ההגרלה או עד שעת הוידוי, תלויה במחלוקת התנאים בדבר הגורם המעכב בכפרת השעיר. ר' יהודה הסובר שכרפת השעיר תלויה בהזאת דמו של השעיר הפנימי, סובר שעבודות הפנים בשעיר המשתלח מסתיימות בשלב ההגרלה, וממילא לאחר זמן זה אין לחייב את השוחטו בחוץ. ר' שמעון חולק וסובר שגם הוידוי הנעשה על השעיר המשתלח מעכב את הכפרה. נמצא, שעבודות הפנים הנעשות בשעיר המשתלח נשלמות בוידוי, וממילא, השוחט את השעיר בחוץ עד לשלב זה - חייב. הרמב"ם פסק כאמור כהכרעת הסוגיה בזבחים, וכשיטת ר' שמעון</w:t>
      </w:r>
      <w:r>
        <w:rPr>
          <w:rStyle w:val="a7"/>
          <w:sz w:val="24"/>
          <w:szCs w:val="24"/>
          <w:rtl/>
        </w:rPr>
        <w:footnoteReference w:id="133"/>
      </w:r>
      <w:r>
        <w:rPr>
          <w:rFonts w:hint="cs"/>
          <w:sz w:val="24"/>
          <w:szCs w:val="24"/>
          <w:rtl/>
        </w:rPr>
        <w:t>.</w:t>
      </w:r>
    </w:p>
    <w:p w:rsidR="00C26E1A" w:rsidRDefault="00C26E1A" w:rsidP="00C26E1A">
      <w:pPr>
        <w:spacing w:line="276" w:lineRule="auto"/>
        <w:rPr>
          <w:sz w:val="24"/>
          <w:szCs w:val="24"/>
          <w:rtl/>
        </w:rPr>
      </w:pPr>
      <w:r>
        <w:rPr>
          <w:rFonts w:hint="cs"/>
          <w:sz w:val="24"/>
          <w:szCs w:val="24"/>
          <w:rtl/>
        </w:rPr>
        <w:t>לסיום, נציין לדברי המשנת יעבץ הסובר שגם בשיטת הרמב"ם יש להציע מודל מורכב יותר בהבנת מעמדו של השעיר המשתלח:</w:t>
      </w:r>
    </w:p>
    <w:p w:rsidR="00C26E1A" w:rsidRDefault="00C26E1A" w:rsidP="00C26E1A">
      <w:pPr>
        <w:spacing w:line="276" w:lineRule="auto"/>
        <w:ind w:left="720"/>
        <w:rPr>
          <w:sz w:val="24"/>
          <w:szCs w:val="24"/>
          <w:rtl/>
        </w:rPr>
      </w:pPr>
      <w:r>
        <w:rPr>
          <w:rFonts w:hint="cs"/>
          <w:sz w:val="24"/>
          <w:szCs w:val="24"/>
          <w:rtl/>
        </w:rPr>
        <w:t xml:space="preserve">ואשר </w:t>
      </w:r>
      <w:r w:rsidRPr="00DB5347">
        <w:rPr>
          <w:rFonts w:hint="cs"/>
          <w:sz w:val="24"/>
          <w:szCs w:val="24"/>
          <w:rtl/>
        </w:rPr>
        <w:t>נראה</w:t>
      </w:r>
      <w:r w:rsidRPr="00DB5347">
        <w:rPr>
          <w:sz w:val="24"/>
          <w:szCs w:val="24"/>
          <w:rtl/>
        </w:rPr>
        <w:t xml:space="preserve"> </w:t>
      </w:r>
      <w:r w:rsidRPr="00DB5347">
        <w:rPr>
          <w:rFonts w:hint="cs"/>
          <w:sz w:val="24"/>
          <w:szCs w:val="24"/>
          <w:rtl/>
        </w:rPr>
        <w:t>לומר</w:t>
      </w:r>
      <w:r>
        <w:rPr>
          <w:rFonts w:hint="cs"/>
          <w:sz w:val="24"/>
          <w:szCs w:val="24"/>
          <w:rtl/>
        </w:rPr>
        <w:t>,</w:t>
      </w:r>
      <w:r w:rsidRPr="00DB5347">
        <w:rPr>
          <w:sz w:val="24"/>
          <w:szCs w:val="24"/>
          <w:rtl/>
        </w:rPr>
        <w:t xml:space="preserve"> </w:t>
      </w:r>
      <w:r w:rsidRPr="00DB5347">
        <w:rPr>
          <w:rFonts w:hint="cs"/>
          <w:sz w:val="24"/>
          <w:szCs w:val="24"/>
          <w:rtl/>
        </w:rPr>
        <w:t>ד</w:t>
      </w:r>
      <w:r>
        <w:rPr>
          <w:rFonts w:hint="cs"/>
          <w:sz w:val="24"/>
          <w:szCs w:val="24"/>
          <w:rtl/>
        </w:rPr>
        <w:t>ש</w:t>
      </w:r>
      <w:r w:rsidRPr="00DB5347">
        <w:rPr>
          <w:rFonts w:hint="cs"/>
          <w:sz w:val="24"/>
          <w:szCs w:val="24"/>
          <w:rtl/>
        </w:rPr>
        <w:t>ני</w:t>
      </w:r>
      <w:r w:rsidRPr="00DB5347">
        <w:rPr>
          <w:sz w:val="24"/>
          <w:szCs w:val="24"/>
          <w:rtl/>
        </w:rPr>
        <w:t xml:space="preserve"> </w:t>
      </w:r>
      <w:r w:rsidRPr="00DB5347">
        <w:rPr>
          <w:rFonts w:hint="cs"/>
          <w:sz w:val="24"/>
          <w:szCs w:val="24"/>
          <w:rtl/>
        </w:rPr>
        <w:t>דיני</w:t>
      </w:r>
      <w:r w:rsidRPr="00DB5347">
        <w:rPr>
          <w:sz w:val="24"/>
          <w:szCs w:val="24"/>
          <w:rtl/>
        </w:rPr>
        <w:t xml:space="preserve"> </w:t>
      </w:r>
      <w:r w:rsidRPr="00DB5347">
        <w:rPr>
          <w:rFonts w:hint="cs"/>
          <w:sz w:val="24"/>
          <w:szCs w:val="24"/>
          <w:rtl/>
        </w:rPr>
        <w:t>כפרה</w:t>
      </w:r>
      <w:r w:rsidRPr="00DB5347">
        <w:rPr>
          <w:sz w:val="24"/>
          <w:szCs w:val="24"/>
          <w:rtl/>
        </w:rPr>
        <w:t xml:space="preserve"> </w:t>
      </w:r>
      <w:r w:rsidRPr="00DB5347">
        <w:rPr>
          <w:rFonts w:hint="cs"/>
          <w:sz w:val="24"/>
          <w:szCs w:val="24"/>
          <w:rtl/>
        </w:rPr>
        <w:t>יש</w:t>
      </w:r>
      <w:r w:rsidRPr="00DB5347">
        <w:rPr>
          <w:sz w:val="24"/>
          <w:szCs w:val="24"/>
          <w:rtl/>
        </w:rPr>
        <w:t xml:space="preserve"> </w:t>
      </w:r>
      <w:r>
        <w:rPr>
          <w:rFonts w:hint="cs"/>
          <w:sz w:val="24"/>
          <w:szCs w:val="24"/>
          <w:rtl/>
        </w:rPr>
        <w:t>בש</w:t>
      </w:r>
      <w:r w:rsidRPr="00DB5347">
        <w:rPr>
          <w:rFonts w:hint="cs"/>
          <w:sz w:val="24"/>
          <w:szCs w:val="24"/>
          <w:rtl/>
        </w:rPr>
        <w:t>עיר</w:t>
      </w:r>
      <w:r w:rsidRPr="00DB5347">
        <w:rPr>
          <w:sz w:val="24"/>
          <w:szCs w:val="24"/>
          <w:rtl/>
        </w:rPr>
        <w:t xml:space="preserve"> </w:t>
      </w:r>
      <w:r w:rsidRPr="00DB5347">
        <w:rPr>
          <w:rFonts w:hint="cs"/>
          <w:sz w:val="24"/>
          <w:szCs w:val="24"/>
          <w:rtl/>
        </w:rPr>
        <w:t>המשתלח</w:t>
      </w:r>
      <w:r>
        <w:rPr>
          <w:rFonts w:hint="cs"/>
          <w:sz w:val="24"/>
          <w:szCs w:val="24"/>
          <w:rtl/>
        </w:rPr>
        <w:t>,</w:t>
      </w:r>
      <w:r w:rsidRPr="00DB5347">
        <w:rPr>
          <w:sz w:val="24"/>
          <w:szCs w:val="24"/>
          <w:rtl/>
        </w:rPr>
        <w:t xml:space="preserve"> </w:t>
      </w:r>
      <w:r w:rsidRPr="00DB5347">
        <w:rPr>
          <w:rFonts w:hint="cs"/>
          <w:sz w:val="24"/>
          <w:szCs w:val="24"/>
          <w:rtl/>
        </w:rPr>
        <w:t>חדא</w:t>
      </w:r>
      <w:r w:rsidRPr="00DB5347">
        <w:rPr>
          <w:sz w:val="24"/>
          <w:szCs w:val="24"/>
          <w:rtl/>
        </w:rPr>
        <w:t xml:space="preserve"> </w:t>
      </w:r>
      <w:r w:rsidRPr="00DB5347">
        <w:rPr>
          <w:rFonts w:hint="cs"/>
          <w:sz w:val="24"/>
          <w:szCs w:val="24"/>
          <w:rtl/>
        </w:rPr>
        <w:t>הא</w:t>
      </w:r>
      <w:r w:rsidRPr="00DB5347">
        <w:rPr>
          <w:sz w:val="24"/>
          <w:szCs w:val="24"/>
          <w:rtl/>
        </w:rPr>
        <w:t xml:space="preserve"> </w:t>
      </w:r>
      <w:r w:rsidRPr="00DB5347">
        <w:rPr>
          <w:rFonts w:hint="cs"/>
          <w:sz w:val="24"/>
          <w:szCs w:val="24"/>
          <w:rtl/>
        </w:rPr>
        <w:t>דכתיב</w:t>
      </w:r>
      <w:r w:rsidRPr="00DB5347">
        <w:rPr>
          <w:sz w:val="24"/>
          <w:szCs w:val="24"/>
          <w:rtl/>
        </w:rPr>
        <w:t xml:space="preserve"> </w:t>
      </w:r>
      <w:r>
        <w:rPr>
          <w:rFonts w:hint="cs"/>
          <w:sz w:val="24"/>
          <w:szCs w:val="24"/>
          <w:rtl/>
        </w:rPr>
        <w:t>'</w:t>
      </w:r>
      <w:r w:rsidRPr="00DB5347">
        <w:rPr>
          <w:rFonts w:hint="cs"/>
          <w:sz w:val="24"/>
          <w:szCs w:val="24"/>
          <w:rtl/>
        </w:rPr>
        <w:t>יעמד</w:t>
      </w:r>
      <w:r w:rsidRPr="00DB5347">
        <w:rPr>
          <w:sz w:val="24"/>
          <w:szCs w:val="24"/>
          <w:rtl/>
        </w:rPr>
        <w:t xml:space="preserve"> </w:t>
      </w:r>
      <w:r w:rsidRPr="00DB5347">
        <w:rPr>
          <w:rFonts w:hint="cs"/>
          <w:sz w:val="24"/>
          <w:szCs w:val="24"/>
          <w:rtl/>
        </w:rPr>
        <w:t>חי</w:t>
      </w:r>
      <w:r w:rsidRPr="00DB5347">
        <w:rPr>
          <w:sz w:val="24"/>
          <w:szCs w:val="24"/>
          <w:rtl/>
        </w:rPr>
        <w:t xml:space="preserve"> </w:t>
      </w:r>
      <w:r w:rsidRPr="00DB5347">
        <w:rPr>
          <w:rFonts w:hint="cs"/>
          <w:sz w:val="24"/>
          <w:szCs w:val="24"/>
          <w:rtl/>
        </w:rPr>
        <w:t>לכ</w:t>
      </w:r>
      <w:r>
        <w:rPr>
          <w:rFonts w:hint="cs"/>
          <w:sz w:val="24"/>
          <w:szCs w:val="24"/>
          <w:rtl/>
        </w:rPr>
        <w:t>פ</w:t>
      </w:r>
      <w:r w:rsidRPr="00DB5347">
        <w:rPr>
          <w:rFonts w:hint="cs"/>
          <w:sz w:val="24"/>
          <w:szCs w:val="24"/>
          <w:rtl/>
        </w:rPr>
        <w:t>ר</w:t>
      </w:r>
      <w:r w:rsidRPr="00DB5347">
        <w:rPr>
          <w:sz w:val="24"/>
          <w:szCs w:val="24"/>
          <w:rtl/>
        </w:rPr>
        <w:t xml:space="preserve"> </w:t>
      </w:r>
      <w:r w:rsidRPr="00DB5347">
        <w:rPr>
          <w:rFonts w:hint="cs"/>
          <w:sz w:val="24"/>
          <w:szCs w:val="24"/>
          <w:rtl/>
        </w:rPr>
        <w:t>עליו</w:t>
      </w:r>
      <w:r>
        <w:rPr>
          <w:rFonts w:hint="cs"/>
          <w:sz w:val="24"/>
          <w:szCs w:val="24"/>
          <w:rtl/>
        </w:rPr>
        <w:t>',</w:t>
      </w:r>
      <w:r w:rsidRPr="00DB5347">
        <w:rPr>
          <w:sz w:val="24"/>
          <w:szCs w:val="24"/>
          <w:rtl/>
        </w:rPr>
        <w:t xml:space="preserve"> </w:t>
      </w:r>
      <w:r w:rsidRPr="00DB5347">
        <w:rPr>
          <w:rFonts w:hint="cs"/>
          <w:sz w:val="24"/>
          <w:szCs w:val="24"/>
          <w:rtl/>
        </w:rPr>
        <w:t>ובזה</w:t>
      </w:r>
      <w:r w:rsidRPr="00DB5347">
        <w:rPr>
          <w:sz w:val="24"/>
          <w:szCs w:val="24"/>
          <w:rtl/>
        </w:rPr>
        <w:t xml:space="preserve"> </w:t>
      </w:r>
      <w:r w:rsidRPr="00DB5347">
        <w:rPr>
          <w:rFonts w:hint="cs"/>
          <w:sz w:val="24"/>
          <w:szCs w:val="24"/>
          <w:rtl/>
        </w:rPr>
        <w:t>פ</w:t>
      </w:r>
      <w:r>
        <w:rPr>
          <w:rFonts w:hint="cs"/>
          <w:sz w:val="24"/>
          <w:szCs w:val="24"/>
          <w:rtl/>
        </w:rPr>
        <w:t>ל</w:t>
      </w:r>
      <w:r w:rsidRPr="00DB5347">
        <w:rPr>
          <w:rFonts w:hint="cs"/>
          <w:sz w:val="24"/>
          <w:szCs w:val="24"/>
          <w:rtl/>
        </w:rPr>
        <w:t>יגי</w:t>
      </w:r>
      <w:r w:rsidRPr="00DB5347">
        <w:rPr>
          <w:sz w:val="24"/>
          <w:szCs w:val="24"/>
          <w:rtl/>
        </w:rPr>
        <w:t xml:space="preserve"> </w:t>
      </w:r>
      <w:r w:rsidRPr="00DB5347">
        <w:rPr>
          <w:rFonts w:hint="cs"/>
          <w:sz w:val="24"/>
          <w:szCs w:val="24"/>
          <w:rtl/>
        </w:rPr>
        <w:t>ר</w:t>
      </w:r>
      <w:r w:rsidRPr="00DB5347">
        <w:rPr>
          <w:sz w:val="24"/>
          <w:szCs w:val="24"/>
          <w:rtl/>
        </w:rPr>
        <w:t>"</w:t>
      </w:r>
      <w:r w:rsidRPr="00DB5347">
        <w:rPr>
          <w:rFonts w:hint="cs"/>
          <w:sz w:val="24"/>
          <w:szCs w:val="24"/>
          <w:rtl/>
        </w:rPr>
        <w:t>י</w:t>
      </w:r>
      <w:r w:rsidRPr="00DB5347">
        <w:rPr>
          <w:sz w:val="24"/>
          <w:szCs w:val="24"/>
          <w:rtl/>
        </w:rPr>
        <w:t xml:space="preserve"> </w:t>
      </w:r>
      <w:r w:rsidRPr="00DB5347">
        <w:rPr>
          <w:rFonts w:hint="cs"/>
          <w:sz w:val="24"/>
          <w:szCs w:val="24"/>
          <w:rtl/>
        </w:rPr>
        <w:t>ור</w:t>
      </w:r>
      <w:r w:rsidRPr="00DB5347">
        <w:rPr>
          <w:sz w:val="24"/>
          <w:szCs w:val="24"/>
          <w:rtl/>
        </w:rPr>
        <w:t>"</w:t>
      </w:r>
      <w:r w:rsidRPr="00DB5347">
        <w:rPr>
          <w:rFonts w:hint="cs"/>
          <w:sz w:val="24"/>
          <w:szCs w:val="24"/>
          <w:rtl/>
        </w:rPr>
        <w:t>ש</w:t>
      </w:r>
      <w:r w:rsidRPr="00DB5347">
        <w:rPr>
          <w:sz w:val="24"/>
          <w:szCs w:val="24"/>
          <w:rtl/>
        </w:rPr>
        <w:t xml:space="preserve"> </w:t>
      </w:r>
      <w:r w:rsidRPr="00DB5347">
        <w:rPr>
          <w:rFonts w:hint="cs"/>
          <w:sz w:val="24"/>
          <w:szCs w:val="24"/>
          <w:rtl/>
        </w:rPr>
        <w:t>הנ</w:t>
      </w:r>
      <w:r w:rsidRPr="00DB5347">
        <w:rPr>
          <w:sz w:val="24"/>
          <w:szCs w:val="24"/>
          <w:rtl/>
        </w:rPr>
        <w:t>"</w:t>
      </w:r>
      <w:r w:rsidRPr="00DB5347">
        <w:rPr>
          <w:rFonts w:hint="cs"/>
          <w:sz w:val="24"/>
          <w:szCs w:val="24"/>
          <w:rtl/>
        </w:rPr>
        <w:t>ל</w:t>
      </w:r>
      <w:r w:rsidRPr="00DB5347">
        <w:rPr>
          <w:sz w:val="24"/>
          <w:szCs w:val="24"/>
          <w:rtl/>
        </w:rPr>
        <w:t xml:space="preserve"> </w:t>
      </w:r>
      <w:r w:rsidRPr="00DB5347">
        <w:rPr>
          <w:rFonts w:hint="cs"/>
          <w:sz w:val="24"/>
          <w:szCs w:val="24"/>
          <w:rtl/>
        </w:rPr>
        <w:t>שר</w:t>
      </w:r>
      <w:r w:rsidRPr="00DB5347">
        <w:rPr>
          <w:sz w:val="24"/>
          <w:szCs w:val="24"/>
          <w:rtl/>
        </w:rPr>
        <w:t>"</w:t>
      </w:r>
      <w:r w:rsidRPr="00DB5347">
        <w:rPr>
          <w:rFonts w:hint="cs"/>
          <w:sz w:val="24"/>
          <w:szCs w:val="24"/>
          <w:rtl/>
        </w:rPr>
        <w:t>י</w:t>
      </w:r>
      <w:r w:rsidRPr="00DB5347">
        <w:rPr>
          <w:sz w:val="24"/>
          <w:szCs w:val="24"/>
          <w:rtl/>
        </w:rPr>
        <w:t xml:space="preserve"> </w:t>
      </w:r>
      <w:r w:rsidRPr="00DB5347">
        <w:rPr>
          <w:rFonts w:hint="cs"/>
          <w:sz w:val="24"/>
          <w:szCs w:val="24"/>
          <w:rtl/>
        </w:rPr>
        <w:t>סובר</w:t>
      </w:r>
      <w:r w:rsidRPr="00DB5347">
        <w:rPr>
          <w:sz w:val="24"/>
          <w:szCs w:val="24"/>
          <w:rtl/>
        </w:rPr>
        <w:t xml:space="preserve"> </w:t>
      </w:r>
      <w:r w:rsidRPr="00DB5347">
        <w:rPr>
          <w:rFonts w:hint="cs"/>
          <w:sz w:val="24"/>
          <w:szCs w:val="24"/>
          <w:rtl/>
        </w:rPr>
        <w:t>בכפרת</w:t>
      </w:r>
      <w:r w:rsidRPr="00DB5347">
        <w:rPr>
          <w:sz w:val="24"/>
          <w:szCs w:val="24"/>
          <w:rtl/>
        </w:rPr>
        <w:t xml:space="preserve"> </w:t>
      </w:r>
      <w:r w:rsidRPr="00DB5347">
        <w:rPr>
          <w:rFonts w:hint="cs"/>
          <w:sz w:val="24"/>
          <w:szCs w:val="24"/>
          <w:rtl/>
        </w:rPr>
        <w:t>דמים</w:t>
      </w:r>
      <w:r w:rsidRPr="00DB5347">
        <w:rPr>
          <w:sz w:val="24"/>
          <w:szCs w:val="24"/>
          <w:rtl/>
        </w:rPr>
        <w:t xml:space="preserve"> </w:t>
      </w:r>
      <w:r w:rsidRPr="00DB5347">
        <w:rPr>
          <w:rFonts w:hint="cs"/>
          <w:sz w:val="24"/>
          <w:szCs w:val="24"/>
          <w:rtl/>
        </w:rPr>
        <w:t>הכתוב</w:t>
      </w:r>
      <w:r w:rsidRPr="00DB5347">
        <w:rPr>
          <w:sz w:val="24"/>
          <w:szCs w:val="24"/>
          <w:rtl/>
        </w:rPr>
        <w:t xml:space="preserve"> </w:t>
      </w:r>
      <w:r>
        <w:rPr>
          <w:rFonts w:hint="cs"/>
          <w:sz w:val="24"/>
          <w:szCs w:val="24"/>
          <w:rtl/>
        </w:rPr>
        <w:t>מדבר...</w:t>
      </w:r>
      <w:r w:rsidRPr="00DB5347">
        <w:rPr>
          <w:sz w:val="24"/>
          <w:szCs w:val="24"/>
          <w:rtl/>
        </w:rPr>
        <w:t xml:space="preserve"> </w:t>
      </w:r>
      <w:r w:rsidRPr="00DB5347">
        <w:rPr>
          <w:rFonts w:hint="cs"/>
          <w:sz w:val="24"/>
          <w:szCs w:val="24"/>
          <w:rtl/>
        </w:rPr>
        <w:t>ור</w:t>
      </w:r>
      <w:r w:rsidRPr="00DB5347">
        <w:rPr>
          <w:sz w:val="24"/>
          <w:szCs w:val="24"/>
          <w:rtl/>
        </w:rPr>
        <w:t>"</w:t>
      </w:r>
      <w:r w:rsidRPr="00DB5347">
        <w:rPr>
          <w:rFonts w:hint="cs"/>
          <w:sz w:val="24"/>
          <w:szCs w:val="24"/>
          <w:rtl/>
        </w:rPr>
        <w:t>ש</w:t>
      </w:r>
      <w:r w:rsidRPr="00DB5347">
        <w:rPr>
          <w:sz w:val="24"/>
          <w:szCs w:val="24"/>
          <w:rtl/>
        </w:rPr>
        <w:t xml:space="preserve"> </w:t>
      </w:r>
      <w:r w:rsidRPr="00DB5347">
        <w:rPr>
          <w:rFonts w:hint="cs"/>
          <w:sz w:val="24"/>
          <w:szCs w:val="24"/>
          <w:rtl/>
        </w:rPr>
        <w:t>סובר</w:t>
      </w:r>
      <w:r w:rsidRPr="00DB5347">
        <w:rPr>
          <w:sz w:val="24"/>
          <w:szCs w:val="24"/>
          <w:rtl/>
        </w:rPr>
        <w:t xml:space="preserve"> </w:t>
      </w:r>
      <w:r w:rsidRPr="00DB5347">
        <w:rPr>
          <w:rFonts w:hint="cs"/>
          <w:sz w:val="24"/>
          <w:szCs w:val="24"/>
          <w:rtl/>
        </w:rPr>
        <w:t>בכפר</w:t>
      </w:r>
      <w:r>
        <w:rPr>
          <w:rFonts w:hint="cs"/>
          <w:sz w:val="24"/>
          <w:szCs w:val="24"/>
          <w:rtl/>
        </w:rPr>
        <w:t>ת</w:t>
      </w:r>
      <w:r w:rsidRPr="00DB5347">
        <w:rPr>
          <w:sz w:val="24"/>
          <w:szCs w:val="24"/>
          <w:rtl/>
        </w:rPr>
        <w:t xml:space="preserve"> </w:t>
      </w:r>
      <w:r w:rsidRPr="00DB5347">
        <w:rPr>
          <w:rFonts w:hint="cs"/>
          <w:sz w:val="24"/>
          <w:szCs w:val="24"/>
          <w:rtl/>
        </w:rPr>
        <w:t>דברים</w:t>
      </w:r>
      <w:r w:rsidRPr="00DB5347">
        <w:rPr>
          <w:sz w:val="24"/>
          <w:szCs w:val="24"/>
          <w:rtl/>
        </w:rPr>
        <w:t xml:space="preserve"> </w:t>
      </w:r>
      <w:r w:rsidRPr="00DB5347">
        <w:rPr>
          <w:rFonts w:hint="cs"/>
          <w:sz w:val="24"/>
          <w:szCs w:val="24"/>
          <w:rtl/>
        </w:rPr>
        <w:t>הכתוב</w:t>
      </w:r>
      <w:r w:rsidRPr="00DB5347">
        <w:rPr>
          <w:sz w:val="24"/>
          <w:szCs w:val="24"/>
          <w:rtl/>
        </w:rPr>
        <w:t xml:space="preserve"> </w:t>
      </w:r>
      <w:r w:rsidRPr="00DB5347">
        <w:rPr>
          <w:rFonts w:hint="cs"/>
          <w:sz w:val="24"/>
          <w:szCs w:val="24"/>
          <w:rtl/>
        </w:rPr>
        <w:t>מדבר</w:t>
      </w:r>
      <w:r>
        <w:rPr>
          <w:rFonts w:hint="cs"/>
          <w:sz w:val="24"/>
          <w:szCs w:val="24"/>
          <w:rtl/>
        </w:rPr>
        <w:t xml:space="preserve">... </w:t>
      </w:r>
      <w:r w:rsidRPr="00DB5347">
        <w:rPr>
          <w:rFonts w:hint="cs"/>
          <w:sz w:val="24"/>
          <w:szCs w:val="24"/>
          <w:rtl/>
        </w:rPr>
        <w:t>ועוד</w:t>
      </w:r>
      <w:r w:rsidRPr="00DB5347">
        <w:rPr>
          <w:sz w:val="24"/>
          <w:szCs w:val="24"/>
          <w:rtl/>
        </w:rPr>
        <w:t xml:space="preserve"> </w:t>
      </w:r>
      <w:r w:rsidRPr="00DB5347">
        <w:rPr>
          <w:rFonts w:hint="cs"/>
          <w:sz w:val="24"/>
          <w:szCs w:val="24"/>
          <w:rtl/>
        </w:rPr>
        <w:t>דין</w:t>
      </w:r>
      <w:r w:rsidRPr="00DB5347">
        <w:rPr>
          <w:sz w:val="24"/>
          <w:szCs w:val="24"/>
          <w:rtl/>
        </w:rPr>
        <w:t xml:space="preserve"> </w:t>
      </w:r>
      <w:r w:rsidRPr="00DB5347">
        <w:rPr>
          <w:rFonts w:hint="cs"/>
          <w:sz w:val="24"/>
          <w:szCs w:val="24"/>
          <w:rtl/>
        </w:rPr>
        <w:t>כפרה</w:t>
      </w:r>
      <w:r w:rsidRPr="00DB5347">
        <w:rPr>
          <w:sz w:val="24"/>
          <w:szCs w:val="24"/>
          <w:rtl/>
        </w:rPr>
        <w:t xml:space="preserve"> </w:t>
      </w:r>
      <w:r w:rsidRPr="00DB5347">
        <w:rPr>
          <w:rFonts w:hint="cs"/>
          <w:sz w:val="24"/>
          <w:szCs w:val="24"/>
          <w:rtl/>
        </w:rPr>
        <w:t>יש</w:t>
      </w:r>
      <w:r w:rsidRPr="00DB5347">
        <w:rPr>
          <w:sz w:val="24"/>
          <w:szCs w:val="24"/>
          <w:rtl/>
        </w:rPr>
        <w:t xml:space="preserve"> </w:t>
      </w:r>
      <w:r w:rsidRPr="00DB5347">
        <w:rPr>
          <w:rFonts w:hint="cs"/>
          <w:sz w:val="24"/>
          <w:szCs w:val="24"/>
          <w:rtl/>
        </w:rPr>
        <w:t>בשעיר</w:t>
      </w:r>
      <w:r w:rsidRPr="00DB5347">
        <w:rPr>
          <w:sz w:val="24"/>
          <w:szCs w:val="24"/>
          <w:rtl/>
        </w:rPr>
        <w:t xml:space="preserve"> </w:t>
      </w:r>
      <w:r w:rsidRPr="00DB5347">
        <w:rPr>
          <w:rFonts w:hint="cs"/>
          <w:sz w:val="24"/>
          <w:szCs w:val="24"/>
          <w:rtl/>
        </w:rPr>
        <w:t>המשתלח</w:t>
      </w:r>
      <w:r w:rsidRPr="00DB5347">
        <w:rPr>
          <w:sz w:val="24"/>
          <w:szCs w:val="24"/>
          <w:rtl/>
        </w:rPr>
        <w:t xml:space="preserve"> </w:t>
      </w:r>
      <w:r w:rsidRPr="00DB5347">
        <w:rPr>
          <w:rFonts w:hint="cs"/>
          <w:sz w:val="24"/>
          <w:szCs w:val="24"/>
          <w:rtl/>
        </w:rPr>
        <w:t>והוא</w:t>
      </w:r>
      <w:r w:rsidRPr="00DB5347">
        <w:rPr>
          <w:sz w:val="24"/>
          <w:szCs w:val="24"/>
          <w:rtl/>
        </w:rPr>
        <w:t xml:space="preserve"> </w:t>
      </w:r>
      <w:r w:rsidRPr="00DB5347">
        <w:rPr>
          <w:rFonts w:hint="cs"/>
          <w:sz w:val="24"/>
          <w:szCs w:val="24"/>
          <w:rtl/>
        </w:rPr>
        <w:t>בשילוח</w:t>
      </w:r>
      <w:r w:rsidRPr="00DB5347">
        <w:rPr>
          <w:sz w:val="24"/>
          <w:szCs w:val="24"/>
          <w:rtl/>
        </w:rPr>
        <w:t xml:space="preserve"> </w:t>
      </w:r>
      <w:r w:rsidRPr="00DB5347">
        <w:rPr>
          <w:rFonts w:hint="cs"/>
          <w:sz w:val="24"/>
          <w:szCs w:val="24"/>
          <w:rtl/>
        </w:rPr>
        <w:t>השעיר</w:t>
      </w:r>
      <w:r w:rsidRPr="00DB5347">
        <w:rPr>
          <w:sz w:val="24"/>
          <w:szCs w:val="24"/>
          <w:rtl/>
        </w:rPr>
        <w:t xml:space="preserve"> </w:t>
      </w:r>
      <w:r w:rsidRPr="00DB5347">
        <w:rPr>
          <w:rFonts w:hint="cs"/>
          <w:sz w:val="24"/>
          <w:szCs w:val="24"/>
          <w:rtl/>
        </w:rPr>
        <w:t>וכמש</w:t>
      </w:r>
      <w:r w:rsidRPr="00DB5347">
        <w:rPr>
          <w:sz w:val="24"/>
          <w:szCs w:val="24"/>
          <w:rtl/>
        </w:rPr>
        <w:t>"</w:t>
      </w:r>
      <w:r w:rsidRPr="00DB5347">
        <w:rPr>
          <w:rFonts w:hint="cs"/>
          <w:sz w:val="24"/>
          <w:szCs w:val="24"/>
          <w:rtl/>
        </w:rPr>
        <w:t>כ</w:t>
      </w:r>
      <w:r w:rsidRPr="00DB5347">
        <w:rPr>
          <w:sz w:val="24"/>
          <w:szCs w:val="24"/>
          <w:rtl/>
        </w:rPr>
        <w:t xml:space="preserve"> </w:t>
      </w:r>
      <w:r w:rsidRPr="00DB5347">
        <w:rPr>
          <w:rFonts w:hint="cs"/>
          <w:sz w:val="24"/>
          <w:szCs w:val="24"/>
          <w:rtl/>
        </w:rPr>
        <w:t>הרשב</w:t>
      </w:r>
      <w:r w:rsidRPr="00DB5347">
        <w:rPr>
          <w:sz w:val="24"/>
          <w:szCs w:val="24"/>
          <w:rtl/>
        </w:rPr>
        <w:t>"</w:t>
      </w:r>
      <w:r w:rsidRPr="00DB5347">
        <w:rPr>
          <w:rFonts w:hint="cs"/>
          <w:sz w:val="24"/>
          <w:szCs w:val="24"/>
          <w:rtl/>
        </w:rPr>
        <w:t>א</w:t>
      </w:r>
      <w:r w:rsidRPr="00DB5347">
        <w:rPr>
          <w:sz w:val="24"/>
          <w:szCs w:val="24"/>
          <w:rtl/>
        </w:rPr>
        <w:t xml:space="preserve"> </w:t>
      </w:r>
      <w:r w:rsidRPr="00DB5347">
        <w:rPr>
          <w:rFonts w:hint="cs"/>
          <w:sz w:val="24"/>
          <w:szCs w:val="24"/>
          <w:rtl/>
        </w:rPr>
        <w:t>הנ</w:t>
      </w:r>
      <w:r w:rsidRPr="00DB5347">
        <w:rPr>
          <w:sz w:val="24"/>
          <w:szCs w:val="24"/>
          <w:rtl/>
        </w:rPr>
        <w:t>"</w:t>
      </w:r>
      <w:r w:rsidRPr="00DB5347">
        <w:rPr>
          <w:rFonts w:hint="cs"/>
          <w:sz w:val="24"/>
          <w:szCs w:val="24"/>
          <w:rtl/>
        </w:rPr>
        <w:t>ל</w:t>
      </w:r>
      <w:r w:rsidRPr="00DB5347">
        <w:rPr>
          <w:sz w:val="24"/>
          <w:szCs w:val="24"/>
          <w:rtl/>
        </w:rPr>
        <w:t xml:space="preserve"> </w:t>
      </w:r>
      <w:r w:rsidRPr="00DB5347">
        <w:rPr>
          <w:rFonts w:hint="cs"/>
          <w:sz w:val="24"/>
          <w:szCs w:val="24"/>
          <w:rtl/>
        </w:rPr>
        <w:t>דשלוחו</w:t>
      </w:r>
      <w:r w:rsidRPr="00DB5347">
        <w:rPr>
          <w:sz w:val="24"/>
          <w:szCs w:val="24"/>
          <w:rtl/>
        </w:rPr>
        <w:t xml:space="preserve"> </w:t>
      </w:r>
      <w:r w:rsidRPr="00DB5347">
        <w:rPr>
          <w:rFonts w:hint="cs"/>
          <w:sz w:val="24"/>
          <w:szCs w:val="24"/>
          <w:rtl/>
        </w:rPr>
        <w:t>קרי</w:t>
      </w:r>
      <w:r w:rsidRPr="00DB5347">
        <w:rPr>
          <w:sz w:val="24"/>
          <w:szCs w:val="24"/>
          <w:rtl/>
        </w:rPr>
        <w:t xml:space="preserve"> </w:t>
      </w:r>
      <w:r w:rsidRPr="00DB5347">
        <w:rPr>
          <w:rFonts w:hint="cs"/>
          <w:sz w:val="24"/>
          <w:szCs w:val="24"/>
          <w:rtl/>
        </w:rPr>
        <w:t>קרבן</w:t>
      </w:r>
      <w:r w:rsidRPr="00DB5347">
        <w:rPr>
          <w:sz w:val="24"/>
          <w:szCs w:val="24"/>
          <w:rtl/>
        </w:rPr>
        <w:t xml:space="preserve"> </w:t>
      </w:r>
      <w:r w:rsidRPr="00DB5347">
        <w:rPr>
          <w:rFonts w:hint="cs"/>
          <w:sz w:val="24"/>
          <w:szCs w:val="24"/>
          <w:rtl/>
        </w:rPr>
        <w:t>והיינו</w:t>
      </w:r>
      <w:r w:rsidRPr="00DB5347">
        <w:rPr>
          <w:sz w:val="24"/>
          <w:szCs w:val="24"/>
          <w:rtl/>
        </w:rPr>
        <w:t xml:space="preserve"> </w:t>
      </w:r>
      <w:r w:rsidRPr="00DB5347">
        <w:rPr>
          <w:rFonts w:hint="cs"/>
          <w:sz w:val="24"/>
          <w:szCs w:val="24"/>
          <w:rtl/>
        </w:rPr>
        <w:t>דגם</w:t>
      </w:r>
      <w:r w:rsidRPr="00DB5347">
        <w:rPr>
          <w:sz w:val="24"/>
          <w:szCs w:val="24"/>
          <w:rtl/>
        </w:rPr>
        <w:t xml:space="preserve"> </w:t>
      </w:r>
      <w:r w:rsidRPr="00DB5347">
        <w:rPr>
          <w:rFonts w:hint="cs"/>
          <w:sz w:val="24"/>
          <w:szCs w:val="24"/>
          <w:rtl/>
        </w:rPr>
        <w:t>שיל</w:t>
      </w:r>
      <w:r>
        <w:rPr>
          <w:rFonts w:hint="cs"/>
          <w:sz w:val="24"/>
          <w:szCs w:val="24"/>
          <w:rtl/>
        </w:rPr>
        <w:t>וח</w:t>
      </w:r>
      <w:r w:rsidRPr="00DB5347">
        <w:rPr>
          <w:sz w:val="24"/>
          <w:szCs w:val="24"/>
          <w:rtl/>
        </w:rPr>
        <w:t xml:space="preserve"> </w:t>
      </w:r>
      <w:r w:rsidRPr="00DB5347">
        <w:rPr>
          <w:rFonts w:hint="cs"/>
          <w:sz w:val="24"/>
          <w:szCs w:val="24"/>
          <w:rtl/>
        </w:rPr>
        <w:t>השעיר</w:t>
      </w:r>
      <w:r w:rsidRPr="00DB5347">
        <w:rPr>
          <w:sz w:val="24"/>
          <w:szCs w:val="24"/>
          <w:rtl/>
        </w:rPr>
        <w:t xml:space="preserve"> </w:t>
      </w:r>
      <w:r w:rsidRPr="00DB5347">
        <w:rPr>
          <w:rFonts w:hint="cs"/>
          <w:sz w:val="24"/>
          <w:szCs w:val="24"/>
          <w:rtl/>
        </w:rPr>
        <w:t>מכפר</w:t>
      </w:r>
      <w:r w:rsidRPr="00DB5347">
        <w:rPr>
          <w:sz w:val="24"/>
          <w:szCs w:val="24"/>
          <w:rtl/>
        </w:rPr>
        <w:t xml:space="preserve"> </w:t>
      </w:r>
      <w:r w:rsidRPr="00DB5347">
        <w:rPr>
          <w:rFonts w:hint="cs"/>
          <w:sz w:val="24"/>
          <w:szCs w:val="24"/>
          <w:rtl/>
        </w:rPr>
        <w:t>דכתיב</w:t>
      </w:r>
      <w:r w:rsidRPr="00DB5347">
        <w:rPr>
          <w:sz w:val="24"/>
          <w:szCs w:val="24"/>
          <w:rtl/>
        </w:rPr>
        <w:t xml:space="preserve"> </w:t>
      </w:r>
      <w:r>
        <w:rPr>
          <w:rFonts w:hint="cs"/>
          <w:sz w:val="24"/>
          <w:szCs w:val="24"/>
          <w:rtl/>
        </w:rPr>
        <w:t>"</w:t>
      </w:r>
      <w:r w:rsidRPr="00DB5347">
        <w:rPr>
          <w:rFonts w:hint="cs"/>
          <w:sz w:val="24"/>
          <w:szCs w:val="24"/>
          <w:rtl/>
        </w:rPr>
        <w:t>ונשא</w:t>
      </w:r>
      <w:r w:rsidRPr="00DB5347">
        <w:rPr>
          <w:sz w:val="24"/>
          <w:szCs w:val="24"/>
          <w:rtl/>
        </w:rPr>
        <w:t xml:space="preserve"> </w:t>
      </w:r>
      <w:r w:rsidRPr="00DB5347">
        <w:rPr>
          <w:rFonts w:hint="cs"/>
          <w:sz w:val="24"/>
          <w:szCs w:val="24"/>
          <w:rtl/>
        </w:rPr>
        <w:t>השעיר</w:t>
      </w:r>
      <w:r w:rsidRPr="00DB5347">
        <w:rPr>
          <w:sz w:val="24"/>
          <w:szCs w:val="24"/>
          <w:rtl/>
        </w:rPr>
        <w:t xml:space="preserve"> </w:t>
      </w:r>
      <w:r w:rsidRPr="00DB5347">
        <w:rPr>
          <w:rFonts w:hint="cs"/>
          <w:sz w:val="24"/>
          <w:szCs w:val="24"/>
          <w:rtl/>
        </w:rPr>
        <w:t>עליו</w:t>
      </w:r>
      <w:r w:rsidRPr="00DB5347">
        <w:rPr>
          <w:sz w:val="24"/>
          <w:szCs w:val="24"/>
          <w:rtl/>
        </w:rPr>
        <w:t xml:space="preserve"> </w:t>
      </w:r>
      <w:r w:rsidRPr="00DB5347">
        <w:rPr>
          <w:rFonts w:hint="cs"/>
          <w:sz w:val="24"/>
          <w:szCs w:val="24"/>
          <w:rtl/>
        </w:rPr>
        <w:t>את</w:t>
      </w:r>
      <w:r w:rsidRPr="00DB5347">
        <w:rPr>
          <w:sz w:val="24"/>
          <w:szCs w:val="24"/>
          <w:rtl/>
        </w:rPr>
        <w:t xml:space="preserve"> </w:t>
      </w:r>
      <w:r w:rsidRPr="00DB5347">
        <w:rPr>
          <w:rFonts w:hint="cs"/>
          <w:sz w:val="24"/>
          <w:szCs w:val="24"/>
          <w:rtl/>
        </w:rPr>
        <w:t>כל</w:t>
      </w:r>
      <w:r w:rsidRPr="00DB5347">
        <w:rPr>
          <w:sz w:val="24"/>
          <w:szCs w:val="24"/>
          <w:rtl/>
        </w:rPr>
        <w:t xml:space="preserve"> </w:t>
      </w:r>
      <w:r w:rsidRPr="00DB5347">
        <w:rPr>
          <w:rFonts w:hint="cs"/>
          <w:sz w:val="24"/>
          <w:szCs w:val="24"/>
          <w:rtl/>
        </w:rPr>
        <w:t>עונתם</w:t>
      </w:r>
      <w:r w:rsidRPr="00DB5347">
        <w:rPr>
          <w:sz w:val="24"/>
          <w:szCs w:val="24"/>
          <w:rtl/>
        </w:rPr>
        <w:t xml:space="preserve"> </w:t>
      </w:r>
      <w:r w:rsidRPr="00DB5347">
        <w:rPr>
          <w:rFonts w:hint="cs"/>
          <w:sz w:val="24"/>
          <w:szCs w:val="24"/>
          <w:rtl/>
        </w:rPr>
        <w:t>אל</w:t>
      </w:r>
      <w:r w:rsidRPr="00DB5347">
        <w:rPr>
          <w:sz w:val="24"/>
          <w:szCs w:val="24"/>
          <w:rtl/>
        </w:rPr>
        <w:t xml:space="preserve"> </w:t>
      </w:r>
      <w:r w:rsidRPr="00DB5347">
        <w:rPr>
          <w:rFonts w:hint="cs"/>
          <w:sz w:val="24"/>
          <w:szCs w:val="24"/>
          <w:rtl/>
        </w:rPr>
        <w:t>ארץ</w:t>
      </w:r>
      <w:r w:rsidRPr="00DB5347">
        <w:rPr>
          <w:sz w:val="24"/>
          <w:szCs w:val="24"/>
          <w:rtl/>
        </w:rPr>
        <w:t xml:space="preserve"> </w:t>
      </w:r>
      <w:r w:rsidRPr="00DB5347">
        <w:rPr>
          <w:rFonts w:hint="cs"/>
          <w:sz w:val="24"/>
          <w:szCs w:val="24"/>
          <w:rtl/>
        </w:rPr>
        <w:t>גזרה</w:t>
      </w:r>
      <w:r>
        <w:rPr>
          <w:rFonts w:hint="cs"/>
          <w:sz w:val="24"/>
          <w:szCs w:val="24"/>
          <w:rtl/>
        </w:rPr>
        <w:t>",</w:t>
      </w:r>
      <w:r w:rsidRPr="00DB5347">
        <w:rPr>
          <w:sz w:val="24"/>
          <w:szCs w:val="24"/>
          <w:rtl/>
        </w:rPr>
        <w:t xml:space="preserve"> </w:t>
      </w:r>
      <w:r w:rsidRPr="00DB5347">
        <w:rPr>
          <w:rFonts w:hint="cs"/>
          <w:sz w:val="24"/>
          <w:szCs w:val="24"/>
          <w:rtl/>
        </w:rPr>
        <w:t>אלא</w:t>
      </w:r>
      <w:r w:rsidRPr="00DB5347">
        <w:rPr>
          <w:sz w:val="24"/>
          <w:szCs w:val="24"/>
          <w:rtl/>
        </w:rPr>
        <w:t xml:space="preserve"> </w:t>
      </w:r>
      <w:r w:rsidRPr="00DB5347">
        <w:rPr>
          <w:rFonts w:hint="cs"/>
          <w:sz w:val="24"/>
          <w:szCs w:val="24"/>
          <w:rtl/>
        </w:rPr>
        <w:t>שהא</w:t>
      </w:r>
      <w:r w:rsidRPr="00DB5347">
        <w:rPr>
          <w:sz w:val="24"/>
          <w:szCs w:val="24"/>
          <w:rtl/>
        </w:rPr>
        <w:t xml:space="preserve"> </w:t>
      </w:r>
      <w:r w:rsidRPr="00DB5347">
        <w:rPr>
          <w:rFonts w:hint="cs"/>
          <w:sz w:val="24"/>
          <w:szCs w:val="24"/>
          <w:rtl/>
        </w:rPr>
        <w:t>ששילוחו</w:t>
      </w:r>
      <w:r w:rsidRPr="00DB5347">
        <w:rPr>
          <w:sz w:val="24"/>
          <w:szCs w:val="24"/>
          <w:rtl/>
        </w:rPr>
        <w:t xml:space="preserve"> </w:t>
      </w:r>
      <w:r w:rsidRPr="00DB5347">
        <w:rPr>
          <w:rFonts w:hint="cs"/>
          <w:sz w:val="24"/>
          <w:szCs w:val="24"/>
          <w:rtl/>
        </w:rPr>
        <w:t>קרוי</w:t>
      </w:r>
      <w:r w:rsidRPr="00DB5347">
        <w:rPr>
          <w:sz w:val="24"/>
          <w:szCs w:val="24"/>
          <w:rtl/>
        </w:rPr>
        <w:t xml:space="preserve"> </w:t>
      </w:r>
      <w:r w:rsidRPr="00DB5347">
        <w:rPr>
          <w:rFonts w:hint="cs"/>
          <w:sz w:val="24"/>
          <w:szCs w:val="24"/>
          <w:rtl/>
        </w:rPr>
        <w:t>קרבן</w:t>
      </w:r>
      <w:r w:rsidRPr="00DB5347">
        <w:rPr>
          <w:sz w:val="24"/>
          <w:szCs w:val="24"/>
          <w:rtl/>
        </w:rPr>
        <w:t xml:space="preserve"> </w:t>
      </w:r>
      <w:r w:rsidRPr="00DB5347">
        <w:rPr>
          <w:rFonts w:hint="cs"/>
          <w:sz w:val="24"/>
          <w:szCs w:val="24"/>
          <w:rtl/>
        </w:rPr>
        <w:t>זהו</w:t>
      </w:r>
      <w:r w:rsidRPr="00DB5347">
        <w:rPr>
          <w:sz w:val="24"/>
          <w:szCs w:val="24"/>
          <w:rtl/>
        </w:rPr>
        <w:t xml:space="preserve"> </w:t>
      </w:r>
      <w:r w:rsidRPr="00DB5347">
        <w:rPr>
          <w:rFonts w:hint="cs"/>
          <w:sz w:val="24"/>
          <w:szCs w:val="24"/>
          <w:rtl/>
        </w:rPr>
        <w:t>קרבן</w:t>
      </w:r>
      <w:r w:rsidRPr="00DB5347">
        <w:rPr>
          <w:sz w:val="24"/>
          <w:szCs w:val="24"/>
          <w:rtl/>
        </w:rPr>
        <w:t xml:space="preserve"> </w:t>
      </w:r>
      <w:r w:rsidRPr="00DB5347">
        <w:rPr>
          <w:rFonts w:hint="cs"/>
          <w:sz w:val="24"/>
          <w:szCs w:val="24"/>
          <w:rtl/>
        </w:rPr>
        <w:t>הנעשה</w:t>
      </w:r>
      <w:r w:rsidRPr="00DB5347">
        <w:rPr>
          <w:sz w:val="24"/>
          <w:szCs w:val="24"/>
          <w:rtl/>
        </w:rPr>
        <w:t xml:space="preserve"> </w:t>
      </w:r>
      <w:r w:rsidRPr="00DB5347">
        <w:rPr>
          <w:rFonts w:hint="cs"/>
          <w:sz w:val="24"/>
          <w:szCs w:val="24"/>
          <w:rtl/>
        </w:rPr>
        <w:t>בחוץ</w:t>
      </w:r>
      <w:r w:rsidRPr="00DB5347">
        <w:rPr>
          <w:sz w:val="24"/>
          <w:szCs w:val="24"/>
          <w:rtl/>
        </w:rPr>
        <w:t xml:space="preserve"> </w:t>
      </w:r>
      <w:r w:rsidRPr="00DB5347">
        <w:rPr>
          <w:rFonts w:hint="cs"/>
          <w:sz w:val="24"/>
          <w:szCs w:val="24"/>
          <w:rtl/>
        </w:rPr>
        <w:t>והיינו</w:t>
      </w:r>
      <w:r w:rsidRPr="00DB5347">
        <w:rPr>
          <w:sz w:val="24"/>
          <w:szCs w:val="24"/>
          <w:rtl/>
        </w:rPr>
        <w:t xml:space="preserve"> </w:t>
      </w:r>
      <w:r w:rsidRPr="00DB5347">
        <w:rPr>
          <w:rFonts w:hint="cs"/>
          <w:sz w:val="24"/>
          <w:szCs w:val="24"/>
          <w:rtl/>
        </w:rPr>
        <w:t>ששעיר</w:t>
      </w:r>
      <w:r w:rsidRPr="00DB5347">
        <w:rPr>
          <w:sz w:val="24"/>
          <w:szCs w:val="24"/>
          <w:rtl/>
        </w:rPr>
        <w:t xml:space="preserve"> </w:t>
      </w:r>
      <w:r w:rsidRPr="00DB5347">
        <w:rPr>
          <w:rFonts w:hint="cs"/>
          <w:sz w:val="24"/>
          <w:szCs w:val="24"/>
          <w:rtl/>
        </w:rPr>
        <w:t>המשתלח</w:t>
      </w:r>
      <w:r w:rsidRPr="00DB5347">
        <w:rPr>
          <w:sz w:val="24"/>
          <w:szCs w:val="24"/>
          <w:rtl/>
        </w:rPr>
        <w:t xml:space="preserve"> </w:t>
      </w:r>
      <w:r w:rsidRPr="00DB5347">
        <w:rPr>
          <w:rFonts w:hint="cs"/>
          <w:sz w:val="24"/>
          <w:szCs w:val="24"/>
          <w:rtl/>
        </w:rPr>
        <w:t>הוא</w:t>
      </w:r>
      <w:r w:rsidRPr="00DB5347">
        <w:rPr>
          <w:sz w:val="24"/>
          <w:szCs w:val="24"/>
          <w:rtl/>
        </w:rPr>
        <w:t xml:space="preserve"> </w:t>
      </w:r>
      <w:r w:rsidRPr="00DB5347">
        <w:rPr>
          <w:rFonts w:hint="cs"/>
          <w:sz w:val="24"/>
          <w:szCs w:val="24"/>
          <w:rtl/>
        </w:rPr>
        <w:t>גם</w:t>
      </w:r>
      <w:r w:rsidRPr="00DB5347">
        <w:rPr>
          <w:sz w:val="24"/>
          <w:szCs w:val="24"/>
          <w:rtl/>
        </w:rPr>
        <w:t xml:space="preserve"> </w:t>
      </w:r>
      <w:r w:rsidRPr="00DB5347">
        <w:rPr>
          <w:rFonts w:hint="cs"/>
          <w:sz w:val="24"/>
          <w:szCs w:val="24"/>
          <w:rtl/>
        </w:rPr>
        <w:t>קרבן</w:t>
      </w:r>
      <w:r w:rsidRPr="00DB5347">
        <w:rPr>
          <w:sz w:val="24"/>
          <w:szCs w:val="24"/>
          <w:rtl/>
        </w:rPr>
        <w:t xml:space="preserve"> </w:t>
      </w:r>
      <w:r w:rsidRPr="00DB5347">
        <w:rPr>
          <w:rFonts w:hint="cs"/>
          <w:sz w:val="24"/>
          <w:szCs w:val="24"/>
          <w:rtl/>
        </w:rPr>
        <w:t>הנעשה</w:t>
      </w:r>
      <w:r w:rsidRPr="00DB5347">
        <w:rPr>
          <w:sz w:val="24"/>
          <w:szCs w:val="24"/>
          <w:rtl/>
        </w:rPr>
        <w:t xml:space="preserve"> </w:t>
      </w:r>
      <w:r w:rsidRPr="00DB5347">
        <w:rPr>
          <w:rFonts w:hint="cs"/>
          <w:sz w:val="24"/>
          <w:szCs w:val="24"/>
          <w:rtl/>
        </w:rPr>
        <w:t>בפנים</w:t>
      </w:r>
      <w:r w:rsidRPr="00DB5347">
        <w:rPr>
          <w:sz w:val="24"/>
          <w:szCs w:val="24"/>
          <w:rtl/>
        </w:rPr>
        <w:t xml:space="preserve"> </w:t>
      </w:r>
      <w:r w:rsidRPr="00DB5347">
        <w:rPr>
          <w:rFonts w:hint="cs"/>
          <w:sz w:val="24"/>
          <w:szCs w:val="24"/>
          <w:rtl/>
        </w:rPr>
        <w:t>שהרי</w:t>
      </w:r>
      <w:r w:rsidRPr="00DB5347">
        <w:rPr>
          <w:sz w:val="24"/>
          <w:szCs w:val="24"/>
          <w:rtl/>
        </w:rPr>
        <w:t xml:space="preserve"> </w:t>
      </w:r>
      <w:r w:rsidRPr="00DB5347">
        <w:rPr>
          <w:rFonts w:hint="cs"/>
          <w:sz w:val="24"/>
          <w:szCs w:val="24"/>
          <w:rtl/>
        </w:rPr>
        <w:t>הוא</w:t>
      </w:r>
      <w:r w:rsidRPr="00DB5347">
        <w:rPr>
          <w:sz w:val="24"/>
          <w:szCs w:val="24"/>
          <w:rtl/>
        </w:rPr>
        <w:t xml:space="preserve"> </w:t>
      </w:r>
      <w:r w:rsidRPr="00DB5347">
        <w:rPr>
          <w:rFonts w:hint="cs"/>
          <w:sz w:val="24"/>
          <w:szCs w:val="24"/>
          <w:rtl/>
        </w:rPr>
        <w:t>מכפר</w:t>
      </w:r>
      <w:r w:rsidRPr="00DB5347">
        <w:rPr>
          <w:sz w:val="24"/>
          <w:szCs w:val="24"/>
          <w:rtl/>
        </w:rPr>
        <w:t xml:space="preserve"> </w:t>
      </w:r>
      <w:r w:rsidRPr="00DB5347">
        <w:rPr>
          <w:rFonts w:hint="cs"/>
          <w:sz w:val="24"/>
          <w:szCs w:val="24"/>
          <w:rtl/>
        </w:rPr>
        <w:t>בוידוי</w:t>
      </w:r>
      <w:r w:rsidRPr="00DB5347">
        <w:rPr>
          <w:sz w:val="24"/>
          <w:szCs w:val="24"/>
          <w:rtl/>
        </w:rPr>
        <w:t xml:space="preserve"> </w:t>
      </w:r>
      <w:r w:rsidRPr="00DB5347">
        <w:rPr>
          <w:rFonts w:hint="cs"/>
          <w:sz w:val="24"/>
          <w:szCs w:val="24"/>
          <w:rtl/>
        </w:rPr>
        <w:t>שהוא</w:t>
      </w:r>
      <w:r w:rsidRPr="00DB5347">
        <w:rPr>
          <w:sz w:val="24"/>
          <w:szCs w:val="24"/>
          <w:rtl/>
        </w:rPr>
        <w:t xml:space="preserve"> </w:t>
      </w:r>
      <w:r w:rsidRPr="00DB5347">
        <w:rPr>
          <w:rFonts w:hint="cs"/>
          <w:sz w:val="24"/>
          <w:szCs w:val="24"/>
          <w:rtl/>
        </w:rPr>
        <w:t>בפנים</w:t>
      </w:r>
      <w:r w:rsidRPr="00DB5347">
        <w:rPr>
          <w:sz w:val="24"/>
          <w:szCs w:val="24"/>
          <w:rtl/>
        </w:rPr>
        <w:t xml:space="preserve"> </w:t>
      </w:r>
      <w:r w:rsidRPr="00DB5347">
        <w:rPr>
          <w:rFonts w:hint="cs"/>
          <w:sz w:val="24"/>
          <w:szCs w:val="24"/>
          <w:rtl/>
        </w:rPr>
        <w:t>והוא</w:t>
      </w:r>
      <w:r w:rsidRPr="00DB5347">
        <w:rPr>
          <w:sz w:val="24"/>
          <w:szCs w:val="24"/>
          <w:rtl/>
        </w:rPr>
        <w:t xml:space="preserve"> </w:t>
      </w:r>
      <w:r w:rsidRPr="00DB5347">
        <w:rPr>
          <w:rFonts w:hint="cs"/>
          <w:sz w:val="24"/>
          <w:szCs w:val="24"/>
          <w:rtl/>
        </w:rPr>
        <w:t>גם</w:t>
      </w:r>
      <w:r w:rsidRPr="00DB5347">
        <w:rPr>
          <w:sz w:val="24"/>
          <w:szCs w:val="24"/>
          <w:rtl/>
        </w:rPr>
        <w:t xml:space="preserve"> </w:t>
      </w:r>
      <w:r w:rsidRPr="00DB5347">
        <w:rPr>
          <w:rFonts w:hint="cs"/>
          <w:sz w:val="24"/>
          <w:szCs w:val="24"/>
          <w:rtl/>
        </w:rPr>
        <w:t>קרבן</w:t>
      </w:r>
      <w:r w:rsidRPr="00DB5347">
        <w:rPr>
          <w:sz w:val="24"/>
          <w:szCs w:val="24"/>
          <w:rtl/>
        </w:rPr>
        <w:t xml:space="preserve"> </w:t>
      </w:r>
      <w:r w:rsidRPr="00DB5347">
        <w:rPr>
          <w:rFonts w:hint="cs"/>
          <w:sz w:val="24"/>
          <w:szCs w:val="24"/>
          <w:rtl/>
        </w:rPr>
        <w:t>הנעשה</w:t>
      </w:r>
      <w:r w:rsidRPr="00DB5347">
        <w:rPr>
          <w:sz w:val="24"/>
          <w:szCs w:val="24"/>
          <w:rtl/>
        </w:rPr>
        <w:t xml:space="preserve"> </w:t>
      </w:r>
      <w:r w:rsidRPr="00DB5347">
        <w:rPr>
          <w:rFonts w:hint="cs"/>
          <w:sz w:val="24"/>
          <w:szCs w:val="24"/>
          <w:rtl/>
        </w:rPr>
        <w:t>בחוץ</w:t>
      </w:r>
      <w:r w:rsidRPr="00DB5347">
        <w:rPr>
          <w:sz w:val="24"/>
          <w:szCs w:val="24"/>
          <w:rtl/>
        </w:rPr>
        <w:t xml:space="preserve"> </w:t>
      </w:r>
      <w:r w:rsidRPr="00DB5347">
        <w:rPr>
          <w:rFonts w:hint="cs"/>
          <w:sz w:val="24"/>
          <w:szCs w:val="24"/>
          <w:rtl/>
        </w:rPr>
        <w:t>שהרי</w:t>
      </w:r>
      <w:r w:rsidRPr="00DB5347">
        <w:rPr>
          <w:sz w:val="24"/>
          <w:szCs w:val="24"/>
          <w:rtl/>
        </w:rPr>
        <w:t xml:space="preserve"> </w:t>
      </w:r>
      <w:r w:rsidRPr="00DB5347">
        <w:rPr>
          <w:rFonts w:hint="cs"/>
          <w:sz w:val="24"/>
          <w:szCs w:val="24"/>
          <w:rtl/>
        </w:rPr>
        <w:t>הוא</w:t>
      </w:r>
      <w:r w:rsidRPr="00DB5347">
        <w:rPr>
          <w:sz w:val="24"/>
          <w:szCs w:val="24"/>
          <w:rtl/>
        </w:rPr>
        <w:t xml:space="preserve"> </w:t>
      </w:r>
      <w:r w:rsidRPr="00DB5347">
        <w:rPr>
          <w:rFonts w:hint="cs"/>
          <w:sz w:val="24"/>
          <w:szCs w:val="24"/>
          <w:rtl/>
        </w:rPr>
        <w:t>מכפר</w:t>
      </w:r>
      <w:r w:rsidRPr="00DB5347">
        <w:rPr>
          <w:sz w:val="24"/>
          <w:szCs w:val="24"/>
          <w:rtl/>
        </w:rPr>
        <w:t xml:space="preserve"> </w:t>
      </w:r>
      <w:r w:rsidRPr="00DB5347">
        <w:rPr>
          <w:rFonts w:hint="cs"/>
          <w:sz w:val="24"/>
          <w:szCs w:val="24"/>
          <w:rtl/>
        </w:rPr>
        <w:t>גם</w:t>
      </w:r>
      <w:r w:rsidRPr="00DB5347">
        <w:rPr>
          <w:sz w:val="24"/>
          <w:szCs w:val="24"/>
          <w:rtl/>
        </w:rPr>
        <w:t xml:space="preserve"> </w:t>
      </w:r>
      <w:r w:rsidRPr="00DB5347">
        <w:rPr>
          <w:rFonts w:hint="cs"/>
          <w:sz w:val="24"/>
          <w:szCs w:val="24"/>
          <w:rtl/>
        </w:rPr>
        <w:t>בשילוח</w:t>
      </w:r>
      <w:r w:rsidRPr="00DB5347">
        <w:rPr>
          <w:sz w:val="24"/>
          <w:szCs w:val="24"/>
          <w:rtl/>
        </w:rPr>
        <w:t xml:space="preserve"> </w:t>
      </w:r>
      <w:r w:rsidRPr="00DB5347">
        <w:rPr>
          <w:rFonts w:hint="cs"/>
          <w:sz w:val="24"/>
          <w:szCs w:val="24"/>
          <w:rtl/>
        </w:rPr>
        <w:t>השעיר</w:t>
      </w:r>
      <w:r w:rsidRPr="00DB5347">
        <w:rPr>
          <w:sz w:val="24"/>
          <w:szCs w:val="24"/>
          <w:rtl/>
        </w:rPr>
        <w:t xml:space="preserve"> </w:t>
      </w:r>
      <w:r w:rsidRPr="00DB5347">
        <w:rPr>
          <w:rFonts w:hint="cs"/>
          <w:sz w:val="24"/>
          <w:szCs w:val="24"/>
          <w:rtl/>
        </w:rPr>
        <w:t>שהוא</w:t>
      </w:r>
      <w:r w:rsidRPr="00DB5347">
        <w:rPr>
          <w:sz w:val="24"/>
          <w:szCs w:val="24"/>
          <w:rtl/>
        </w:rPr>
        <w:t xml:space="preserve"> </w:t>
      </w:r>
      <w:r w:rsidRPr="00DB5347">
        <w:rPr>
          <w:rFonts w:hint="cs"/>
          <w:sz w:val="24"/>
          <w:szCs w:val="24"/>
          <w:rtl/>
        </w:rPr>
        <w:t>בחוץ</w:t>
      </w:r>
      <w:r w:rsidRPr="00DB5347">
        <w:rPr>
          <w:sz w:val="24"/>
          <w:szCs w:val="24"/>
          <w:rtl/>
        </w:rPr>
        <w:t xml:space="preserve"> </w:t>
      </w:r>
      <w:r w:rsidRPr="00DB5347">
        <w:rPr>
          <w:rFonts w:hint="cs"/>
          <w:sz w:val="24"/>
          <w:szCs w:val="24"/>
          <w:rtl/>
        </w:rPr>
        <w:t>ושילוחו</w:t>
      </w:r>
      <w:r w:rsidRPr="00DB5347">
        <w:rPr>
          <w:sz w:val="24"/>
          <w:szCs w:val="24"/>
          <w:rtl/>
        </w:rPr>
        <w:t xml:space="preserve"> </w:t>
      </w:r>
      <w:r w:rsidRPr="00DB5347">
        <w:rPr>
          <w:rFonts w:hint="cs"/>
          <w:sz w:val="24"/>
          <w:szCs w:val="24"/>
          <w:rtl/>
        </w:rPr>
        <w:t>קרי</w:t>
      </w:r>
      <w:r w:rsidRPr="00DB5347">
        <w:rPr>
          <w:sz w:val="24"/>
          <w:szCs w:val="24"/>
          <w:rtl/>
        </w:rPr>
        <w:t xml:space="preserve"> </w:t>
      </w:r>
      <w:r w:rsidRPr="00DB5347">
        <w:rPr>
          <w:rFonts w:hint="cs"/>
          <w:sz w:val="24"/>
          <w:szCs w:val="24"/>
          <w:rtl/>
        </w:rPr>
        <w:t>קרבן</w:t>
      </w:r>
      <w:r>
        <w:rPr>
          <w:rFonts w:hint="cs"/>
          <w:sz w:val="24"/>
          <w:szCs w:val="24"/>
          <w:rtl/>
        </w:rPr>
        <w:t>.</w:t>
      </w:r>
    </w:p>
    <w:p w:rsidR="00C26E1A" w:rsidRPr="002516A7" w:rsidRDefault="00C26E1A" w:rsidP="00C26E1A">
      <w:pPr>
        <w:spacing w:line="276" w:lineRule="auto"/>
        <w:ind w:left="720"/>
        <w:jc w:val="right"/>
        <w:rPr>
          <w:sz w:val="20"/>
          <w:szCs w:val="20"/>
          <w:rtl/>
        </w:rPr>
      </w:pPr>
      <w:r>
        <w:rPr>
          <w:rFonts w:hint="cs"/>
          <w:sz w:val="20"/>
          <w:szCs w:val="20"/>
          <w:rtl/>
        </w:rPr>
        <w:t>[משנת יעבץ סימן נו ענף ד ד"ה ואשר]</w:t>
      </w:r>
    </w:p>
    <w:p w:rsidR="00C26E1A" w:rsidRDefault="00C26E1A" w:rsidP="00C26E1A">
      <w:pPr>
        <w:spacing w:line="276" w:lineRule="auto"/>
        <w:rPr>
          <w:sz w:val="24"/>
          <w:szCs w:val="24"/>
          <w:rtl/>
        </w:rPr>
      </w:pPr>
      <w:r>
        <w:rPr>
          <w:rFonts w:hint="cs"/>
          <w:sz w:val="24"/>
          <w:szCs w:val="24"/>
          <w:rtl/>
        </w:rPr>
        <w:t>בניגוד לנאמר לעיל, המשנת יעבץ סובר שגם לאחר הוידוי, השעיר המשתלח מוגדר כקרבן. אלא שקודם הוידוי, מעמדו הוא כקרבן הקרב בפנים, ואילו לאחר הוידוי, נידון השעיר כקרבן הנעשה בחוץ</w:t>
      </w:r>
      <w:r>
        <w:rPr>
          <w:rStyle w:val="a7"/>
          <w:sz w:val="24"/>
          <w:szCs w:val="24"/>
          <w:rtl/>
        </w:rPr>
        <w:footnoteReference w:id="134"/>
      </w:r>
      <w:r>
        <w:rPr>
          <w:rFonts w:hint="cs"/>
          <w:sz w:val="24"/>
          <w:szCs w:val="24"/>
          <w:rtl/>
        </w:rPr>
        <w:t xml:space="preserve">. </w:t>
      </w:r>
    </w:p>
    <w:p w:rsidR="00C26E1A" w:rsidRDefault="00C26E1A" w:rsidP="00C26E1A">
      <w:pPr>
        <w:spacing w:line="276" w:lineRule="auto"/>
        <w:ind w:left="720"/>
        <w:rPr>
          <w:sz w:val="24"/>
          <w:szCs w:val="24"/>
          <w:rtl/>
        </w:rPr>
      </w:pPr>
    </w:p>
    <w:p w:rsidR="00C26E1A" w:rsidRDefault="00C26E1A" w:rsidP="00C26E1A">
      <w:pPr>
        <w:spacing w:line="276" w:lineRule="auto"/>
        <w:rPr>
          <w:sz w:val="20"/>
          <w:szCs w:val="20"/>
          <w:rtl/>
        </w:rPr>
      </w:pPr>
      <w:r>
        <w:rPr>
          <w:sz w:val="24"/>
          <w:szCs w:val="24"/>
          <w:rtl/>
        </w:rPr>
        <w:t xml:space="preserve">בשיעור הבא נעסוק בעז"ה </w:t>
      </w:r>
      <w:r>
        <w:rPr>
          <w:rFonts w:hint="cs"/>
          <w:sz w:val="24"/>
          <w:szCs w:val="24"/>
          <w:rtl/>
        </w:rPr>
        <w:t>בדין שילוח השעיר</w:t>
      </w:r>
      <w:r>
        <w:rPr>
          <w:sz w:val="24"/>
          <w:szCs w:val="24"/>
          <w:rtl/>
        </w:rPr>
        <w:t>.</w:t>
      </w:r>
    </w:p>
    <w:p w:rsidR="00C26E1A" w:rsidRDefault="00C26E1A" w:rsidP="00C26E1A">
      <w:pPr>
        <w:spacing w:line="276" w:lineRule="auto"/>
        <w:ind w:firstLine="266"/>
        <w:jc w:val="right"/>
        <w:rPr>
          <w:sz w:val="24"/>
          <w:szCs w:val="24"/>
          <w:rtl/>
        </w:rPr>
      </w:pPr>
      <w:r>
        <w:rPr>
          <w:sz w:val="24"/>
          <w:szCs w:val="24"/>
          <w:u w:val="single"/>
          <w:rtl/>
        </w:rPr>
        <w:t>להערות ולתגובות</w:t>
      </w:r>
      <w:r>
        <w:rPr>
          <w:sz w:val="24"/>
          <w:szCs w:val="24"/>
          <w:rtl/>
        </w:rPr>
        <w:t>: איציק וולטרס</w:t>
      </w:r>
    </w:p>
    <w:p w:rsidR="00C26E1A" w:rsidRDefault="00C26E1A" w:rsidP="00C26E1A">
      <w:pPr>
        <w:spacing w:line="276" w:lineRule="auto"/>
        <w:ind w:firstLine="227"/>
        <w:jc w:val="right"/>
        <w:rPr>
          <w:rtl/>
        </w:rPr>
      </w:pPr>
      <w:hyperlink r:id="rId23" w:history="1">
        <w:r>
          <w:rPr>
            <w:rStyle w:val="Hyperlink"/>
            <w:sz w:val="24"/>
            <w:szCs w:val="24"/>
          </w:rPr>
          <w:t>Itzikw7@gmail.com</w:t>
        </w:r>
      </w:hyperlink>
    </w:p>
    <w:p w:rsidR="00C26E1A" w:rsidRDefault="00C26E1A" w:rsidP="00C26E1A">
      <w:pPr>
        <w:spacing w:before="120" w:after="120" w:line="276" w:lineRule="auto"/>
        <w:jc w:val="center"/>
        <w:rPr>
          <w:rFonts w:hint="cs"/>
          <w:color w:val="525252" w:themeColor="accent3" w:themeShade="80"/>
          <w:sz w:val="32"/>
          <w:szCs w:val="32"/>
        </w:rPr>
      </w:pPr>
    </w:p>
    <w:p w:rsidR="00C26E1A" w:rsidRPr="00782FFD" w:rsidRDefault="00C26E1A" w:rsidP="00782FFD">
      <w:pPr>
        <w:spacing w:after="0" w:line="240" w:lineRule="auto"/>
        <w:rPr>
          <w:color w:val="525252" w:themeColor="accent3" w:themeShade="80"/>
          <w:sz w:val="32"/>
          <w:szCs w:val="32"/>
        </w:rPr>
      </w:pPr>
      <w:r>
        <w:rPr>
          <w:color w:val="525252" w:themeColor="accent3" w:themeShade="80"/>
          <w:sz w:val="32"/>
          <w:szCs w:val="32"/>
          <w:rtl/>
        </w:rPr>
        <w:br w:type="page"/>
      </w:r>
    </w:p>
    <w:p w:rsidR="00C26E1A" w:rsidRDefault="00C26E1A" w:rsidP="00C26E1A">
      <w:pPr>
        <w:keepNext/>
        <w:keepLines/>
        <w:spacing w:before="240" w:after="0"/>
        <w:jc w:val="center"/>
        <w:outlineLvl w:val="0"/>
        <w:rPr>
          <w:rFonts w:asciiTheme="majorHAnsi" w:eastAsiaTheme="majorEastAsia" w:hAnsiTheme="majorHAnsi"/>
          <w:bCs/>
          <w:sz w:val="36"/>
          <w:szCs w:val="36"/>
        </w:rPr>
      </w:pPr>
      <w:bookmarkStart w:id="97" w:name="_Toc76719189"/>
      <w:r>
        <w:rPr>
          <w:rFonts w:asciiTheme="majorHAnsi" w:eastAsiaTheme="majorEastAsia" w:hAnsiTheme="majorHAnsi"/>
          <w:bCs/>
          <w:sz w:val="40"/>
          <w:szCs w:val="40"/>
          <w:rtl/>
        </w:rPr>
        <w:lastRenderedPageBreak/>
        <w:t>יסודות יומא</w:t>
      </w:r>
      <w:bookmarkEnd w:id="97"/>
    </w:p>
    <w:p w:rsidR="00C26E1A" w:rsidRDefault="00C26E1A" w:rsidP="00C26E1A">
      <w:pPr>
        <w:keepNext/>
        <w:keepLines/>
        <w:spacing w:before="240" w:after="0"/>
        <w:jc w:val="center"/>
        <w:outlineLvl w:val="0"/>
        <w:rPr>
          <w:rFonts w:asciiTheme="majorHAnsi" w:eastAsiaTheme="majorEastAsia" w:hAnsiTheme="majorHAnsi"/>
          <w:b/>
          <w:sz w:val="32"/>
          <w:szCs w:val="32"/>
          <w:rtl/>
        </w:rPr>
      </w:pPr>
      <w:bookmarkStart w:id="98" w:name="_Toc76719190"/>
      <w:r>
        <w:rPr>
          <w:rFonts w:asciiTheme="majorHAnsi" w:eastAsiaTheme="majorEastAsia" w:hAnsiTheme="majorHAnsi"/>
          <w:b/>
          <w:sz w:val="32"/>
          <w:szCs w:val="32"/>
          <w:rtl/>
        </w:rPr>
        <w:t xml:space="preserve">שיעור </w:t>
      </w:r>
      <w:r>
        <w:rPr>
          <w:rFonts w:asciiTheme="majorHAnsi" w:eastAsiaTheme="majorEastAsia" w:hAnsiTheme="majorHAnsi" w:hint="cs"/>
          <w:b/>
          <w:sz w:val="32"/>
          <w:szCs w:val="32"/>
          <w:rtl/>
        </w:rPr>
        <w:t>שבעה עשר</w:t>
      </w:r>
      <w:bookmarkEnd w:id="98"/>
    </w:p>
    <w:p w:rsidR="00C26E1A" w:rsidRDefault="00C26E1A" w:rsidP="00C26E1A">
      <w:pPr>
        <w:keepNext/>
        <w:keepLines/>
        <w:spacing w:before="240" w:after="0"/>
        <w:jc w:val="center"/>
        <w:outlineLvl w:val="0"/>
        <w:rPr>
          <w:rFonts w:asciiTheme="majorHAnsi" w:eastAsiaTheme="majorEastAsia" w:hAnsiTheme="majorHAnsi"/>
          <w:bCs/>
          <w:sz w:val="32"/>
          <w:szCs w:val="32"/>
          <w:rtl/>
        </w:rPr>
      </w:pPr>
      <w:bookmarkStart w:id="99" w:name="_Toc76719191"/>
      <w:r>
        <w:rPr>
          <w:rFonts w:asciiTheme="majorHAnsi" w:eastAsiaTheme="majorEastAsia" w:hAnsiTheme="majorHAnsi" w:hint="cs"/>
          <w:bCs/>
          <w:sz w:val="36"/>
          <w:szCs w:val="36"/>
          <w:rtl/>
        </w:rPr>
        <w:t>שילוח השעיר</w:t>
      </w:r>
      <w:bookmarkEnd w:id="99"/>
    </w:p>
    <w:p w:rsidR="00C26E1A" w:rsidRDefault="00EC5B3B" w:rsidP="00EC5B3B">
      <w:pPr>
        <w:keepNext/>
        <w:keepLines/>
        <w:tabs>
          <w:tab w:val="center" w:pos="4153"/>
          <w:tab w:val="left" w:pos="5274"/>
        </w:tabs>
        <w:spacing w:after="0"/>
        <w:jc w:val="left"/>
        <w:outlineLvl w:val="0"/>
        <w:rPr>
          <w:rFonts w:asciiTheme="majorHAnsi" w:eastAsiaTheme="majorEastAsia" w:hAnsiTheme="majorHAnsi"/>
          <w:bCs/>
          <w:sz w:val="32"/>
          <w:szCs w:val="32"/>
          <w:rtl/>
        </w:rPr>
      </w:pPr>
      <w:bookmarkStart w:id="100" w:name="_Toc76719192"/>
      <w:r>
        <w:rPr>
          <w:rFonts w:asciiTheme="majorHAnsi" w:eastAsiaTheme="majorEastAsia" w:hAnsiTheme="majorHAnsi"/>
          <w:bCs/>
          <w:sz w:val="32"/>
          <w:szCs w:val="32"/>
          <w:rtl/>
        </w:rPr>
        <w:tab/>
      </w:r>
      <w:r w:rsidR="00C26E1A">
        <w:rPr>
          <w:noProof/>
          <w:rtl/>
        </w:rPr>
        <mc:AlternateContent>
          <mc:Choice Requires="wps">
            <w:drawing>
              <wp:anchor distT="0" distB="0" distL="114300" distR="114300" simplePos="0" relativeHeight="251702272" behindDoc="1" locked="0" layoutInCell="1" allowOverlap="1" wp14:anchorId="76F4637B" wp14:editId="18994E10">
                <wp:simplePos x="0" y="0"/>
                <wp:positionH relativeFrom="margin">
                  <wp:posOffset>-259080</wp:posOffset>
                </wp:positionH>
                <wp:positionV relativeFrom="paragraph">
                  <wp:posOffset>90805</wp:posOffset>
                </wp:positionV>
                <wp:extent cx="5765800" cy="7818120"/>
                <wp:effectExtent l="0" t="0" r="25400" b="11430"/>
                <wp:wrapNone/>
                <wp:docPr id="27" name="מלבן 27"/>
                <wp:cNvGraphicFramePr/>
                <a:graphic xmlns:a="http://schemas.openxmlformats.org/drawingml/2006/main">
                  <a:graphicData uri="http://schemas.microsoft.com/office/word/2010/wordprocessingShape">
                    <wps:wsp>
                      <wps:cNvSpPr/>
                      <wps:spPr>
                        <a:xfrm>
                          <a:off x="0" y="0"/>
                          <a:ext cx="5765800" cy="7818120"/>
                        </a:xfrm>
                        <a:prstGeom prst="rect">
                          <a:avLst/>
                        </a:prstGeom>
                        <a:solidFill>
                          <a:sysClr val="window" lastClr="FFFFFF"/>
                        </a:solidFill>
                        <a:ln w="19050" cap="flat" cmpd="sng" algn="ctr">
                          <a:solidFill>
                            <a:srgbClr val="4472C4"/>
                          </a:solidFill>
                          <a:prstDash val="solid"/>
                          <a:miter lim="800000"/>
                        </a:ln>
                        <a:effectLst/>
                      </wps:spPr>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2F86D" id="מלבן 27" o:spid="_x0000_s1026" style="position:absolute;left:0;text-align:left;margin-left:-20.4pt;margin-top:7.15pt;width:454pt;height:615.6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0FiAIAAPsEAAAOAAAAZHJzL2Uyb0RvYy54bWysVMtuGjEU3VfqP1jeNwMIAkEZIkREVSlK&#10;IyVV1sbjYSz5Vdsw0L/ovmo/i9/psYeQR7uqysL4Pnwf5547l1c7rchW+CCtKWn/rEeJMNxW0qxL&#10;+uVh+WFCSYjMVExZI0q6F4Fezd6/u2zdVAxsY1UlPEEQE6atK2kTo5sWReCN0CycWScMjLX1mkWI&#10;fl1UnrWIrlUx6PXOi9b6ynnLRQjQXndGOsvx61rw+Lmug4hElRS1xXz6fK7SWcwu2XTtmWskP5bB&#10;/qEKzaRB0lOoaxYZ2Xj5RygtubfB1vGMW13YupZc5B7QTb/3ppv7hjmRewE4wZ1gCv8vLL/d3nki&#10;q5IOxpQYpjGjw8/Dj8P3wy8CFfBpXZjC7d7d+aMUcE3N7mqv0z/aILuM6f6EqdhFwqEcjc9Hkx6g&#10;57CNJ/1Jf5BRL56fOx/iR2E1SZeSegwtY8m2NyEiJVyfXFK2YJWsllKpLOzDQnmyZZgvaFHZlhLF&#10;QoSypMv8Sz0gxKtnypAWdL3ojVJlDMSrFYu4agcogllTwtQajObR51pevQ5+vTplHQ7Hg8Xwb0lS&#10;0dcsNF11OUJyY1MtI0ivpC4poMHv+FqZZBWZtsfWE/gd3Om2stUe4/K243FwfCmR5AYN3zEP4qIb&#10;LGP8jKNWFi1yJR0ljfXf3uqSH3gECyUtFgBtf90wL4DfJwOGXfSHQ4SLWRiOxhgb8S8tq5cWs9EL&#10;ixn0se6O52vyj+pJW3urH7Gr85QVJmY4cncAH4VF7BYT287FfJ7dsCWOxRtz73gKnvBJsD7sHpl3&#10;R8JEcO3WPi0Lm77hTeebXho730Rby0yqZzxBjyRgwzJRjl+DtMIv5ez1/M2a/QYAAP//AwBQSwME&#10;FAAGAAgAAAAhAFWPmrrgAAAACwEAAA8AAABkcnMvZG93bnJldi54bWxMj8FOwzAQRO9I/IO1SNxa&#10;uyENVYhTUSQEHIpoQZzd2DgR9jrEbhP+nuUEx9kZzbyt1pN37GSG2AWUsJgLYAaboDu0Et5e72cr&#10;YDEp1MoFNBK+TYR1fX5WqVKHEXfmtE+WUQnGUkloU+pLzmPTGq/iPPQGyfsIg1eJ5GC5HtRI5d7x&#10;TIiCe9UhLbSqN3etaT73Ry/haWO/3h/tYld49zJu8EE8b4OQ8vJiur0BlsyU/sLwi0/oUBPTIRxR&#10;R+YkzHJB6ImM/AoYBVbFdQbsQIcsXy6B1xX//0P9AwAA//8DAFBLAQItABQABgAIAAAAIQC2gziS&#10;/gAAAOEBAAATAAAAAAAAAAAAAAAAAAAAAABbQ29udGVudF9UeXBlc10ueG1sUEsBAi0AFAAGAAgA&#10;AAAhADj9If/WAAAAlAEAAAsAAAAAAAAAAAAAAAAALwEAAF9yZWxzLy5yZWxzUEsBAi0AFAAGAAgA&#10;AAAhALizHQWIAgAA+wQAAA4AAAAAAAAAAAAAAAAALgIAAGRycy9lMm9Eb2MueG1sUEsBAi0AFAAG&#10;AAgAAAAhAFWPmrrgAAAACwEAAA8AAAAAAAAAAAAAAAAA4gQAAGRycy9kb3ducmV2LnhtbFBLBQYA&#10;AAAABAAEAPMAAADvBQAAAAA=&#10;" fillcolor="window" strokecolor="#4472c4" strokeweight="1.5pt">
                <w10:wrap anchorx="margin"/>
              </v:rect>
            </w:pict>
          </mc:Fallback>
        </mc:AlternateContent>
      </w:r>
      <w:bookmarkEnd w:id="100"/>
      <w:r>
        <w:rPr>
          <w:rFonts w:asciiTheme="majorHAnsi" w:eastAsiaTheme="majorEastAsia" w:hAnsiTheme="majorHAnsi"/>
          <w:bCs/>
          <w:sz w:val="32"/>
          <w:szCs w:val="32"/>
          <w:rtl/>
        </w:rPr>
        <w:tab/>
      </w:r>
    </w:p>
    <w:p w:rsidR="00C26E1A" w:rsidRPr="000A0091" w:rsidRDefault="00C26E1A" w:rsidP="00C26E1A">
      <w:pPr>
        <w:jc w:val="center"/>
        <w:rPr>
          <w:b/>
          <w:bCs/>
          <w:sz w:val="24"/>
          <w:szCs w:val="24"/>
          <w:rtl/>
        </w:rPr>
      </w:pPr>
      <w:r>
        <w:rPr>
          <w:b/>
          <w:bCs/>
          <w:sz w:val="24"/>
          <w:szCs w:val="24"/>
          <w:rtl/>
        </w:rPr>
        <w:t>מקורות</w:t>
      </w:r>
    </w:p>
    <w:p w:rsidR="00C26E1A" w:rsidRPr="000869B4" w:rsidRDefault="00C26E1A" w:rsidP="00C26E1A">
      <w:pPr>
        <w:rPr>
          <w:sz w:val="24"/>
          <w:szCs w:val="24"/>
          <w:rtl/>
        </w:rPr>
      </w:pPr>
      <w:r w:rsidRPr="000869B4">
        <w:rPr>
          <w:rFonts w:hint="cs"/>
          <w:sz w:val="24"/>
          <w:szCs w:val="24"/>
          <w:rtl/>
        </w:rPr>
        <w:t>א.</w:t>
      </w:r>
      <w:r>
        <w:rPr>
          <w:rFonts w:hint="cs"/>
          <w:sz w:val="24"/>
          <w:szCs w:val="24"/>
          <w:rtl/>
        </w:rPr>
        <w:t xml:space="preserve"> </w:t>
      </w:r>
      <w:r w:rsidRPr="000869B4">
        <w:rPr>
          <w:rFonts w:hint="cs"/>
          <w:sz w:val="24"/>
          <w:szCs w:val="24"/>
          <w:rtl/>
        </w:rPr>
        <w:t>מ.-: "דתניא... וידוי דברים"; רש"י סה. ד"ה אלא מת; ירושלמי פ"ו ה"ב "יעמד חי... שעיר אחר"</w:t>
      </w:r>
    </w:p>
    <w:p w:rsidR="00C26E1A" w:rsidRDefault="00C26E1A" w:rsidP="00C26E1A">
      <w:pPr>
        <w:rPr>
          <w:sz w:val="24"/>
          <w:szCs w:val="24"/>
          <w:rtl/>
        </w:rPr>
      </w:pPr>
      <w:r>
        <w:rPr>
          <w:rFonts w:hint="cs"/>
          <w:sz w:val="24"/>
          <w:szCs w:val="24"/>
          <w:rtl/>
        </w:rPr>
        <w:t>ב. סו.-: "תנו רבנן... על כתפו"; גבורת ארי סו: ד"ה עתי</w:t>
      </w:r>
    </w:p>
    <w:p w:rsidR="00C26E1A" w:rsidRDefault="00C26E1A" w:rsidP="00C26E1A">
      <w:pPr>
        <w:rPr>
          <w:sz w:val="24"/>
          <w:szCs w:val="24"/>
          <w:rtl/>
        </w:rPr>
      </w:pPr>
      <w:r>
        <w:rPr>
          <w:rFonts w:hint="cs"/>
          <w:sz w:val="24"/>
          <w:szCs w:val="24"/>
          <w:rtl/>
        </w:rPr>
        <w:t>ג. סח: מהמשנה עד "נעשית מצוותו"; מאירי סו. ד"ה אמרו</w:t>
      </w:r>
    </w:p>
    <w:p w:rsidR="00C26E1A" w:rsidRPr="000869B4" w:rsidRDefault="00C26E1A" w:rsidP="00C26E1A">
      <w:pPr>
        <w:rPr>
          <w:sz w:val="24"/>
          <w:szCs w:val="24"/>
          <w:rtl/>
        </w:rPr>
      </w:pPr>
      <w:r>
        <w:rPr>
          <w:rFonts w:hint="cs"/>
          <w:sz w:val="24"/>
          <w:szCs w:val="24"/>
          <w:rtl/>
        </w:rPr>
        <w:t>ד. שאגת אריה סימן ע; שיעורי הגרי"ד עבודת יום הכיפורים עמ' קנט</w:t>
      </w:r>
    </w:p>
    <w:p w:rsidR="00782FFD" w:rsidRDefault="00782FFD" w:rsidP="00C26E1A">
      <w:pPr>
        <w:spacing w:line="276" w:lineRule="auto"/>
        <w:rPr>
          <w:rFonts w:ascii="FrankRuehl" w:hAnsi="FrankRuehl" w:cs="FrankRuehl"/>
          <w:b/>
          <w:bCs/>
          <w:sz w:val="24"/>
          <w:szCs w:val="24"/>
          <w:rtl/>
        </w:rPr>
      </w:pPr>
    </w:p>
    <w:p w:rsidR="00C26E1A" w:rsidRPr="00171367"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ירושלמי פ"ו ה"ב</w:t>
      </w:r>
    </w:p>
    <w:p w:rsidR="00C26E1A" w:rsidRDefault="00C26E1A" w:rsidP="00C26E1A">
      <w:pPr>
        <w:spacing w:line="276" w:lineRule="auto"/>
        <w:rPr>
          <w:rFonts w:ascii="FrankRuehl" w:hAnsi="FrankRuehl" w:cs="FrankRuehl"/>
          <w:sz w:val="24"/>
          <w:szCs w:val="24"/>
          <w:rtl/>
        </w:rPr>
      </w:pPr>
      <w:r w:rsidRPr="00171367">
        <w:rPr>
          <w:rFonts w:ascii="FrankRuehl" w:hAnsi="FrankRuehl" w:cs="FrankRuehl"/>
          <w:sz w:val="24"/>
          <w:szCs w:val="24"/>
          <w:rtl/>
        </w:rPr>
        <w:t>יעמד חי מלמד שהוא עתיד למות עד מתי הוא חיה עד וכלה מכפר את הקודש דברי ר' יהודה רש"א עד שעת הוידוי ע"ד דר' יהודה הוידוי מעכב ע"ד דר"ש אין הוידוי מעכב מה נפק מן ביניהון שלחו בלא וידוי ע"ד דר' יהודה צריך להביא שעיר אחר על דעתיה דר"ש אינו צריך להביא שעיר אחר</w:t>
      </w:r>
      <w:r>
        <w:rPr>
          <w:rFonts w:ascii="FrankRuehl" w:hAnsi="FrankRuehl" w:cs="FrankRuehl" w:hint="cs"/>
          <w:sz w:val="24"/>
          <w:szCs w:val="24"/>
          <w:rtl/>
        </w:rPr>
        <w:t>.</w:t>
      </w:r>
    </w:p>
    <w:p w:rsidR="00782FFD" w:rsidRDefault="00782FFD" w:rsidP="00C26E1A">
      <w:pPr>
        <w:spacing w:line="276" w:lineRule="auto"/>
        <w:rPr>
          <w:rFonts w:ascii="FrankRuehl" w:hAnsi="FrankRuehl" w:cs="FrankRuehl"/>
          <w:b/>
          <w:bCs/>
          <w:sz w:val="24"/>
          <w:szCs w:val="24"/>
          <w:rtl/>
        </w:rPr>
      </w:pPr>
    </w:p>
    <w:p w:rsidR="00C26E1A" w:rsidRPr="00171367" w:rsidRDefault="00C26E1A" w:rsidP="00C26E1A">
      <w:pPr>
        <w:spacing w:line="276" w:lineRule="auto"/>
        <w:rPr>
          <w:rFonts w:ascii="FrankRuehl" w:hAnsi="FrankRuehl" w:cs="FrankRuehl"/>
          <w:b/>
          <w:bCs/>
          <w:sz w:val="24"/>
          <w:szCs w:val="24"/>
          <w:rtl/>
        </w:rPr>
      </w:pPr>
      <w:r w:rsidRPr="00171367">
        <w:rPr>
          <w:rFonts w:ascii="FrankRuehl" w:hAnsi="FrankRuehl" w:cs="FrankRuehl" w:hint="cs"/>
          <w:b/>
          <w:bCs/>
          <w:sz w:val="24"/>
          <w:szCs w:val="24"/>
          <w:rtl/>
        </w:rPr>
        <w:t>גבורת ארי סו: ד"ה עתי</w:t>
      </w:r>
    </w:p>
    <w:p w:rsidR="00C26E1A" w:rsidRDefault="00C26E1A" w:rsidP="00C26E1A">
      <w:pPr>
        <w:spacing w:line="276" w:lineRule="auto"/>
        <w:rPr>
          <w:rFonts w:ascii="FrankRuehl" w:hAnsi="FrankRuehl" w:cs="FrankRuehl"/>
          <w:sz w:val="24"/>
          <w:szCs w:val="24"/>
          <w:rtl/>
        </w:rPr>
      </w:pPr>
      <w:r w:rsidRPr="00171367">
        <w:rPr>
          <w:rFonts w:ascii="FrankRuehl" w:hAnsi="FrankRuehl" w:cs="FrankRuehl"/>
          <w:sz w:val="24"/>
          <w:szCs w:val="24"/>
          <w:rtl/>
        </w:rPr>
        <w:t>קשה לי כיון דלכולי עלמא שילוח השעיר אינו מעכב אמאי דחי שבת דהכי אמרינן במנחות בפרק ר"י (דף ע"ב) דר"א ב"ש דאמר עומר שנקצר שלא כמצותו פסול סבירא ליה כר' עקיבא דאמר כל מלאכה שאפשר לעשות מערב שבת אינה דוחה את השבת וסבירא ליה כר"י דאמר קצירת העומר מצוה דתנן ר"י אומר מה חריש רשות אף קציר רשות יצא קצירת העומר שהוא מצוה ואי סלקא דעתך נקצר שלא כמצותו כשר אמאי דחי שבת ניקצריה מערב שבת אלא מדדחי שמע מינה נקצר שלא כמצותו פסול ושמע מינה דבר שאינו מעכב בדיעבד ואינו אלא למצוה אינו דוחה שבת וכיון דשילוח שעיר אינו מעכב ואינו אלא למצוה אמאי דוחה שבת ואף על גב דלכתחילה מצותו בשילוח הא פי' התוס' התם אהא דקאמר אמאי דחי ניקצריה מע"ש אף על גב דלכתחילה מצותו בלילה כיון דבדיעבד כשר לא הוי דומיא דתמיד דכתיב ביה במועדו לומר דדחי שבת ומסתברא דומיא דתמיד בעינן וא"ל הכא נמי כן ויש לומר דאמרינן התם דאין ללמוד דאפילו אי נקצר שלא כמצותו כשר אפילו הכי דוחה שבת דחביבה מצוה בשעתה דתניא אמר ר' שמעון בא וראה כמה חביבה מצוה בשעתה שהרי הקטר חלבים ואברים כשרין כל הלילה ולא היו ממתינים להם עד שתחשך [ודחי] דשאני התם שכבר דחתה שחיטה את השבת פי' וכיון שכבר ניתן שבת לדחות אצל שחיטת קרבן זה ניתנה נמי לדחות אצל הקטרתו משום חביבה מצוה אבל בקצירת העומר ליכא למימר הכי אף על גב דלמחר דחיה הקרבתה את השבת בשעת קצירה מיהו לא נדחית ושמע מינא דכל היכא דכבר נדחה שבת אצלו אף דבר שאינו אלא למצוה נמי דוחה אפילו אפשר לעשותה אחר שבת משום חביבה מצוה בשעתה כמו אברים ופדרים כל שכן אם זמנה קבוע בשבת דוקא ואי אפשר לעשותה לגמרי אחר שבת והשתא יש לומר כיון דשני שעירים דיום הכיפורים מעכבין זה את זה כדתנן סוף פרק ג' דמנחות וכדמוכח בכולי פירקין הוה ליה שעיר של שם ושל עזאזל כחד וכאילו הן קרבן א' ושחיטת שעיר של שם דדחי יום הכיפורים מהני לשל עזאזל כאילו הוא גופו דנימא כבר דחתה שחיטה את השבת וכיון שדחתה כבר אפילו משום חביבה מצוה בשעתא בכהאי גוונא ראוי לדחות שבת כל שכן שעה עוברת לגמרי כמו שילוח השעיר שאין לו תקנה אלא בשעתיה ביום הכיפורים דוקא שדוחה שבת</w:t>
      </w:r>
      <w:r>
        <w:rPr>
          <w:rFonts w:ascii="FrankRuehl" w:hAnsi="FrankRuehl" w:cs="FrankRuehl" w:hint="cs"/>
          <w:sz w:val="24"/>
          <w:szCs w:val="24"/>
          <w:rtl/>
        </w:rPr>
        <w:t>.</w:t>
      </w:r>
    </w:p>
    <w:p w:rsidR="00782FFD" w:rsidRDefault="00782FFD" w:rsidP="00C26E1A">
      <w:pPr>
        <w:spacing w:line="276" w:lineRule="auto"/>
        <w:rPr>
          <w:rFonts w:ascii="FrankRuehl" w:hAnsi="FrankRuehl" w:cs="FrankRuehl"/>
          <w:b/>
          <w:bCs/>
          <w:sz w:val="24"/>
          <w:szCs w:val="24"/>
          <w:rtl/>
        </w:rPr>
      </w:pPr>
    </w:p>
    <w:p w:rsidR="00C26E1A" w:rsidRPr="00171367"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מאירי</w:t>
      </w:r>
      <w:r w:rsidRPr="00171367">
        <w:rPr>
          <w:rFonts w:ascii="FrankRuehl" w:hAnsi="FrankRuehl" w:cs="FrankRuehl"/>
          <w:b/>
          <w:bCs/>
          <w:sz w:val="24"/>
          <w:szCs w:val="24"/>
          <w:rtl/>
        </w:rPr>
        <w:t xml:space="preserve"> סו</w:t>
      </w:r>
      <w:r>
        <w:rPr>
          <w:rFonts w:ascii="FrankRuehl" w:hAnsi="FrankRuehl" w:cs="FrankRuehl" w:hint="cs"/>
          <w:b/>
          <w:bCs/>
          <w:sz w:val="24"/>
          <w:szCs w:val="24"/>
          <w:rtl/>
        </w:rPr>
        <w:t>. ד"ה אמרו</w:t>
      </w:r>
    </w:p>
    <w:p w:rsidR="00C26E1A" w:rsidRDefault="00C26E1A" w:rsidP="00C26E1A">
      <w:pPr>
        <w:spacing w:line="276" w:lineRule="auto"/>
        <w:rPr>
          <w:rFonts w:ascii="FrankRuehl" w:hAnsi="FrankRuehl" w:cs="FrankRuehl"/>
          <w:sz w:val="24"/>
          <w:szCs w:val="24"/>
          <w:rtl/>
        </w:rPr>
      </w:pPr>
      <w:r w:rsidRPr="00171367">
        <w:rPr>
          <w:rFonts w:ascii="FrankRuehl" w:hAnsi="FrankRuehl" w:cs="FrankRuehl"/>
          <w:sz w:val="24"/>
          <w:szCs w:val="24"/>
          <w:rtl/>
        </w:rPr>
        <w:t xml:space="preserve">אמרו לו לכ"ג פי' שלא היה הכהן רשאי להתחיל בעבודה אחרת עד שהגיע שעיר למדבר כדכתי' ושלח את השעיר במדבר והדר ואת חלב החטאת יקטיר המזבחה ובעוד שהיו משלחין היה הוא מתעסק בקריעת איברי הפר והשעיר </w:t>
      </w:r>
      <w:r w:rsidR="00782FFD">
        <w:rPr>
          <w:noProof/>
          <w:rtl/>
        </w:rPr>
        <w:lastRenderedPageBreak/>
        <mc:AlternateContent>
          <mc:Choice Requires="wps">
            <w:drawing>
              <wp:anchor distT="0" distB="0" distL="114300" distR="114300" simplePos="0" relativeHeight="251703296" behindDoc="1" locked="0" layoutInCell="1" allowOverlap="1" wp14:anchorId="0B0B76B4" wp14:editId="51D583D3">
                <wp:simplePos x="0" y="0"/>
                <wp:positionH relativeFrom="margin">
                  <wp:align>center</wp:align>
                </wp:positionH>
                <wp:positionV relativeFrom="paragraph">
                  <wp:posOffset>-160020</wp:posOffset>
                </wp:positionV>
                <wp:extent cx="5765800" cy="5692140"/>
                <wp:effectExtent l="0" t="0" r="25400" b="22860"/>
                <wp:wrapNone/>
                <wp:docPr id="28" name="מלבן 28"/>
                <wp:cNvGraphicFramePr/>
                <a:graphic xmlns:a="http://schemas.openxmlformats.org/drawingml/2006/main">
                  <a:graphicData uri="http://schemas.microsoft.com/office/word/2010/wordprocessingShape">
                    <wps:wsp>
                      <wps:cNvSpPr/>
                      <wps:spPr>
                        <a:xfrm>
                          <a:off x="0" y="0"/>
                          <a:ext cx="5765800" cy="5692140"/>
                        </a:xfrm>
                        <a:prstGeom prst="rect">
                          <a:avLst/>
                        </a:prstGeom>
                        <a:solidFill>
                          <a:sysClr val="window" lastClr="FFFFFF"/>
                        </a:solidFill>
                        <a:ln w="19050" cap="flat" cmpd="sng" algn="ctr">
                          <a:solidFill>
                            <a:srgbClr val="4472C4"/>
                          </a:solidFill>
                          <a:prstDash val="solid"/>
                          <a:miter lim="800000"/>
                        </a:ln>
                        <a:effectLst/>
                      </wps:spPr>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4FA79" id="מלבן 28" o:spid="_x0000_s1026" style="position:absolute;left:0;text-align:left;margin-left:0;margin-top:-12.6pt;width:454pt;height:448.2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gmiAIAAPsEAAAOAAAAZHJzL2Uyb0RvYy54bWysVMtuGjEU3VfqP1jeNwMIkmaUIUJEVJWi&#10;JFJSZW08HrDkV23DQP+i+6r9LH6nx54JebSrqiyM78P3ce65c3G504pshQ/SmooOTwaUCMNtLc2q&#10;ol8eFh8+UhIiMzVT1oiK7kWgl9P37y5aV4qRXVtVC08QxISydRVdx+jKogh8LTQLJ9YJA2NjvWYR&#10;ol8VtWctomtVjAaD06K1vnbechECtFedkU5z/KYRPN42TRCRqIqitphPn89lOovpBStXnrm15H0Z&#10;7B+q0EwaJD2GumKRkY2Xf4TSknsbbBNPuNWFbRrJRe4B3QwHb7q5XzMnci8AJ7gjTOH/heU32ztP&#10;ZF3RESZlmMaMDj8PPw7fD78IVMCndaGE2727870UcE3N7hqv0z/aILuM6f6IqdhFwqGcnJ1OPg4A&#10;PYdtcno+Go4z6sXzc+dD/CSsJulSUY+hZSzZ9jpEpITrk0vKFqyS9UIqlYV9mCtPtgzzBS1q21Ki&#10;WIhQVnSRf6kHhHj1TBnSgq7ng0mqjIF4jWIRV+0ARTArSphagdE8+lzLq9fBr5bHrOPx2Wg+/luS&#10;VPQVC+uuuhwhubFSywjSK6krCmjw618rk6wi07ZvPYHfwZ1uS1vvMS5vOx4HxxcSSa7R8B3zIC66&#10;wTLGWxyNsmiRK+koWVv/7a0u+YFHsFDSYgHQ9tcN8wL4fTZg2PlwjEmRmIXx5GwEwb+0LF9azEbP&#10;LWYwxLo7nq/JP6onbeOtfsSuzlJWmJjhyN0B3Avz2C0mtp2L2Sy7YUsci9fm3vEUPOGTYH3YPTLv&#10;esJEcO3GPi0LK9/wpvNNL42dbaJtZCbVM56gRxKwYZko/dcgrfBLOXs9f7OmvwEAAP//AwBQSwME&#10;FAAGAAgAAAAhAD2KChTeAAAACAEAAA8AAABkcnMvZG93bnJldi54bWxMj8FOwzAQRO9I/IO1SNxa&#10;O5EoIWRTUSQEHEC0IM5ubJIIex1itwl/z3KC4+ysZt5U69k7cbRj7AMhZEsFwlITTE8twtvr3aIA&#10;EZMmo10gi/BtI6zr05NKlyZMtLXHXWoFh1AsNUKX0lBKGZvOeh2XYbDE3kcYvU4sx1aaUU8c7p3M&#10;lVpJr3vihk4P9razzefu4BEeN+3X+0ObbVfevUwbulfPT0Ehnp/NN9cgkp3T3zP84jM61My0Dwcy&#10;UTgEHpIQFvlFDoLtK1XwZY9QXGY5yLqS/wfUPwAAAP//AwBQSwECLQAUAAYACAAAACEAtoM4kv4A&#10;AADhAQAAEwAAAAAAAAAAAAAAAAAAAAAAW0NvbnRlbnRfVHlwZXNdLnhtbFBLAQItABQABgAIAAAA&#10;IQA4/SH/1gAAAJQBAAALAAAAAAAAAAAAAAAAAC8BAABfcmVscy8ucmVsc1BLAQItABQABgAIAAAA&#10;IQC0wNgmiAIAAPsEAAAOAAAAAAAAAAAAAAAAAC4CAABkcnMvZTJvRG9jLnhtbFBLAQItABQABgAI&#10;AAAAIQA9igoU3gAAAAgBAAAPAAAAAAAAAAAAAAAAAOIEAABkcnMvZG93bnJldi54bWxQSwUGAAAA&#10;AAQABADzAAAA7QUAAAAA&#10;" fillcolor="window" strokecolor="#4472c4" strokeweight="1.5pt">
                <w10:wrap anchorx="margin"/>
              </v:rect>
            </w:pict>
          </mc:Fallback>
        </mc:AlternateContent>
      </w:r>
      <w:r w:rsidRPr="00171367">
        <w:rPr>
          <w:rFonts w:ascii="FrankRuehl" w:hAnsi="FrankRuehl" w:cs="FrankRuehl"/>
          <w:sz w:val="24"/>
          <w:szCs w:val="24"/>
          <w:rtl/>
        </w:rPr>
        <w:t>וקליעתם והשתדלות הוצאתם עד שאמרו לו שהגיע השעיר למדבר והיאך היו יודעים בכך דודכאות היו עושין ר"ל מקומות גבוהים שצופים עומדים שם ומניפין בסודרין זה לזה ויודעין וכו' ור' יהודה היה נותן בהם סימנים אחרים אחר ששלשה מילין היו מירושלים עד בית חדודו שהוא ראש המדבר בתחתית ההר בתחילת עלייתו ומשהגיע לשם אף על פי שלא עלה לצוק נתקיים שלוחו למדבר ופי' בגמ' ס"ח ב' שמשהגיע לשם נעשית מצותו עד שאם מת מאליו קודם שדחפו אין צריך להביא אחר ומיקירי ירושלים מלוין אותו מיל ושוהין שם בשיעור מיל וחוזרין ויודעין שהגיע שעיר למדבר ומ"מ פסקו רבים שאין הלכה כר' יהודה וכל שמת עד שלא נדחה צריך להביא אחר ויש פוסקים שאם מת אחר שהתודה עליו אין נזקקין לו כמו שכתבנו בפרק קלפי מ' א</w:t>
      </w:r>
      <w:r>
        <w:rPr>
          <w:rFonts w:ascii="FrankRuehl" w:hAnsi="FrankRuehl" w:cs="FrankRuehl" w:hint="cs"/>
          <w:sz w:val="24"/>
          <w:szCs w:val="24"/>
          <w:rtl/>
        </w:rPr>
        <w:t>'.</w:t>
      </w:r>
    </w:p>
    <w:p w:rsidR="00782FFD" w:rsidRDefault="00782FFD" w:rsidP="00C26E1A">
      <w:pPr>
        <w:spacing w:line="276" w:lineRule="auto"/>
        <w:rPr>
          <w:rFonts w:ascii="FrankRuehl" w:hAnsi="FrankRuehl" w:cs="FrankRuehl"/>
          <w:b/>
          <w:bCs/>
          <w:sz w:val="24"/>
          <w:szCs w:val="24"/>
          <w:rtl/>
        </w:rPr>
      </w:pPr>
    </w:p>
    <w:p w:rsidR="00C26E1A" w:rsidRPr="00171367" w:rsidRDefault="00C26E1A" w:rsidP="00C26E1A">
      <w:pPr>
        <w:spacing w:line="276" w:lineRule="auto"/>
        <w:rPr>
          <w:rFonts w:ascii="FrankRuehl" w:hAnsi="FrankRuehl" w:cs="FrankRuehl"/>
          <w:b/>
          <w:bCs/>
          <w:sz w:val="24"/>
          <w:szCs w:val="24"/>
          <w:rtl/>
        </w:rPr>
      </w:pPr>
      <w:r w:rsidRPr="00171367">
        <w:rPr>
          <w:rFonts w:ascii="FrankRuehl" w:hAnsi="FrankRuehl" w:cs="FrankRuehl" w:hint="cs"/>
          <w:b/>
          <w:bCs/>
          <w:sz w:val="24"/>
          <w:szCs w:val="24"/>
          <w:rtl/>
        </w:rPr>
        <w:t>שאגת אריה סימן ע</w:t>
      </w:r>
    </w:p>
    <w:p w:rsidR="00C26E1A" w:rsidRDefault="00C26E1A" w:rsidP="00C26E1A">
      <w:pPr>
        <w:spacing w:line="276" w:lineRule="auto"/>
        <w:rPr>
          <w:rFonts w:ascii="FrankRuehl" w:hAnsi="FrankRuehl" w:cs="FrankRuehl"/>
          <w:sz w:val="24"/>
          <w:szCs w:val="24"/>
          <w:rtl/>
        </w:rPr>
      </w:pPr>
      <w:r w:rsidRPr="00171367">
        <w:rPr>
          <w:rFonts w:ascii="FrankRuehl" w:hAnsi="FrankRuehl" w:cs="FrankRuehl"/>
          <w:sz w:val="24"/>
          <w:szCs w:val="24"/>
          <w:rtl/>
        </w:rPr>
        <w:t>מ"מ לדעת הרי"ף וסייעתו דס"ל דתחומין די"ב מיל הוי מה"ת דילמא להכי אתי עתי שמותר לשלחו חוץ לי"ב מיל אם אין צוק גזור וחתוך בתוך י"ב מיל דבשלמא הא דאמר התם גזירה אין גזירה אלא דבר המתגזר ויורד כלומר ההר יהיה גבוה מאוד עד שכשדוחה השעיר ממנו נופל ומתגזר איברים איברים ותנן נמי התם לא היה מגיע לחצי ההר עד שנעשה איברים איברי' ובפ"ק דחולין (דף יא) יליף מיניה דאזלינן בתר רובא ולא חיישינן דילמא טרפה הוא הרי שהיה ממית את השעיר בידים ואית ביה משום נטילת נשמה דהוי אב מלאכה. ואפי' לדברי האומר מקלקל בחבורה פטור הרי מתירו לבני נח שמוציאו מידי אבר מן החי כדאמרינן בפסחים (דף ע) גבי השוחט חטאת בשבת בחוץ לע"ז וא"כ מאי ק"ל לר"ש עתי אפי' בשבת למאי הילכת' דילמא אתי קרא למישרי אב מלאכה דנטילת נשמה. די"ל משום דס"ל לר"ש כיון דהאי עתי גבי שילוח השעיר כתיב משמע דאתי קרא למישרי איסור שבת הנעשה בשעת שילוח השעיר ולא מיירי מאיסור הנעשה בשעה שהגיע כבר לצוק שהוא אחר שילוחו</w:t>
      </w:r>
      <w:r>
        <w:rPr>
          <w:rFonts w:ascii="FrankRuehl" w:hAnsi="FrankRuehl" w:cs="FrankRuehl" w:hint="cs"/>
          <w:sz w:val="24"/>
          <w:szCs w:val="24"/>
          <w:rtl/>
        </w:rPr>
        <w:t>.</w:t>
      </w:r>
    </w:p>
    <w:p w:rsidR="00782FFD" w:rsidRDefault="00782FFD" w:rsidP="00C26E1A">
      <w:pPr>
        <w:spacing w:line="276" w:lineRule="auto"/>
        <w:rPr>
          <w:rFonts w:ascii="FrankRuehl" w:hAnsi="FrankRuehl" w:cs="FrankRuehl"/>
          <w:b/>
          <w:bCs/>
          <w:sz w:val="24"/>
          <w:szCs w:val="24"/>
          <w:rtl/>
        </w:rPr>
      </w:pPr>
    </w:p>
    <w:p w:rsidR="00C26E1A" w:rsidRPr="00171367"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שיעורי הגרי"ד עבודת יום הכיפורים עמ' קנט</w:t>
      </w:r>
    </w:p>
    <w:p w:rsidR="00C26E1A" w:rsidRDefault="00C26E1A" w:rsidP="00C26E1A">
      <w:pPr>
        <w:spacing w:line="276" w:lineRule="auto"/>
        <w:rPr>
          <w:rFonts w:ascii="FrankRuehl" w:hAnsi="FrankRuehl" w:cs="FrankRuehl"/>
          <w:sz w:val="24"/>
          <w:szCs w:val="24"/>
          <w:rtl/>
        </w:rPr>
      </w:pPr>
      <w:r w:rsidRPr="00171367">
        <w:rPr>
          <w:rFonts w:ascii="FrankRuehl" w:hAnsi="FrankRuehl" w:cs="FrankRuehl" w:hint="cs"/>
          <w:sz w:val="24"/>
          <w:szCs w:val="24"/>
          <w:rtl/>
        </w:rPr>
        <w:t xml:space="preserve">והנה מדיוק לשון הפסוקים משמע בעליל שיש שני שלבים ושני קיומים בשילוח. שהרי כתוב אחד אומר: "וסמך אהרן... ונתן אתם על ראש השעיר, ושלח ביד איש עתי המדברה"; וכתוב אחד אומר: "ונשא השעיר עליו את כל עונתם אל ארץ גזרה ושלח את השעיר במדבר". הווה אומר, יש שני קיומי שילוח. הראשון, שילוח "המדברה", וכיון שהגיע למדבר הושג קיום זה; השני, שילוח במדבר עצמו עד שיגיע לצוק ואולי אף הדחייה עצמה. והנה, הקיום האשון מתייחס לכהן הגדול שהרי 'אהרן' כתיב ביה, אך הקיום השני הוא נחלת איש עתי המוליכו ואין לכהן הגדול זיקה אליו, שלא נאמר אלא "ושלח את השעיר במדבר", ואין הכוונה לכהן הגדול, אלא לאיש העתי המוליכו. </w:t>
      </w:r>
    </w:p>
    <w:p w:rsidR="00C26E1A" w:rsidRDefault="00C26E1A" w:rsidP="00C26E1A">
      <w:pPr>
        <w:spacing w:line="276" w:lineRule="auto"/>
        <w:rPr>
          <w:rFonts w:ascii="FrankRuehl" w:hAnsi="FrankRuehl" w:cs="FrankRuehl"/>
          <w:sz w:val="24"/>
          <w:szCs w:val="24"/>
          <w:rtl/>
        </w:rPr>
      </w:pPr>
    </w:p>
    <w:p w:rsidR="00782FFD" w:rsidRDefault="00782FFD" w:rsidP="00C26E1A">
      <w:pPr>
        <w:spacing w:line="276" w:lineRule="auto"/>
        <w:rPr>
          <w:sz w:val="24"/>
          <w:szCs w:val="24"/>
          <w:rtl/>
        </w:rPr>
      </w:pPr>
    </w:p>
    <w:p w:rsidR="00C26E1A" w:rsidRDefault="00C26E1A" w:rsidP="00C26E1A">
      <w:pPr>
        <w:spacing w:line="276" w:lineRule="auto"/>
        <w:rPr>
          <w:sz w:val="24"/>
          <w:szCs w:val="24"/>
          <w:rtl/>
        </w:rPr>
      </w:pPr>
      <w:r>
        <w:rPr>
          <w:rFonts w:hint="cs"/>
          <w:sz w:val="24"/>
          <w:szCs w:val="24"/>
          <w:rtl/>
        </w:rPr>
        <w:t>בשיעור הקודם עסקנו בשאלה האם השעיר המשתלח מוגדר כקרבן. בשיעור הנוכחי נעסוק בגדר המצווה המתקיימת בשעיר המשתלח, והיא שילוחו לעזאזל. נאמר בתורה:</w:t>
      </w:r>
    </w:p>
    <w:p w:rsidR="00C26E1A" w:rsidRDefault="00C26E1A" w:rsidP="00C26E1A">
      <w:pPr>
        <w:spacing w:line="276" w:lineRule="auto"/>
        <w:ind w:left="720"/>
        <w:rPr>
          <w:sz w:val="24"/>
          <w:szCs w:val="24"/>
          <w:rtl/>
        </w:rPr>
      </w:pPr>
      <w:r w:rsidRPr="00281E53">
        <w:rPr>
          <w:sz w:val="24"/>
          <w:szCs w:val="24"/>
          <w:rtl/>
        </w:rPr>
        <w:t>וסמך אהרן את שתי ידיו על ראש השעיר החי והתודה עליו את כל עונת בני ישראל ואת כל פשעיהם לכל חטאתם ונתן אתם על ראש השעיר ושלח ביד איש עתי המדברה</w:t>
      </w:r>
      <w:r>
        <w:rPr>
          <w:rFonts w:hint="cs"/>
          <w:sz w:val="24"/>
          <w:szCs w:val="24"/>
          <w:rtl/>
        </w:rPr>
        <w:t>.</w:t>
      </w:r>
      <w:r w:rsidRPr="00281E53">
        <w:rPr>
          <w:sz w:val="24"/>
          <w:szCs w:val="24"/>
          <w:rtl/>
        </w:rPr>
        <w:t xml:space="preserve"> ונשא השעיר עליו את כל עונתם אל ארץ גזרה ושלח את השעיר במדבר</w:t>
      </w:r>
      <w:r>
        <w:rPr>
          <w:rFonts w:hint="cs"/>
          <w:sz w:val="24"/>
          <w:szCs w:val="24"/>
          <w:rtl/>
        </w:rPr>
        <w:t>.</w:t>
      </w:r>
      <w:r w:rsidRPr="00281E53">
        <w:rPr>
          <w:sz w:val="24"/>
          <w:szCs w:val="24"/>
          <w:rtl/>
        </w:rPr>
        <w:t xml:space="preserve"> ובא אהרן אל אהל מועד ופשט את בגדי הבד אשר לבש בבאו אל הקדש והניחם שם</w:t>
      </w:r>
      <w:r>
        <w:rPr>
          <w:rFonts w:hint="cs"/>
          <w:sz w:val="24"/>
          <w:szCs w:val="24"/>
          <w:rtl/>
        </w:rPr>
        <w:t>.</w:t>
      </w:r>
      <w:r w:rsidRPr="00281E53">
        <w:rPr>
          <w:sz w:val="24"/>
          <w:szCs w:val="24"/>
          <w:rtl/>
        </w:rPr>
        <w:t xml:space="preserve"> ורחץ את בשרו במים במקום קדוש ולבש את בגדיו ויצא ועשה את עלתו ואת עלת העם וכפר בעדו ובעד העם</w:t>
      </w:r>
      <w:r>
        <w:rPr>
          <w:rFonts w:hint="cs"/>
          <w:sz w:val="24"/>
          <w:szCs w:val="24"/>
          <w:rtl/>
        </w:rPr>
        <w:t>.</w:t>
      </w:r>
      <w:r w:rsidRPr="00281E53">
        <w:rPr>
          <w:sz w:val="24"/>
          <w:szCs w:val="24"/>
          <w:rtl/>
        </w:rPr>
        <w:t xml:space="preserve"> ואת חלב החטאת יקטיר המזבחה</w:t>
      </w:r>
      <w:r>
        <w:rPr>
          <w:rFonts w:hint="cs"/>
          <w:sz w:val="24"/>
          <w:szCs w:val="24"/>
          <w:rtl/>
        </w:rPr>
        <w:t xml:space="preserve">. </w:t>
      </w:r>
      <w:r w:rsidRPr="00281E53">
        <w:rPr>
          <w:sz w:val="24"/>
          <w:szCs w:val="24"/>
          <w:rtl/>
        </w:rPr>
        <w:t>והמשלח את השעיר לעזאזל יכבס בגדיו ורחץ את בשרו במים ואחרי כן יבוא אל המחנה</w:t>
      </w:r>
      <w:r>
        <w:rPr>
          <w:rFonts w:hint="cs"/>
          <w:sz w:val="24"/>
          <w:szCs w:val="24"/>
          <w:rtl/>
        </w:rPr>
        <w:t>.</w:t>
      </w:r>
    </w:p>
    <w:p w:rsidR="00C26E1A" w:rsidRPr="00281E53" w:rsidRDefault="00C26E1A" w:rsidP="00C26E1A">
      <w:pPr>
        <w:spacing w:line="276" w:lineRule="auto"/>
        <w:jc w:val="right"/>
        <w:rPr>
          <w:sz w:val="20"/>
          <w:szCs w:val="20"/>
          <w:rtl/>
        </w:rPr>
      </w:pPr>
      <w:r>
        <w:rPr>
          <w:rFonts w:hint="cs"/>
          <w:sz w:val="20"/>
          <w:szCs w:val="20"/>
          <w:rtl/>
        </w:rPr>
        <w:t>[ויקרא טז כא-כו]</w:t>
      </w:r>
    </w:p>
    <w:p w:rsidR="00C26E1A" w:rsidRDefault="00C26E1A" w:rsidP="00C26E1A">
      <w:pPr>
        <w:spacing w:line="276" w:lineRule="auto"/>
        <w:rPr>
          <w:sz w:val="24"/>
          <w:szCs w:val="24"/>
          <w:rtl/>
        </w:rPr>
      </w:pPr>
      <w:r>
        <w:rPr>
          <w:rFonts w:hint="cs"/>
          <w:sz w:val="24"/>
          <w:szCs w:val="24"/>
          <w:rtl/>
        </w:rPr>
        <w:t xml:space="preserve">מן הכתובים נראה שלתהליך שילוח תפקיד משמעותי בתהליך הכפרה </w:t>
      </w:r>
      <w:r>
        <w:rPr>
          <w:sz w:val="24"/>
          <w:szCs w:val="24"/>
          <w:rtl/>
        </w:rPr>
        <w:t>–</w:t>
      </w:r>
      <w:r>
        <w:rPr>
          <w:rFonts w:hint="cs"/>
          <w:sz w:val="24"/>
          <w:szCs w:val="24"/>
          <w:rtl/>
        </w:rPr>
        <w:t xml:space="preserve"> "ונשא השעיר את כל עונתם אל ארץ גזרה". תובנה זו עומדת בקושי לאור מחלוקת התנאים </w:t>
      </w:r>
      <w:r>
        <w:rPr>
          <w:rFonts w:hint="cs"/>
          <w:sz w:val="20"/>
          <w:szCs w:val="20"/>
          <w:rtl/>
        </w:rPr>
        <w:t xml:space="preserve">[מ.-מ:] </w:t>
      </w:r>
      <w:r>
        <w:rPr>
          <w:rFonts w:hint="cs"/>
          <w:sz w:val="24"/>
          <w:szCs w:val="24"/>
          <w:rtl/>
        </w:rPr>
        <w:t xml:space="preserve">בעניין הגורם המעכב בכפרת השעיר אשר הזכרנו בשיעור הקודם. ראינו שר' יהודה סובר שהשעיר צריך להיוותר חי עד שעת הזאת הדמים של השעיר הפנימי, ואילו ר' שמעון סובר שאף הוידוי הנעשה על השעיר מעכב, ואם </w:t>
      </w:r>
      <w:r>
        <w:rPr>
          <w:rFonts w:hint="cs"/>
          <w:sz w:val="24"/>
          <w:szCs w:val="24"/>
          <w:rtl/>
        </w:rPr>
        <w:lastRenderedPageBreak/>
        <w:t>השעיר מת קודם הוידוי, יש להפיל את הגורל על שעיר נוסף בכדי להשלים את הוידוי. יוצא אפוא, שלכולי עלמא, אין לראות בשילוח השעיר גורם מעכב בכפרה, ובמידה והשעיר מת קודם לכן, אין צורך לשוב ולהפיל את הגורל על שעיר נוסף. וכך כותב רש"י במפורש:</w:t>
      </w:r>
    </w:p>
    <w:p w:rsidR="00C26E1A" w:rsidRDefault="00C26E1A" w:rsidP="00C26E1A">
      <w:pPr>
        <w:spacing w:line="276" w:lineRule="auto"/>
        <w:ind w:left="720"/>
        <w:rPr>
          <w:sz w:val="24"/>
          <w:szCs w:val="24"/>
          <w:rtl/>
        </w:rPr>
      </w:pPr>
      <w:r w:rsidRPr="005251C3">
        <w:rPr>
          <w:sz w:val="24"/>
          <w:szCs w:val="24"/>
          <w:rtl/>
        </w:rPr>
        <w:t xml:space="preserve">דשילוח דלא מעכב לדברי הכל, דכי כתיב </w:t>
      </w:r>
      <w:r>
        <w:rPr>
          <w:rFonts w:hint="cs"/>
          <w:sz w:val="24"/>
          <w:szCs w:val="24"/>
          <w:rtl/>
        </w:rPr>
        <w:t>'</w:t>
      </w:r>
      <w:r w:rsidRPr="005251C3">
        <w:rPr>
          <w:sz w:val="24"/>
          <w:szCs w:val="24"/>
          <w:rtl/>
        </w:rPr>
        <w:t>חוקה</w:t>
      </w:r>
      <w:r>
        <w:rPr>
          <w:rFonts w:hint="cs"/>
          <w:sz w:val="24"/>
          <w:szCs w:val="24"/>
          <w:rtl/>
        </w:rPr>
        <w:t>'</w:t>
      </w:r>
      <w:r w:rsidRPr="005251C3">
        <w:rPr>
          <w:sz w:val="24"/>
          <w:szCs w:val="24"/>
          <w:rtl/>
        </w:rPr>
        <w:t xml:space="preserve"> - אדברים שהכהן עושה בבגדי לבן, ולא על דברים הנעשים על ידי איש עתי.</w:t>
      </w:r>
    </w:p>
    <w:p w:rsidR="00C26E1A" w:rsidRPr="005251C3" w:rsidRDefault="00C26E1A" w:rsidP="00C26E1A">
      <w:pPr>
        <w:spacing w:line="276" w:lineRule="auto"/>
        <w:ind w:left="720"/>
        <w:jc w:val="right"/>
        <w:rPr>
          <w:sz w:val="20"/>
          <w:szCs w:val="20"/>
          <w:rtl/>
        </w:rPr>
      </w:pPr>
      <w:r>
        <w:rPr>
          <w:rFonts w:hint="cs"/>
          <w:sz w:val="20"/>
          <w:szCs w:val="20"/>
          <w:rtl/>
        </w:rPr>
        <w:t>[רש"י סה. ד"ה אלא מת]</w:t>
      </w:r>
    </w:p>
    <w:p w:rsidR="00C26E1A" w:rsidRDefault="00C26E1A" w:rsidP="00C26E1A">
      <w:pPr>
        <w:spacing w:line="276" w:lineRule="auto"/>
        <w:rPr>
          <w:sz w:val="24"/>
          <w:szCs w:val="24"/>
          <w:rtl/>
        </w:rPr>
      </w:pPr>
      <w:r>
        <w:rPr>
          <w:rFonts w:hint="cs"/>
          <w:sz w:val="24"/>
          <w:szCs w:val="24"/>
          <w:rtl/>
        </w:rPr>
        <w:t xml:space="preserve">אם כן, כיצד ניתן לכלכל את מסקנת הסוגיה כפי שהיא מתפרשת בדברי רש"י לאור העולה מפשט המקראות? </w:t>
      </w:r>
    </w:p>
    <w:p w:rsidR="00C26E1A" w:rsidRDefault="00C26E1A" w:rsidP="00C26E1A">
      <w:pPr>
        <w:spacing w:line="276" w:lineRule="auto"/>
        <w:rPr>
          <w:sz w:val="24"/>
          <w:szCs w:val="24"/>
          <w:rtl/>
        </w:rPr>
      </w:pPr>
      <w:r>
        <w:rPr>
          <w:rFonts w:hint="cs"/>
          <w:sz w:val="24"/>
          <w:szCs w:val="24"/>
          <w:rtl/>
        </w:rPr>
        <w:t>מדברי המיוחס לר"ש על הספרא שהזכרנו בשיעור הקודם, עולה שבשאלה זו נחלקו התלמודים, הבבלי והירושלמי. בירושלמי מוצגת מחלוקת התנאים באופן שונה:</w:t>
      </w:r>
    </w:p>
    <w:p w:rsidR="00C26E1A" w:rsidRDefault="00C26E1A" w:rsidP="00C26E1A">
      <w:pPr>
        <w:spacing w:line="276" w:lineRule="auto"/>
        <w:ind w:left="720"/>
        <w:rPr>
          <w:sz w:val="24"/>
          <w:szCs w:val="24"/>
          <w:rtl/>
        </w:rPr>
      </w:pPr>
      <w:r w:rsidRPr="00801949">
        <w:rPr>
          <w:sz w:val="24"/>
          <w:szCs w:val="24"/>
          <w:rtl/>
        </w:rPr>
        <w:t xml:space="preserve">יעמד חי </w:t>
      </w:r>
      <w:r>
        <w:rPr>
          <w:sz w:val="24"/>
          <w:szCs w:val="24"/>
          <w:rtl/>
        </w:rPr>
        <w:t>–</w:t>
      </w:r>
      <w:r>
        <w:rPr>
          <w:rFonts w:hint="cs"/>
          <w:sz w:val="24"/>
          <w:szCs w:val="24"/>
          <w:rtl/>
        </w:rPr>
        <w:t xml:space="preserve"> </w:t>
      </w:r>
      <w:r w:rsidRPr="00801949">
        <w:rPr>
          <w:sz w:val="24"/>
          <w:szCs w:val="24"/>
          <w:rtl/>
        </w:rPr>
        <w:t>מלמד שהוא עתיד למות</w:t>
      </w:r>
      <w:r>
        <w:rPr>
          <w:rFonts w:hint="cs"/>
          <w:sz w:val="24"/>
          <w:szCs w:val="24"/>
          <w:rtl/>
        </w:rPr>
        <w:t>.</w:t>
      </w:r>
      <w:r w:rsidRPr="00801949">
        <w:rPr>
          <w:sz w:val="24"/>
          <w:szCs w:val="24"/>
          <w:rtl/>
        </w:rPr>
        <w:t xml:space="preserve"> עד מתי הוא חיה</w:t>
      </w:r>
      <w:r>
        <w:rPr>
          <w:rFonts w:hint="cs"/>
          <w:sz w:val="24"/>
          <w:szCs w:val="24"/>
          <w:rtl/>
        </w:rPr>
        <w:t>?</w:t>
      </w:r>
      <w:r w:rsidRPr="00801949">
        <w:rPr>
          <w:sz w:val="24"/>
          <w:szCs w:val="24"/>
          <w:rtl/>
        </w:rPr>
        <w:t xml:space="preserve"> עד </w:t>
      </w:r>
      <w:r>
        <w:rPr>
          <w:rFonts w:hint="cs"/>
          <w:sz w:val="24"/>
          <w:szCs w:val="24"/>
          <w:rtl/>
        </w:rPr>
        <w:t>'</w:t>
      </w:r>
      <w:r w:rsidRPr="00801949">
        <w:rPr>
          <w:sz w:val="24"/>
          <w:szCs w:val="24"/>
          <w:rtl/>
        </w:rPr>
        <w:t>וכלה מכפר את הקודש</w:t>
      </w:r>
      <w:r>
        <w:rPr>
          <w:rFonts w:hint="cs"/>
          <w:sz w:val="24"/>
          <w:szCs w:val="24"/>
          <w:rtl/>
        </w:rPr>
        <w:t>',</w:t>
      </w:r>
      <w:r w:rsidRPr="00801949">
        <w:rPr>
          <w:sz w:val="24"/>
          <w:szCs w:val="24"/>
          <w:rtl/>
        </w:rPr>
        <w:t xml:space="preserve"> דברי ר' יהודה</w:t>
      </w:r>
      <w:r>
        <w:rPr>
          <w:rFonts w:hint="cs"/>
          <w:sz w:val="24"/>
          <w:szCs w:val="24"/>
          <w:rtl/>
        </w:rPr>
        <w:t>. ר' שמעון אומר:</w:t>
      </w:r>
      <w:r w:rsidRPr="00801949">
        <w:rPr>
          <w:sz w:val="24"/>
          <w:szCs w:val="24"/>
          <w:rtl/>
        </w:rPr>
        <w:t xml:space="preserve"> עד שעת הוידוי</w:t>
      </w:r>
      <w:r>
        <w:rPr>
          <w:rFonts w:hint="cs"/>
          <w:sz w:val="24"/>
          <w:szCs w:val="24"/>
          <w:rtl/>
        </w:rPr>
        <w:t xml:space="preserve">. על דעתיה </w:t>
      </w:r>
      <w:r w:rsidRPr="00801949">
        <w:rPr>
          <w:sz w:val="24"/>
          <w:szCs w:val="24"/>
          <w:rtl/>
        </w:rPr>
        <w:t>דר' יהודה הוידוי מעכב</w:t>
      </w:r>
      <w:r>
        <w:rPr>
          <w:rFonts w:hint="cs"/>
          <w:sz w:val="24"/>
          <w:szCs w:val="24"/>
          <w:rtl/>
        </w:rPr>
        <w:t>,</w:t>
      </w:r>
      <w:r w:rsidRPr="00801949">
        <w:rPr>
          <w:sz w:val="24"/>
          <w:szCs w:val="24"/>
          <w:rtl/>
        </w:rPr>
        <w:t xml:space="preserve"> </w:t>
      </w:r>
      <w:r>
        <w:rPr>
          <w:rFonts w:hint="cs"/>
          <w:sz w:val="24"/>
          <w:szCs w:val="24"/>
          <w:rtl/>
        </w:rPr>
        <w:t>על דעתיה דר' שמעון</w:t>
      </w:r>
      <w:r w:rsidRPr="00801949">
        <w:rPr>
          <w:sz w:val="24"/>
          <w:szCs w:val="24"/>
          <w:rtl/>
        </w:rPr>
        <w:t xml:space="preserve"> אין הוידוי מעכב</w:t>
      </w:r>
      <w:r>
        <w:rPr>
          <w:rFonts w:hint="cs"/>
          <w:sz w:val="24"/>
          <w:szCs w:val="24"/>
          <w:rtl/>
        </w:rPr>
        <w:t>.</w:t>
      </w:r>
      <w:r w:rsidRPr="00801949">
        <w:rPr>
          <w:sz w:val="24"/>
          <w:szCs w:val="24"/>
          <w:rtl/>
        </w:rPr>
        <w:t xml:space="preserve"> מה נפק מן ביניהון</w:t>
      </w:r>
      <w:r>
        <w:rPr>
          <w:rFonts w:hint="cs"/>
          <w:sz w:val="24"/>
          <w:szCs w:val="24"/>
          <w:rtl/>
        </w:rPr>
        <w:t>?</w:t>
      </w:r>
      <w:r w:rsidRPr="00801949">
        <w:rPr>
          <w:sz w:val="24"/>
          <w:szCs w:val="24"/>
          <w:rtl/>
        </w:rPr>
        <w:t xml:space="preserve"> שלחו בלא וידוי</w:t>
      </w:r>
      <w:r>
        <w:rPr>
          <w:rFonts w:hint="cs"/>
          <w:sz w:val="24"/>
          <w:szCs w:val="24"/>
          <w:rtl/>
        </w:rPr>
        <w:t>.</w:t>
      </w:r>
      <w:r w:rsidRPr="00801949">
        <w:rPr>
          <w:sz w:val="24"/>
          <w:szCs w:val="24"/>
          <w:rtl/>
        </w:rPr>
        <w:t xml:space="preserve"> </w:t>
      </w:r>
      <w:r>
        <w:rPr>
          <w:rFonts w:hint="cs"/>
          <w:sz w:val="24"/>
          <w:szCs w:val="24"/>
          <w:rtl/>
        </w:rPr>
        <w:t>על דעתיה</w:t>
      </w:r>
      <w:r w:rsidRPr="00801949">
        <w:rPr>
          <w:sz w:val="24"/>
          <w:szCs w:val="24"/>
          <w:rtl/>
        </w:rPr>
        <w:t xml:space="preserve"> דר' יהודה צריך להביא שעיר אחר</w:t>
      </w:r>
      <w:r>
        <w:rPr>
          <w:rFonts w:hint="cs"/>
          <w:sz w:val="24"/>
          <w:szCs w:val="24"/>
          <w:rtl/>
        </w:rPr>
        <w:t>,</w:t>
      </w:r>
      <w:r w:rsidRPr="00801949">
        <w:rPr>
          <w:sz w:val="24"/>
          <w:szCs w:val="24"/>
          <w:rtl/>
        </w:rPr>
        <w:t xml:space="preserve"> על דעתיה דר</w:t>
      </w:r>
      <w:r>
        <w:rPr>
          <w:rFonts w:hint="cs"/>
          <w:sz w:val="24"/>
          <w:szCs w:val="24"/>
          <w:rtl/>
        </w:rPr>
        <w:t>' שמעון</w:t>
      </w:r>
      <w:r w:rsidRPr="00801949">
        <w:rPr>
          <w:sz w:val="24"/>
          <w:szCs w:val="24"/>
          <w:rtl/>
        </w:rPr>
        <w:t xml:space="preserve"> אינו צריך להביא שעיר אחר</w:t>
      </w:r>
      <w:r>
        <w:rPr>
          <w:rFonts w:hint="cs"/>
          <w:sz w:val="24"/>
          <w:szCs w:val="24"/>
          <w:rtl/>
        </w:rPr>
        <w:t>.</w:t>
      </w:r>
    </w:p>
    <w:p w:rsidR="00C26E1A" w:rsidRPr="00801949" w:rsidRDefault="00C26E1A" w:rsidP="00C26E1A">
      <w:pPr>
        <w:spacing w:line="276" w:lineRule="auto"/>
        <w:ind w:left="720"/>
        <w:jc w:val="right"/>
        <w:rPr>
          <w:sz w:val="20"/>
          <w:szCs w:val="20"/>
          <w:rtl/>
        </w:rPr>
      </w:pPr>
      <w:r>
        <w:rPr>
          <w:rFonts w:hint="cs"/>
          <w:sz w:val="20"/>
          <w:szCs w:val="20"/>
          <w:rtl/>
        </w:rPr>
        <w:t>[ירושלמי פ"ו ה"ב]</w:t>
      </w:r>
    </w:p>
    <w:p w:rsidR="00C26E1A" w:rsidRDefault="00C26E1A" w:rsidP="00C26E1A">
      <w:pPr>
        <w:spacing w:line="276" w:lineRule="auto"/>
        <w:rPr>
          <w:sz w:val="24"/>
          <w:szCs w:val="24"/>
          <w:rtl/>
        </w:rPr>
      </w:pPr>
      <w:r>
        <w:rPr>
          <w:rFonts w:hint="cs"/>
          <w:sz w:val="24"/>
          <w:szCs w:val="24"/>
          <w:rtl/>
        </w:rPr>
        <w:t>כאשר הירושלמי מציין את הנפקא מינה בין עמדות התנאים, הוא מציין למקרה בו שילחו את השעיר לפני הוידוי. מכך שהירושלמי טורח לבאר שדווקא כאשר שילחו את השעיר לפני הוידוי, אין צורך להביא שעיר נוסף לפי ר' יהודה, ניתן ללמוד שכאשר השעיר מת לפני השילוח, גם ר' יהודה יודה שיש צורך להביא שעיר נוסף</w:t>
      </w:r>
      <w:r>
        <w:rPr>
          <w:rStyle w:val="a7"/>
          <w:sz w:val="24"/>
          <w:szCs w:val="24"/>
          <w:rtl/>
        </w:rPr>
        <w:footnoteReference w:id="135"/>
      </w:r>
      <w:r>
        <w:rPr>
          <w:rFonts w:hint="cs"/>
          <w:sz w:val="24"/>
          <w:szCs w:val="24"/>
          <w:rtl/>
        </w:rPr>
        <w:t xml:space="preserve">. </w:t>
      </w:r>
    </w:p>
    <w:p w:rsidR="00C26E1A" w:rsidRDefault="00C26E1A" w:rsidP="00C26E1A">
      <w:pPr>
        <w:spacing w:line="276" w:lineRule="auto"/>
        <w:rPr>
          <w:sz w:val="24"/>
          <w:szCs w:val="24"/>
          <w:rtl/>
        </w:rPr>
      </w:pPr>
      <w:r>
        <w:rPr>
          <w:rFonts w:hint="cs"/>
          <w:sz w:val="24"/>
          <w:szCs w:val="24"/>
          <w:rtl/>
        </w:rPr>
        <w:t>ברם, נראה שגם בשיטת הבבלי, קשה לקבל מסקנה זו כפשוטה. הבבלי מציין את דרשת הספרא:</w:t>
      </w:r>
    </w:p>
    <w:p w:rsidR="00C26E1A" w:rsidRDefault="00C26E1A" w:rsidP="00C26E1A">
      <w:pPr>
        <w:spacing w:line="276" w:lineRule="auto"/>
        <w:ind w:left="720"/>
        <w:rPr>
          <w:sz w:val="24"/>
          <w:szCs w:val="24"/>
          <w:rtl/>
        </w:rPr>
      </w:pPr>
      <w:r w:rsidRPr="00BB2D99">
        <w:rPr>
          <w:sz w:val="24"/>
          <w:szCs w:val="24"/>
          <w:rtl/>
        </w:rPr>
        <w:t>תנו רבנן</w:t>
      </w:r>
      <w:r>
        <w:rPr>
          <w:rFonts w:hint="cs"/>
          <w:sz w:val="24"/>
          <w:szCs w:val="24"/>
          <w:rtl/>
        </w:rPr>
        <w:t>,</w:t>
      </w:r>
      <w:r w:rsidRPr="00BB2D99">
        <w:rPr>
          <w:sz w:val="24"/>
          <w:szCs w:val="24"/>
          <w:rtl/>
        </w:rPr>
        <w:t xml:space="preserve"> </w:t>
      </w:r>
      <w:r>
        <w:rPr>
          <w:rFonts w:hint="cs"/>
          <w:sz w:val="24"/>
          <w:szCs w:val="24"/>
          <w:rtl/>
        </w:rPr>
        <w:t>'</w:t>
      </w:r>
      <w:r w:rsidRPr="00BB2D99">
        <w:rPr>
          <w:sz w:val="24"/>
          <w:szCs w:val="24"/>
          <w:rtl/>
        </w:rPr>
        <w:t>איש</w:t>
      </w:r>
      <w:r>
        <w:rPr>
          <w:rFonts w:hint="cs"/>
          <w:sz w:val="24"/>
          <w:szCs w:val="24"/>
          <w:rtl/>
        </w:rPr>
        <w:t xml:space="preserve">' </w:t>
      </w:r>
      <w:r>
        <w:rPr>
          <w:sz w:val="24"/>
          <w:szCs w:val="24"/>
          <w:rtl/>
        </w:rPr>
        <w:t>–</w:t>
      </w:r>
      <w:r w:rsidRPr="00BB2D99">
        <w:rPr>
          <w:sz w:val="24"/>
          <w:szCs w:val="24"/>
          <w:rtl/>
        </w:rPr>
        <w:t xml:space="preserve"> להכשיר את הזר</w:t>
      </w:r>
      <w:r>
        <w:rPr>
          <w:rFonts w:hint="cs"/>
          <w:sz w:val="24"/>
          <w:szCs w:val="24"/>
          <w:rtl/>
        </w:rPr>
        <w:t>.</w:t>
      </w:r>
      <w:r w:rsidRPr="00BB2D99">
        <w:rPr>
          <w:sz w:val="24"/>
          <w:szCs w:val="24"/>
          <w:rtl/>
        </w:rPr>
        <w:t xml:space="preserve"> </w:t>
      </w:r>
      <w:r>
        <w:rPr>
          <w:rFonts w:hint="cs"/>
          <w:sz w:val="24"/>
          <w:szCs w:val="24"/>
          <w:rtl/>
        </w:rPr>
        <w:t>'</w:t>
      </w:r>
      <w:r w:rsidRPr="00BB2D99">
        <w:rPr>
          <w:sz w:val="24"/>
          <w:szCs w:val="24"/>
          <w:rtl/>
        </w:rPr>
        <w:t>עתי</w:t>
      </w:r>
      <w:r>
        <w:rPr>
          <w:rFonts w:hint="cs"/>
          <w:sz w:val="24"/>
          <w:szCs w:val="24"/>
          <w:rtl/>
        </w:rPr>
        <w:t xml:space="preserve">' </w:t>
      </w:r>
      <w:r>
        <w:rPr>
          <w:sz w:val="24"/>
          <w:szCs w:val="24"/>
          <w:rtl/>
        </w:rPr>
        <w:t>–</w:t>
      </w:r>
      <w:r w:rsidRPr="00BB2D99">
        <w:rPr>
          <w:rtl/>
        </w:rPr>
        <w:t xml:space="preserve"> </w:t>
      </w:r>
      <w:r w:rsidRPr="00BB2D99">
        <w:rPr>
          <w:sz w:val="24"/>
          <w:szCs w:val="24"/>
          <w:rtl/>
        </w:rPr>
        <w:t>שיהא מזומן</w:t>
      </w:r>
      <w:r>
        <w:rPr>
          <w:rFonts w:hint="cs"/>
          <w:sz w:val="24"/>
          <w:szCs w:val="24"/>
          <w:rtl/>
        </w:rPr>
        <w:t>.</w:t>
      </w:r>
      <w:r w:rsidRPr="00BB2D99">
        <w:rPr>
          <w:sz w:val="24"/>
          <w:szCs w:val="24"/>
          <w:rtl/>
        </w:rPr>
        <w:t xml:space="preserve"> </w:t>
      </w:r>
      <w:r>
        <w:rPr>
          <w:rFonts w:hint="cs"/>
          <w:sz w:val="24"/>
          <w:szCs w:val="24"/>
          <w:rtl/>
        </w:rPr>
        <w:t>'</w:t>
      </w:r>
      <w:r w:rsidRPr="00BB2D99">
        <w:rPr>
          <w:sz w:val="24"/>
          <w:szCs w:val="24"/>
          <w:rtl/>
        </w:rPr>
        <w:t>עתי</w:t>
      </w:r>
      <w:r>
        <w:rPr>
          <w:rFonts w:hint="cs"/>
          <w:sz w:val="24"/>
          <w:szCs w:val="24"/>
          <w:rtl/>
        </w:rPr>
        <w:t xml:space="preserve">' </w:t>
      </w:r>
      <w:r>
        <w:rPr>
          <w:sz w:val="24"/>
          <w:szCs w:val="24"/>
          <w:rtl/>
        </w:rPr>
        <w:t>–</w:t>
      </w:r>
      <w:r w:rsidRPr="00BB2D99">
        <w:rPr>
          <w:sz w:val="24"/>
          <w:szCs w:val="24"/>
          <w:rtl/>
        </w:rPr>
        <w:t xml:space="preserve"> ואפילו בשבת</w:t>
      </w:r>
      <w:r>
        <w:rPr>
          <w:rFonts w:hint="cs"/>
          <w:sz w:val="24"/>
          <w:szCs w:val="24"/>
          <w:rtl/>
        </w:rPr>
        <w:t>,</w:t>
      </w:r>
      <w:r w:rsidRPr="00BB2D99">
        <w:rPr>
          <w:sz w:val="24"/>
          <w:szCs w:val="24"/>
          <w:rtl/>
        </w:rPr>
        <w:t xml:space="preserve"> </w:t>
      </w:r>
      <w:r>
        <w:rPr>
          <w:rFonts w:hint="cs"/>
          <w:sz w:val="24"/>
          <w:szCs w:val="24"/>
          <w:rtl/>
        </w:rPr>
        <w:t>'</w:t>
      </w:r>
      <w:r w:rsidRPr="00BB2D99">
        <w:rPr>
          <w:sz w:val="24"/>
          <w:szCs w:val="24"/>
          <w:rtl/>
        </w:rPr>
        <w:t>עתי</w:t>
      </w:r>
      <w:r>
        <w:rPr>
          <w:rFonts w:hint="cs"/>
          <w:sz w:val="24"/>
          <w:szCs w:val="24"/>
          <w:rtl/>
        </w:rPr>
        <w:t xml:space="preserve">' </w:t>
      </w:r>
      <w:r>
        <w:rPr>
          <w:sz w:val="24"/>
          <w:szCs w:val="24"/>
          <w:rtl/>
        </w:rPr>
        <w:t>–</w:t>
      </w:r>
      <w:r w:rsidRPr="00BB2D99">
        <w:rPr>
          <w:sz w:val="24"/>
          <w:szCs w:val="24"/>
          <w:rtl/>
        </w:rPr>
        <w:t xml:space="preserve"> ואפילו בטומאה</w:t>
      </w:r>
      <w:r>
        <w:rPr>
          <w:rFonts w:hint="cs"/>
          <w:sz w:val="24"/>
          <w:szCs w:val="24"/>
          <w:rtl/>
        </w:rPr>
        <w:t>.</w:t>
      </w:r>
    </w:p>
    <w:p w:rsidR="00C26E1A" w:rsidRPr="00BB2D99" w:rsidRDefault="00C26E1A" w:rsidP="00C26E1A">
      <w:pPr>
        <w:spacing w:line="276" w:lineRule="auto"/>
        <w:jc w:val="right"/>
        <w:rPr>
          <w:sz w:val="20"/>
          <w:szCs w:val="20"/>
          <w:rtl/>
        </w:rPr>
      </w:pPr>
      <w:r>
        <w:rPr>
          <w:rFonts w:hint="cs"/>
          <w:sz w:val="20"/>
          <w:szCs w:val="20"/>
          <w:rtl/>
        </w:rPr>
        <w:t>[סו.-:]</w:t>
      </w:r>
    </w:p>
    <w:p w:rsidR="00C26E1A" w:rsidRDefault="00C26E1A" w:rsidP="00C26E1A">
      <w:pPr>
        <w:spacing w:line="276" w:lineRule="auto"/>
        <w:rPr>
          <w:sz w:val="24"/>
          <w:szCs w:val="24"/>
          <w:rtl/>
        </w:rPr>
      </w:pPr>
      <w:r>
        <w:rPr>
          <w:rFonts w:hint="cs"/>
          <w:sz w:val="24"/>
          <w:szCs w:val="24"/>
          <w:rtl/>
        </w:rPr>
        <w:t>מדברי המדרש עולה ששילוח השעיר דוחה את השבת. על מסקנה זו הקשה הגבורת ארי:</w:t>
      </w:r>
    </w:p>
    <w:p w:rsidR="00C26E1A" w:rsidRDefault="00C26E1A" w:rsidP="00C26E1A">
      <w:pPr>
        <w:spacing w:line="276" w:lineRule="auto"/>
        <w:ind w:left="720"/>
        <w:rPr>
          <w:sz w:val="24"/>
          <w:szCs w:val="24"/>
          <w:rtl/>
        </w:rPr>
      </w:pPr>
      <w:r w:rsidRPr="00BB2D99">
        <w:rPr>
          <w:sz w:val="24"/>
          <w:szCs w:val="24"/>
          <w:rtl/>
        </w:rPr>
        <w:t>קשה לי</w:t>
      </w:r>
      <w:r>
        <w:rPr>
          <w:rFonts w:hint="cs"/>
          <w:sz w:val="24"/>
          <w:szCs w:val="24"/>
          <w:rtl/>
        </w:rPr>
        <w:t>,</w:t>
      </w:r>
      <w:r w:rsidRPr="00BB2D99">
        <w:rPr>
          <w:sz w:val="24"/>
          <w:szCs w:val="24"/>
          <w:rtl/>
        </w:rPr>
        <w:t xml:space="preserve"> כיון דלכולי עלמא שילוח השעיר אינו מעכב אמאי דחי שבת</w:t>
      </w:r>
      <w:r>
        <w:rPr>
          <w:rFonts w:hint="cs"/>
          <w:sz w:val="24"/>
          <w:szCs w:val="24"/>
          <w:rtl/>
        </w:rPr>
        <w:t>.</w:t>
      </w:r>
    </w:p>
    <w:p w:rsidR="00C26E1A" w:rsidRPr="00BB2D99" w:rsidRDefault="00C26E1A" w:rsidP="00C26E1A">
      <w:pPr>
        <w:spacing w:line="276" w:lineRule="auto"/>
        <w:jc w:val="right"/>
        <w:rPr>
          <w:sz w:val="20"/>
          <w:szCs w:val="20"/>
          <w:rtl/>
        </w:rPr>
      </w:pPr>
      <w:r>
        <w:rPr>
          <w:rFonts w:hint="cs"/>
          <w:sz w:val="20"/>
          <w:szCs w:val="20"/>
          <w:rtl/>
        </w:rPr>
        <w:t>[גבורת ארי סו: ד"ה עתי]</w:t>
      </w:r>
    </w:p>
    <w:p w:rsidR="00C26E1A" w:rsidRDefault="00C26E1A" w:rsidP="00C26E1A">
      <w:pPr>
        <w:spacing w:line="276" w:lineRule="auto"/>
        <w:rPr>
          <w:sz w:val="24"/>
          <w:szCs w:val="24"/>
          <w:rtl/>
        </w:rPr>
      </w:pPr>
      <w:r>
        <w:rPr>
          <w:rFonts w:hint="cs"/>
          <w:sz w:val="24"/>
          <w:szCs w:val="24"/>
          <w:rtl/>
        </w:rPr>
        <w:t>מקשה הגבורת ארי, אם שילוח השעיר אינו מעכב, מדוע השילוח דוחה את השבת</w:t>
      </w:r>
      <w:r>
        <w:rPr>
          <w:rStyle w:val="a7"/>
          <w:sz w:val="24"/>
          <w:szCs w:val="24"/>
          <w:rtl/>
        </w:rPr>
        <w:footnoteReference w:id="136"/>
      </w:r>
      <w:r>
        <w:rPr>
          <w:rFonts w:hint="cs"/>
          <w:sz w:val="24"/>
          <w:szCs w:val="24"/>
          <w:rtl/>
        </w:rPr>
        <w:t>? למסקנה מציע הגבורת ארי את המודל הבא:</w:t>
      </w:r>
    </w:p>
    <w:p w:rsidR="00C26E1A" w:rsidRDefault="00C26E1A" w:rsidP="00C26E1A">
      <w:pPr>
        <w:spacing w:line="276" w:lineRule="auto"/>
        <w:ind w:left="720"/>
        <w:rPr>
          <w:sz w:val="24"/>
          <w:szCs w:val="24"/>
          <w:rtl/>
        </w:rPr>
      </w:pPr>
      <w:r w:rsidRPr="00BB2D99">
        <w:rPr>
          <w:sz w:val="24"/>
          <w:szCs w:val="24"/>
          <w:rtl/>
        </w:rPr>
        <w:t>והשתא יש לומר</w:t>
      </w:r>
      <w:r>
        <w:rPr>
          <w:rFonts w:hint="cs"/>
          <w:sz w:val="24"/>
          <w:szCs w:val="24"/>
          <w:rtl/>
        </w:rPr>
        <w:t>,</w:t>
      </w:r>
      <w:r w:rsidRPr="00BB2D99">
        <w:rPr>
          <w:sz w:val="24"/>
          <w:szCs w:val="24"/>
          <w:rtl/>
        </w:rPr>
        <w:t xml:space="preserve"> כיון דשני שעירים דיום הכיפורים מעכבין זה את זה</w:t>
      </w:r>
      <w:r>
        <w:rPr>
          <w:rFonts w:hint="cs"/>
          <w:sz w:val="24"/>
          <w:szCs w:val="24"/>
          <w:rtl/>
        </w:rPr>
        <w:t>,</w:t>
      </w:r>
      <w:r w:rsidRPr="00BB2D99">
        <w:rPr>
          <w:sz w:val="24"/>
          <w:szCs w:val="24"/>
          <w:rtl/>
        </w:rPr>
        <w:t xml:space="preserve"> כדתנן סוף פרק ג' דמנחות וכדמוכח בכולי פירקין</w:t>
      </w:r>
      <w:r>
        <w:rPr>
          <w:rFonts w:hint="cs"/>
          <w:sz w:val="24"/>
          <w:szCs w:val="24"/>
          <w:rtl/>
        </w:rPr>
        <w:t>,</w:t>
      </w:r>
      <w:r w:rsidRPr="00BB2D99">
        <w:rPr>
          <w:sz w:val="24"/>
          <w:szCs w:val="24"/>
          <w:rtl/>
        </w:rPr>
        <w:t xml:space="preserve"> הוה ליה שעיר של שם ושל עזאזל כחד</w:t>
      </w:r>
      <w:r>
        <w:rPr>
          <w:rFonts w:hint="cs"/>
          <w:sz w:val="24"/>
          <w:szCs w:val="24"/>
          <w:rtl/>
        </w:rPr>
        <w:t>,</w:t>
      </w:r>
      <w:r w:rsidRPr="00BB2D99">
        <w:rPr>
          <w:sz w:val="24"/>
          <w:szCs w:val="24"/>
          <w:rtl/>
        </w:rPr>
        <w:t xml:space="preserve"> וכאילו הן קרבן א</w:t>
      </w:r>
      <w:r>
        <w:rPr>
          <w:rFonts w:hint="cs"/>
          <w:sz w:val="24"/>
          <w:szCs w:val="24"/>
          <w:rtl/>
        </w:rPr>
        <w:t>חד,</w:t>
      </w:r>
      <w:r w:rsidRPr="00BB2D99">
        <w:rPr>
          <w:sz w:val="24"/>
          <w:szCs w:val="24"/>
          <w:rtl/>
        </w:rPr>
        <w:t xml:space="preserve"> ושחיטת שעיר של שם דדחי יום הכיפורים מהני לשל עזאזל כאילו הוא גופו דנימא כבר דחתה שחיטה את השבת</w:t>
      </w:r>
      <w:r>
        <w:rPr>
          <w:rFonts w:hint="cs"/>
          <w:sz w:val="24"/>
          <w:szCs w:val="24"/>
          <w:rtl/>
        </w:rPr>
        <w:t>,</w:t>
      </w:r>
      <w:r w:rsidRPr="00BB2D99">
        <w:rPr>
          <w:sz w:val="24"/>
          <w:szCs w:val="24"/>
          <w:rtl/>
        </w:rPr>
        <w:t xml:space="preserve"> וכיון שדחתה כבר</w:t>
      </w:r>
      <w:r>
        <w:rPr>
          <w:rFonts w:hint="cs"/>
          <w:sz w:val="24"/>
          <w:szCs w:val="24"/>
          <w:rtl/>
        </w:rPr>
        <w:t>,</w:t>
      </w:r>
      <w:r w:rsidRPr="00BB2D99">
        <w:rPr>
          <w:sz w:val="24"/>
          <w:szCs w:val="24"/>
          <w:rtl/>
        </w:rPr>
        <w:t xml:space="preserve"> אפילו משום חביבה מצוה בשעתא בכהאי גוונא ראוי לדחות שבת</w:t>
      </w:r>
      <w:r>
        <w:rPr>
          <w:rFonts w:hint="cs"/>
          <w:sz w:val="24"/>
          <w:szCs w:val="24"/>
          <w:rtl/>
        </w:rPr>
        <w:t>,</w:t>
      </w:r>
      <w:r w:rsidRPr="00BB2D99">
        <w:rPr>
          <w:sz w:val="24"/>
          <w:szCs w:val="24"/>
          <w:rtl/>
        </w:rPr>
        <w:t xml:space="preserve"> כל שכן שעה עוברת לגמרי כמו שילוח השעיר</w:t>
      </w:r>
      <w:r>
        <w:rPr>
          <w:rFonts w:hint="cs"/>
          <w:sz w:val="24"/>
          <w:szCs w:val="24"/>
          <w:rtl/>
        </w:rPr>
        <w:t>,</w:t>
      </w:r>
      <w:r w:rsidRPr="00BB2D99">
        <w:rPr>
          <w:sz w:val="24"/>
          <w:szCs w:val="24"/>
          <w:rtl/>
        </w:rPr>
        <w:t xml:space="preserve"> שאין לו תקנה אלא בשעתיה ביום הכיפורים דוקא</w:t>
      </w:r>
      <w:r>
        <w:rPr>
          <w:rFonts w:hint="cs"/>
          <w:sz w:val="24"/>
          <w:szCs w:val="24"/>
          <w:rtl/>
        </w:rPr>
        <w:t>,</w:t>
      </w:r>
      <w:r w:rsidRPr="00BB2D99">
        <w:rPr>
          <w:sz w:val="24"/>
          <w:szCs w:val="24"/>
          <w:rtl/>
        </w:rPr>
        <w:t xml:space="preserve"> שדוחה שבת</w:t>
      </w:r>
      <w:r>
        <w:rPr>
          <w:rFonts w:hint="cs"/>
          <w:sz w:val="24"/>
          <w:szCs w:val="24"/>
          <w:rtl/>
        </w:rPr>
        <w:t>.</w:t>
      </w:r>
    </w:p>
    <w:p w:rsidR="00C26E1A" w:rsidRPr="00BB2D99" w:rsidRDefault="00C26E1A" w:rsidP="00C26E1A">
      <w:pPr>
        <w:spacing w:line="276" w:lineRule="auto"/>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lastRenderedPageBreak/>
        <w:t>הגבורת ארי סובר שיש לראות בשני השעירים קרבן אחד. ממילא, כיוון ששחיטת השעיר הפנימי דוחה את השבת, נמצא שמערכת קרבן השעירים כולה דוחה את השבת. הגדרת שני השעירים כקרבן אחד מבארת מדוע גם מצווה שאינה מעכבת בתהליך הכפרה, כדוגמת השילוח, דוחה את השבת</w:t>
      </w:r>
      <w:r>
        <w:rPr>
          <w:rStyle w:val="a7"/>
          <w:sz w:val="24"/>
          <w:szCs w:val="24"/>
          <w:rtl/>
        </w:rPr>
        <w:footnoteReference w:id="137"/>
      </w:r>
      <w:r>
        <w:rPr>
          <w:rFonts w:hint="cs"/>
          <w:sz w:val="24"/>
          <w:szCs w:val="24"/>
          <w:rtl/>
        </w:rPr>
        <w:t xml:space="preserve">. </w:t>
      </w:r>
    </w:p>
    <w:p w:rsidR="00C26E1A" w:rsidRDefault="00C26E1A" w:rsidP="00C26E1A">
      <w:pPr>
        <w:spacing w:line="276" w:lineRule="auto"/>
        <w:rPr>
          <w:sz w:val="24"/>
          <w:szCs w:val="24"/>
          <w:rtl/>
        </w:rPr>
      </w:pPr>
      <w:r>
        <w:rPr>
          <w:rFonts w:hint="cs"/>
          <w:sz w:val="24"/>
          <w:szCs w:val="24"/>
          <w:rtl/>
        </w:rPr>
        <w:t>אמנם, נראה שהיה מי שסבר שגם בשיטת הבבלי, שילוח השעיר מעכב. המשנה החותמת את הפרק עוסקת באופן בו מתוודע הכהן הגדול לכך שהשעיר הגיע למדבר:</w:t>
      </w:r>
    </w:p>
    <w:p w:rsidR="00C26E1A" w:rsidRDefault="00C26E1A" w:rsidP="00C26E1A">
      <w:pPr>
        <w:spacing w:line="276" w:lineRule="auto"/>
        <w:ind w:left="720"/>
        <w:rPr>
          <w:sz w:val="24"/>
          <w:szCs w:val="24"/>
          <w:rtl/>
        </w:rPr>
      </w:pPr>
      <w:r w:rsidRPr="00617600">
        <w:rPr>
          <w:sz w:val="24"/>
          <w:szCs w:val="24"/>
          <w:rtl/>
        </w:rPr>
        <w:t>אמרו לו לכהן גדול הגיע שעיר למדבר</w:t>
      </w:r>
      <w:r>
        <w:rPr>
          <w:rFonts w:hint="cs"/>
          <w:sz w:val="24"/>
          <w:szCs w:val="24"/>
          <w:rtl/>
        </w:rPr>
        <w:t>,</w:t>
      </w:r>
      <w:r w:rsidRPr="00617600">
        <w:rPr>
          <w:sz w:val="24"/>
          <w:szCs w:val="24"/>
          <w:rtl/>
        </w:rPr>
        <w:t xml:space="preserve"> ומניין היו יודעין שהגיע שעיר למדבר</w:t>
      </w:r>
      <w:r>
        <w:rPr>
          <w:rFonts w:hint="cs"/>
          <w:sz w:val="24"/>
          <w:szCs w:val="24"/>
          <w:rtl/>
        </w:rPr>
        <w:t>?</w:t>
      </w:r>
      <w:r w:rsidRPr="00617600">
        <w:rPr>
          <w:sz w:val="24"/>
          <w:szCs w:val="24"/>
          <w:rtl/>
        </w:rPr>
        <w:t xml:space="preserve"> דירכאות היו עושין ומניפין בסודרין ויודעין שהגיע שעיר למדבר</w:t>
      </w:r>
      <w:r>
        <w:rPr>
          <w:rFonts w:hint="cs"/>
          <w:sz w:val="24"/>
          <w:szCs w:val="24"/>
          <w:rtl/>
        </w:rPr>
        <w:t>.</w:t>
      </w:r>
      <w:r w:rsidRPr="00617600">
        <w:rPr>
          <w:sz w:val="24"/>
          <w:szCs w:val="24"/>
          <w:rtl/>
        </w:rPr>
        <w:t xml:space="preserve"> אמר רבי יהודה</w:t>
      </w:r>
      <w:r>
        <w:rPr>
          <w:rFonts w:hint="cs"/>
          <w:sz w:val="24"/>
          <w:szCs w:val="24"/>
          <w:rtl/>
        </w:rPr>
        <w:t>:</w:t>
      </w:r>
      <w:r w:rsidRPr="00617600">
        <w:rPr>
          <w:sz w:val="24"/>
          <w:szCs w:val="24"/>
          <w:rtl/>
        </w:rPr>
        <w:t xml:space="preserve"> והלא סימן גדול היה להם</w:t>
      </w:r>
      <w:r>
        <w:rPr>
          <w:rFonts w:hint="cs"/>
          <w:sz w:val="24"/>
          <w:szCs w:val="24"/>
          <w:rtl/>
        </w:rPr>
        <w:t>,</w:t>
      </w:r>
      <w:r w:rsidRPr="00617600">
        <w:rPr>
          <w:sz w:val="24"/>
          <w:szCs w:val="24"/>
          <w:rtl/>
        </w:rPr>
        <w:t xml:space="preserve"> מירושלים ועד בית חדודו שלשה מילין</w:t>
      </w:r>
      <w:r>
        <w:rPr>
          <w:rFonts w:hint="cs"/>
          <w:sz w:val="24"/>
          <w:szCs w:val="24"/>
          <w:rtl/>
        </w:rPr>
        <w:t>,</w:t>
      </w:r>
      <w:r w:rsidRPr="00617600">
        <w:rPr>
          <w:sz w:val="24"/>
          <w:szCs w:val="24"/>
          <w:rtl/>
        </w:rPr>
        <w:t xml:space="preserve"> הולכין מיל וחוזרין מיל ושוהין כדי מיל ויודעין שהגיע שעיר למדבר</w:t>
      </w:r>
      <w:r>
        <w:rPr>
          <w:rFonts w:hint="cs"/>
          <w:sz w:val="24"/>
          <w:szCs w:val="24"/>
          <w:rtl/>
        </w:rPr>
        <w:t>.</w:t>
      </w:r>
    </w:p>
    <w:p w:rsidR="00C26E1A" w:rsidRPr="00FA4E2C" w:rsidRDefault="00C26E1A" w:rsidP="00C26E1A">
      <w:pPr>
        <w:spacing w:line="276" w:lineRule="auto"/>
        <w:jc w:val="right"/>
        <w:rPr>
          <w:sz w:val="20"/>
          <w:szCs w:val="20"/>
          <w:rtl/>
        </w:rPr>
      </w:pPr>
      <w:r>
        <w:rPr>
          <w:rFonts w:hint="cs"/>
          <w:sz w:val="20"/>
          <w:szCs w:val="20"/>
          <w:rtl/>
        </w:rPr>
        <w:t>[סח:]</w:t>
      </w:r>
    </w:p>
    <w:p w:rsidR="00C26E1A" w:rsidRDefault="00C26E1A" w:rsidP="00C26E1A">
      <w:pPr>
        <w:spacing w:line="276" w:lineRule="auto"/>
        <w:rPr>
          <w:sz w:val="24"/>
          <w:szCs w:val="24"/>
          <w:rtl/>
        </w:rPr>
      </w:pPr>
      <w:r>
        <w:rPr>
          <w:rFonts w:hint="cs"/>
          <w:sz w:val="24"/>
          <w:szCs w:val="24"/>
          <w:rtl/>
        </w:rPr>
        <w:t>ר' יהודה סובר שבמקום הנפת הסודרין, ניתן להניח שלאחר זמן הילוך שלושה מילין השעיר הגיע למדבר. מדברי ר' יהודה מסיק אביי:</w:t>
      </w:r>
    </w:p>
    <w:p w:rsidR="00C26E1A" w:rsidRDefault="00C26E1A" w:rsidP="00C26E1A">
      <w:pPr>
        <w:spacing w:line="276" w:lineRule="auto"/>
        <w:ind w:left="720"/>
        <w:rPr>
          <w:sz w:val="24"/>
          <w:szCs w:val="24"/>
          <w:rtl/>
        </w:rPr>
      </w:pPr>
      <w:r w:rsidRPr="00617600">
        <w:rPr>
          <w:sz w:val="24"/>
          <w:szCs w:val="24"/>
          <w:rtl/>
        </w:rPr>
        <w:t>אמר אביי</w:t>
      </w:r>
      <w:r>
        <w:rPr>
          <w:rFonts w:hint="cs"/>
          <w:sz w:val="24"/>
          <w:szCs w:val="24"/>
          <w:rtl/>
        </w:rPr>
        <w:t>:</w:t>
      </w:r>
      <w:r w:rsidRPr="00617600">
        <w:rPr>
          <w:sz w:val="24"/>
          <w:szCs w:val="24"/>
          <w:rtl/>
        </w:rPr>
        <w:t xml:space="preserve"> שמע מינה בית חדודו במדבר קיימא</w:t>
      </w:r>
      <w:r>
        <w:rPr>
          <w:rFonts w:hint="cs"/>
          <w:sz w:val="24"/>
          <w:szCs w:val="24"/>
          <w:rtl/>
        </w:rPr>
        <w:t>,</w:t>
      </w:r>
      <w:r w:rsidRPr="00617600">
        <w:rPr>
          <w:sz w:val="24"/>
          <w:szCs w:val="24"/>
          <w:rtl/>
        </w:rPr>
        <w:t xml:space="preserve"> והא קא משמע לן</w:t>
      </w:r>
      <w:r>
        <w:rPr>
          <w:rStyle w:val="a7"/>
          <w:sz w:val="24"/>
          <w:szCs w:val="24"/>
          <w:rtl/>
        </w:rPr>
        <w:footnoteReference w:id="138"/>
      </w:r>
      <w:r w:rsidRPr="00617600">
        <w:rPr>
          <w:sz w:val="24"/>
          <w:szCs w:val="24"/>
          <w:rtl/>
        </w:rPr>
        <w:t xml:space="preserve"> כיון שהגיע שעיר למדבר נעשית מצותו</w:t>
      </w:r>
      <w:r>
        <w:rPr>
          <w:rFonts w:hint="cs"/>
          <w:sz w:val="24"/>
          <w:szCs w:val="24"/>
          <w:rtl/>
        </w:rPr>
        <w:t>.</w:t>
      </w:r>
    </w:p>
    <w:p w:rsidR="00C26E1A" w:rsidRPr="00FA4E2C" w:rsidRDefault="00C26E1A" w:rsidP="00C26E1A">
      <w:pPr>
        <w:spacing w:line="276" w:lineRule="auto"/>
        <w:ind w:left="720"/>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t>מדברי ר' יהודה למדנו, שמצוות השעיר מתקיימת משעה שהגיע השעיר למדבר. מפשט הדברים נראה, ששילוח השעיר מעכב את הכפרה, ואם השעיר מת לפני השילוח, יש לשוב ולהביא שעיר נוסף. וכך כותב המאירי:</w:t>
      </w:r>
    </w:p>
    <w:p w:rsidR="00C26E1A" w:rsidRDefault="00C26E1A" w:rsidP="00C26E1A">
      <w:pPr>
        <w:spacing w:line="276" w:lineRule="auto"/>
        <w:ind w:left="720"/>
        <w:rPr>
          <w:sz w:val="24"/>
          <w:szCs w:val="24"/>
          <w:rtl/>
        </w:rPr>
      </w:pPr>
      <w:r w:rsidRPr="00A36576">
        <w:rPr>
          <w:sz w:val="24"/>
          <w:szCs w:val="24"/>
          <w:rtl/>
        </w:rPr>
        <w:t xml:space="preserve">ופי' בגמ' שמשהגיע לשם נעשית מצותו </w:t>
      </w:r>
      <w:r>
        <w:rPr>
          <w:rFonts w:hint="cs"/>
          <w:sz w:val="24"/>
          <w:szCs w:val="24"/>
          <w:rtl/>
        </w:rPr>
        <w:t>,</w:t>
      </w:r>
      <w:r w:rsidRPr="00A36576">
        <w:rPr>
          <w:sz w:val="24"/>
          <w:szCs w:val="24"/>
          <w:rtl/>
        </w:rPr>
        <w:t>עד שאם מת מאליו קודם שדחפו אין צריך להביא אחר</w:t>
      </w:r>
      <w:r>
        <w:rPr>
          <w:rFonts w:hint="cs"/>
          <w:sz w:val="24"/>
          <w:szCs w:val="24"/>
          <w:rtl/>
        </w:rPr>
        <w:t>.</w:t>
      </w:r>
    </w:p>
    <w:p w:rsidR="00C26E1A" w:rsidRPr="00A36576" w:rsidRDefault="00C26E1A" w:rsidP="00C26E1A">
      <w:pPr>
        <w:spacing w:line="276" w:lineRule="auto"/>
        <w:ind w:left="720"/>
        <w:jc w:val="right"/>
        <w:rPr>
          <w:sz w:val="20"/>
          <w:szCs w:val="20"/>
          <w:rtl/>
        </w:rPr>
      </w:pPr>
      <w:r>
        <w:rPr>
          <w:rFonts w:hint="cs"/>
          <w:sz w:val="20"/>
          <w:szCs w:val="20"/>
          <w:rtl/>
        </w:rPr>
        <w:t>[מאירי סו. ד"ה אמרו]</w:t>
      </w:r>
    </w:p>
    <w:p w:rsidR="00C26E1A" w:rsidRDefault="00C26E1A" w:rsidP="00C26E1A">
      <w:pPr>
        <w:spacing w:line="276" w:lineRule="auto"/>
        <w:rPr>
          <w:sz w:val="24"/>
          <w:szCs w:val="24"/>
          <w:rtl/>
        </w:rPr>
      </w:pPr>
      <w:r>
        <w:rPr>
          <w:rFonts w:hint="cs"/>
          <w:sz w:val="24"/>
          <w:szCs w:val="24"/>
          <w:rtl/>
        </w:rPr>
        <w:t>המאירי סובר שמדברי ר' יהודה למדנו שאם השעיר מת לאחר ההגעה למדבר, אך לפני הדחייה לצוק, אין צורך להביא שעיר נוסף. המאירי מדגיש את החידוש בדברי ר' יהודה, הסובר שדחיית השעיר לצוק אינה מעכבת את הכפרה, אך ברור מדבריו שגם לשיטתו, במידה והשעיר ימות לפני ההגעה למדבר, ואפילו לאחר הזאות השעיר הפנימי או הוידוי, יש להביא שעיר נוסף</w:t>
      </w:r>
      <w:r>
        <w:rPr>
          <w:rStyle w:val="a7"/>
          <w:sz w:val="24"/>
          <w:szCs w:val="24"/>
          <w:rtl/>
        </w:rPr>
        <w:footnoteReference w:id="139"/>
      </w:r>
      <w:r>
        <w:rPr>
          <w:rFonts w:hint="cs"/>
          <w:sz w:val="24"/>
          <w:szCs w:val="24"/>
          <w:rtl/>
        </w:rPr>
        <w:t xml:space="preserve">. </w:t>
      </w:r>
    </w:p>
    <w:p w:rsidR="00C26E1A" w:rsidRDefault="00C26E1A" w:rsidP="00C26E1A">
      <w:pPr>
        <w:spacing w:line="276" w:lineRule="auto"/>
        <w:rPr>
          <w:sz w:val="24"/>
          <w:szCs w:val="24"/>
          <w:rtl/>
        </w:rPr>
      </w:pPr>
      <w:r>
        <w:rPr>
          <w:rFonts w:hint="cs"/>
          <w:sz w:val="24"/>
          <w:szCs w:val="24"/>
          <w:rtl/>
        </w:rPr>
        <w:t>הרב שאול ליברמן, יישב את היחס בין העולה ממחלוקת התנאים ובין דברי הגמרא בשיטת ר' יהודה:</w:t>
      </w:r>
    </w:p>
    <w:p w:rsidR="00C26E1A" w:rsidRDefault="00C26E1A" w:rsidP="00C26E1A">
      <w:pPr>
        <w:spacing w:line="276" w:lineRule="auto"/>
        <w:ind w:left="720"/>
        <w:rPr>
          <w:sz w:val="24"/>
          <w:szCs w:val="24"/>
          <w:rtl/>
        </w:rPr>
      </w:pPr>
      <w:r w:rsidRPr="00D0321B">
        <w:rPr>
          <w:sz w:val="24"/>
          <w:szCs w:val="24"/>
          <w:rtl/>
        </w:rPr>
        <w:t>ברם אפשר שאין הדין אלא במת, אבל אם לא מת, אלא שברח לפני שילוחו</w:t>
      </w:r>
      <w:r>
        <w:rPr>
          <w:rFonts w:hint="cs"/>
          <w:sz w:val="24"/>
          <w:szCs w:val="24"/>
          <w:rtl/>
        </w:rPr>
        <w:t xml:space="preserve"> </w:t>
      </w:r>
      <w:r w:rsidRPr="00D0321B">
        <w:rPr>
          <w:sz w:val="24"/>
          <w:szCs w:val="24"/>
          <w:rtl/>
        </w:rPr>
        <w:t>אפשר שלא יצא, ואין השעיר מכפר, אלא היום מכפר, כמו אחר חורבן הבית</w:t>
      </w:r>
      <w:r w:rsidRPr="00D0321B">
        <w:rPr>
          <w:sz w:val="24"/>
          <w:szCs w:val="24"/>
        </w:rPr>
        <w:t>.</w:t>
      </w:r>
    </w:p>
    <w:p w:rsidR="00C26E1A" w:rsidRPr="00D0321B" w:rsidRDefault="00C26E1A" w:rsidP="00C26E1A">
      <w:pPr>
        <w:spacing w:line="276" w:lineRule="auto"/>
        <w:ind w:left="720"/>
        <w:jc w:val="right"/>
        <w:rPr>
          <w:sz w:val="20"/>
          <w:szCs w:val="20"/>
          <w:rtl/>
        </w:rPr>
      </w:pPr>
      <w:r>
        <w:rPr>
          <w:rFonts w:hint="cs"/>
          <w:sz w:val="20"/>
          <w:szCs w:val="20"/>
          <w:rtl/>
        </w:rPr>
        <w:t>[תוספתא כפשוטה עמ' 793]</w:t>
      </w:r>
    </w:p>
    <w:p w:rsidR="00C26E1A" w:rsidRDefault="00C26E1A" w:rsidP="00C26E1A">
      <w:pPr>
        <w:spacing w:line="276" w:lineRule="auto"/>
        <w:rPr>
          <w:sz w:val="24"/>
          <w:szCs w:val="24"/>
          <w:rtl/>
        </w:rPr>
      </w:pPr>
      <w:r>
        <w:rPr>
          <w:rFonts w:hint="cs"/>
          <w:sz w:val="24"/>
          <w:szCs w:val="24"/>
          <w:rtl/>
        </w:rPr>
        <w:t>הרב שאול ליברמן סובר, שאכן במידה והשעיר מת קודם השילוח, אין צורך להביא שעיר אחר תחתיו. אלא שבמידה והשעיר ברח לפני השילוח, אזי השילוח מעכב את הכפרה, והכפרה מושלמת על ידי עיצומו של יום, ולא על ידי השעיר, כפי שפועלת הכפרה לאחר חורבן הבית</w:t>
      </w:r>
      <w:r>
        <w:rPr>
          <w:rStyle w:val="a7"/>
          <w:sz w:val="24"/>
          <w:szCs w:val="24"/>
          <w:rtl/>
        </w:rPr>
        <w:footnoteReference w:id="140"/>
      </w:r>
      <w:r>
        <w:rPr>
          <w:rFonts w:hint="cs"/>
          <w:sz w:val="24"/>
          <w:szCs w:val="24"/>
          <w:rtl/>
        </w:rPr>
        <w:t xml:space="preserve">. </w:t>
      </w:r>
    </w:p>
    <w:p w:rsidR="00C26E1A" w:rsidRDefault="00C26E1A" w:rsidP="00C26E1A">
      <w:pPr>
        <w:spacing w:line="276" w:lineRule="auto"/>
        <w:rPr>
          <w:sz w:val="24"/>
          <w:szCs w:val="24"/>
          <w:rtl/>
        </w:rPr>
      </w:pPr>
    </w:p>
    <w:p w:rsidR="00C26E1A" w:rsidRDefault="00C26E1A" w:rsidP="00C26E1A">
      <w:pPr>
        <w:spacing w:line="276" w:lineRule="auto"/>
        <w:rPr>
          <w:sz w:val="24"/>
          <w:szCs w:val="24"/>
          <w:rtl/>
        </w:rPr>
      </w:pPr>
      <w:r>
        <w:rPr>
          <w:rFonts w:hint="cs"/>
          <w:sz w:val="24"/>
          <w:szCs w:val="24"/>
          <w:rtl/>
        </w:rPr>
        <w:t xml:space="preserve">עד כה התייחסנו למצוות השילוח כ'מקשה אחת', אך למעשה, נראה שגם במצוות השילוח עצמה ניתן להבחין בין שני מוקדים שונים. קודם הזכרנו את דרשת הספרא "עתי </w:t>
      </w:r>
      <w:r>
        <w:rPr>
          <w:sz w:val="24"/>
          <w:szCs w:val="24"/>
          <w:rtl/>
        </w:rPr>
        <w:t>–</w:t>
      </w:r>
      <w:r>
        <w:rPr>
          <w:rFonts w:hint="cs"/>
          <w:sz w:val="24"/>
          <w:szCs w:val="24"/>
          <w:rtl/>
        </w:rPr>
        <w:t xml:space="preserve"> ואפילו בשבת". הגמרא מבררת לשם מה נצרכה דרשה זו, ועל כך עונה רב ששת:</w:t>
      </w:r>
    </w:p>
    <w:p w:rsidR="00C26E1A" w:rsidRDefault="00C26E1A" w:rsidP="00C26E1A">
      <w:pPr>
        <w:spacing w:line="276" w:lineRule="auto"/>
        <w:ind w:left="720"/>
        <w:rPr>
          <w:sz w:val="24"/>
          <w:szCs w:val="24"/>
          <w:rtl/>
        </w:rPr>
      </w:pPr>
      <w:r w:rsidRPr="0028711F">
        <w:rPr>
          <w:sz w:val="24"/>
          <w:szCs w:val="24"/>
          <w:rtl/>
        </w:rPr>
        <w:t>אמר רב ששת</w:t>
      </w:r>
      <w:r>
        <w:rPr>
          <w:rFonts w:hint="cs"/>
          <w:sz w:val="24"/>
          <w:szCs w:val="24"/>
          <w:rtl/>
        </w:rPr>
        <w:t>:</w:t>
      </w:r>
      <w:r w:rsidRPr="0028711F">
        <w:rPr>
          <w:sz w:val="24"/>
          <w:szCs w:val="24"/>
          <w:rtl/>
        </w:rPr>
        <w:t xml:space="preserve"> לומר שאם היה חולה מרכיבו על כתפו</w:t>
      </w:r>
      <w:r>
        <w:rPr>
          <w:rFonts w:hint="cs"/>
          <w:sz w:val="24"/>
          <w:szCs w:val="24"/>
          <w:rtl/>
        </w:rPr>
        <w:t>.</w:t>
      </w:r>
    </w:p>
    <w:p w:rsidR="00C26E1A" w:rsidRPr="0028711F" w:rsidRDefault="00C26E1A" w:rsidP="00C26E1A">
      <w:pPr>
        <w:spacing w:line="276" w:lineRule="auto"/>
        <w:ind w:left="720"/>
        <w:jc w:val="right"/>
        <w:rPr>
          <w:sz w:val="20"/>
          <w:szCs w:val="20"/>
          <w:rtl/>
        </w:rPr>
      </w:pPr>
      <w:r>
        <w:rPr>
          <w:rFonts w:hint="cs"/>
          <w:sz w:val="20"/>
          <w:szCs w:val="20"/>
          <w:rtl/>
        </w:rPr>
        <w:t>[סו:]</w:t>
      </w:r>
    </w:p>
    <w:p w:rsidR="00C26E1A" w:rsidRDefault="00C26E1A" w:rsidP="00C26E1A">
      <w:pPr>
        <w:spacing w:line="276" w:lineRule="auto"/>
        <w:rPr>
          <w:sz w:val="24"/>
          <w:szCs w:val="24"/>
          <w:rtl/>
        </w:rPr>
      </w:pPr>
      <w:r>
        <w:rPr>
          <w:rFonts w:hint="cs"/>
          <w:sz w:val="24"/>
          <w:szCs w:val="24"/>
          <w:rtl/>
        </w:rPr>
        <w:t>רב ששת סובר שהדרשה מלמדת שבמידה והשעיר חולה במהלך השילוח, רשאי המשלח לשאת אותו על כתפו, אף שבכך הוא עובר על מלאכת הוצאה</w:t>
      </w:r>
      <w:r>
        <w:rPr>
          <w:rStyle w:val="a7"/>
          <w:sz w:val="24"/>
          <w:szCs w:val="24"/>
          <w:rtl/>
        </w:rPr>
        <w:footnoteReference w:id="141"/>
      </w:r>
      <w:r>
        <w:rPr>
          <w:rFonts w:hint="cs"/>
          <w:sz w:val="24"/>
          <w:szCs w:val="24"/>
          <w:rtl/>
        </w:rPr>
        <w:t>. על תשובתו של רב ששת לשאלת הגמרא הקשה השאגת אריה:</w:t>
      </w:r>
    </w:p>
    <w:p w:rsidR="00C26E1A" w:rsidRDefault="00C26E1A" w:rsidP="00C26E1A">
      <w:pPr>
        <w:spacing w:line="276" w:lineRule="auto"/>
        <w:ind w:left="720"/>
        <w:rPr>
          <w:sz w:val="24"/>
          <w:szCs w:val="24"/>
          <w:rtl/>
        </w:rPr>
      </w:pPr>
      <w:r w:rsidRPr="005133DE">
        <w:rPr>
          <w:sz w:val="24"/>
          <w:szCs w:val="24"/>
          <w:rtl/>
        </w:rPr>
        <w:t>הא דאמר התם</w:t>
      </w:r>
      <w:r>
        <w:rPr>
          <w:rFonts w:hint="cs"/>
          <w:sz w:val="24"/>
          <w:szCs w:val="24"/>
          <w:rtl/>
        </w:rPr>
        <w:t>:</w:t>
      </w:r>
      <w:r w:rsidRPr="005133DE">
        <w:rPr>
          <w:sz w:val="24"/>
          <w:szCs w:val="24"/>
          <w:rtl/>
        </w:rPr>
        <w:t xml:space="preserve"> </w:t>
      </w:r>
      <w:r>
        <w:rPr>
          <w:rFonts w:hint="cs"/>
          <w:sz w:val="24"/>
          <w:szCs w:val="24"/>
          <w:rtl/>
        </w:rPr>
        <w:t>'</w:t>
      </w:r>
      <w:r w:rsidRPr="005133DE">
        <w:rPr>
          <w:sz w:val="24"/>
          <w:szCs w:val="24"/>
          <w:rtl/>
        </w:rPr>
        <w:t xml:space="preserve">גזירה </w:t>
      </w:r>
      <w:r>
        <w:rPr>
          <w:sz w:val="24"/>
          <w:szCs w:val="24"/>
          <w:rtl/>
        </w:rPr>
        <w:t>–</w:t>
      </w:r>
      <w:r>
        <w:rPr>
          <w:rFonts w:hint="cs"/>
          <w:sz w:val="24"/>
          <w:szCs w:val="24"/>
          <w:rtl/>
        </w:rPr>
        <w:t xml:space="preserve"> </w:t>
      </w:r>
      <w:r w:rsidRPr="005133DE">
        <w:rPr>
          <w:sz w:val="24"/>
          <w:szCs w:val="24"/>
          <w:rtl/>
        </w:rPr>
        <w:t>אין גזירה אלא דבר המתגזר ויורד</w:t>
      </w:r>
      <w:r>
        <w:rPr>
          <w:rFonts w:hint="cs"/>
          <w:sz w:val="24"/>
          <w:szCs w:val="24"/>
          <w:rtl/>
        </w:rPr>
        <w:t>',</w:t>
      </w:r>
      <w:r w:rsidRPr="005133DE">
        <w:rPr>
          <w:sz w:val="24"/>
          <w:szCs w:val="24"/>
          <w:rtl/>
        </w:rPr>
        <w:t xml:space="preserve"> כלומר ההר יהיה גבוה מאוד עד שכשדוחה השעיר ממנו נופל ומתגזר איברים איברים</w:t>
      </w:r>
      <w:r>
        <w:rPr>
          <w:rFonts w:hint="cs"/>
          <w:sz w:val="24"/>
          <w:szCs w:val="24"/>
          <w:rtl/>
        </w:rPr>
        <w:t>,</w:t>
      </w:r>
      <w:r w:rsidRPr="005133DE">
        <w:rPr>
          <w:sz w:val="24"/>
          <w:szCs w:val="24"/>
          <w:rtl/>
        </w:rPr>
        <w:t xml:space="preserve"> ותנן נמי התם</w:t>
      </w:r>
      <w:r>
        <w:rPr>
          <w:rFonts w:hint="cs"/>
          <w:sz w:val="24"/>
          <w:szCs w:val="24"/>
          <w:rtl/>
        </w:rPr>
        <w:t>,</w:t>
      </w:r>
      <w:r w:rsidRPr="005133DE">
        <w:rPr>
          <w:sz w:val="24"/>
          <w:szCs w:val="24"/>
          <w:rtl/>
        </w:rPr>
        <w:t xml:space="preserve"> </w:t>
      </w:r>
      <w:r>
        <w:rPr>
          <w:rFonts w:hint="cs"/>
          <w:sz w:val="24"/>
          <w:szCs w:val="24"/>
          <w:rtl/>
        </w:rPr>
        <w:t>'</w:t>
      </w:r>
      <w:r w:rsidRPr="005133DE">
        <w:rPr>
          <w:sz w:val="24"/>
          <w:szCs w:val="24"/>
          <w:rtl/>
        </w:rPr>
        <w:t>לא היה מגיע לחצי ההר עד שנעשה איברים איברי</w:t>
      </w:r>
      <w:r>
        <w:rPr>
          <w:rFonts w:hint="cs"/>
          <w:sz w:val="24"/>
          <w:szCs w:val="24"/>
          <w:rtl/>
        </w:rPr>
        <w:t xml:space="preserve">ם'... </w:t>
      </w:r>
      <w:r w:rsidRPr="005133DE">
        <w:rPr>
          <w:sz w:val="24"/>
          <w:szCs w:val="24"/>
          <w:rtl/>
        </w:rPr>
        <w:t>הרי שהיה ממית את השעיר בידים ואית ביה משום נטילת נשמה דהוי אב מלאכה.</w:t>
      </w:r>
      <w:r>
        <w:rPr>
          <w:rFonts w:hint="cs"/>
          <w:sz w:val="24"/>
          <w:szCs w:val="24"/>
          <w:rtl/>
        </w:rPr>
        <w:t>.. ואם כן מאי קשיא ליה</w:t>
      </w:r>
      <w:r w:rsidRPr="005133DE">
        <w:rPr>
          <w:sz w:val="24"/>
          <w:szCs w:val="24"/>
          <w:rtl/>
        </w:rPr>
        <w:t xml:space="preserve"> לר</w:t>
      </w:r>
      <w:r>
        <w:rPr>
          <w:rFonts w:hint="cs"/>
          <w:sz w:val="24"/>
          <w:szCs w:val="24"/>
          <w:rtl/>
        </w:rPr>
        <w:t xml:space="preserve">ב </w:t>
      </w:r>
      <w:r w:rsidRPr="005133DE">
        <w:rPr>
          <w:sz w:val="24"/>
          <w:szCs w:val="24"/>
          <w:rtl/>
        </w:rPr>
        <w:t>ש</w:t>
      </w:r>
      <w:r>
        <w:rPr>
          <w:rFonts w:hint="cs"/>
          <w:sz w:val="24"/>
          <w:szCs w:val="24"/>
          <w:rtl/>
        </w:rPr>
        <w:t>שת</w:t>
      </w:r>
      <w:r w:rsidRPr="005133DE">
        <w:rPr>
          <w:sz w:val="24"/>
          <w:szCs w:val="24"/>
          <w:rtl/>
        </w:rPr>
        <w:t xml:space="preserve"> </w:t>
      </w:r>
      <w:r>
        <w:rPr>
          <w:rFonts w:hint="cs"/>
          <w:sz w:val="24"/>
          <w:szCs w:val="24"/>
          <w:rtl/>
        </w:rPr>
        <w:t>'</w:t>
      </w:r>
      <w:r w:rsidRPr="005133DE">
        <w:rPr>
          <w:sz w:val="24"/>
          <w:szCs w:val="24"/>
          <w:rtl/>
        </w:rPr>
        <w:t>עתי אפי</w:t>
      </w:r>
      <w:r>
        <w:rPr>
          <w:rFonts w:hint="cs"/>
          <w:sz w:val="24"/>
          <w:szCs w:val="24"/>
          <w:rtl/>
        </w:rPr>
        <w:t>לו</w:t>
      </w:r>
      <w:r w:rsidRPr="005133DE">
        <w:rPr>
          <w:sz w:val="24"/>
          <w:szCs w:val="24"/>
          <w:rtl/>
        </w:rPr>
        <w:t xml:space="preserve"> בשבת למאי הילכת</w:t>
      </w:r>
      <w:r>
        <w:rPr>
          <w:rFonts w:hint="cs"/>
          <w:sz w:val="24"/>
          <w:szCs w:val="24"/>
          <w:rtl/>
        </w:rPr>
        <w:t>א',</w:t>
      </w:r>
      <w:r w:rsidRPr="005133DE">
        <w:rPr>
          <w:sz w:val="24"/>
          <w:szCs w:val="24"/>
          <w:rtl/>
        </w:rPr>
        <w:t>' דילמא אתי קרא למישרי אב מלאכה דנטילת נשמה</w:t>
      </w:r>
      <w:r>
        <w:rPr>
          <w:rFonts w:hint="cs"/>
          <w:sz w:val="24"/>
          <w:szCs w:val="24"/>
          <w:rtl/>
        </w:rPr>
        <w:t>?</w:t>
      </w:r>
    </w:p>
    <w:p w:rsidR="00C26E1A" w:rsidRPr="00583799" w:rsidRDefault="00C26E1A" w:rsidP="00C26E1A">
      <w:pPr>
        <w:spacing w:line="276" w:lineRule="auto"/>
        <w:ind w:left="720"/>
        <w:jc w:val="right"/>
        <w:rPr>
          <w:sz w:val="20"/>
          <w:szCs w:val="20"/>
          <w:rtl/>
        </w:rPr>
      </w:pPr>
      <w:r>
        <w:rPr>
          <w:rFonts w:hint="cs"/>
          <w:sz w:val="20"/>
          <w:szCs w:val="20"/>
          <w:rtl/>
        </w:rPr>
        <w:t>[שאגת אריה סימן ע]</w:t>
      </w:r>
    </w:p>
    <w:p w:rsidR="00C26E1A" w:rsidRDefault="00C26E1A" w:rsidP="00C26E1A">
      <w:pPr>
        <w:spacing w:line="276" w:lineRule="auto"/>
        <w:rPr>
          <w:sz w:val="24"/>
          <w:szCs w:val="24"/>
          <w:rtl/>
        </w:rPr>
      </w:pPr>
      <w:r>
        <w:rPr>
          <w:rFonts w:hint="cs"/>
          <w:sz w:val="24"/>
          <w:szCs w:val="24"/>
          <w:rtl/>
        </w:rPr>
        <w:t>השאגת אריה תוהה, מדוע נצרך רב ששת להעמיד את דרשת הספרא דווקא במקרה בו חלה השעיר, והלא כחלק מתהליך השילוח, יש לדחות את השעיר מהצוק ולהמיתו. ובהמתת השעיר, יש משום מלאכת 'נטילת נשמה'</w:t>
      </w:r>
      <w:r>
        <w:rPr>
          <w:rStyle w:val="a7"/>
          <w:sz w:val="24"/>
          <w:szCs w:val="24"/>
          <w:rtl/>
        </w:rPr>
        <w:footnoteReference w:id="142"/>
      </w:r>
      <w:r>
        <w:rPr>
          <w:rFonts w:hint="cs"/>
          <w:sz w:val="24"/>
          <w:szCs w:val="24"/>
          <w:rtl/>
        </w:rPr>
        <w:t>. על כך עונה השאגת אריה:</w:t>
      </w:r>
    </w:p>
    <w:p w:rsidR="00C26E1A" w:rsidRDefault="00C26E1A" w:rsidP="00C26E1A">
      <w:pPr>
        <w:spacing w:line="276" w:lineRule="auto"/>
        <w:ind w:left="720"/>
        <w:rPr>
          <w:sz w:val="24"/>
          <w:szCs w:val="24"/>
          <w:rtl/>
        </w:rPr>
      </w:pPr>
      <w:r w:rsidRPr="005133DE">
        <w:rPr>
          <w:sz w:val="24"/>
          <w:szCs w:val="24"/>
          <w:rtl/>
        </w:rPr>
        <w:t>די</w:t>
      </w:r>
      <w:r>
        <w:rPr>
          <w:rFonts w:hint="cs"/>
          <w:sz w:val="24"/>
          <w:szCs w:val="24"/>
          <w:rtl/>
        </w:rPr>
        <w:t>ש לומר,</w:t>
      </w:r>
      <w:r w:rsidRPr="005133DE">
        <w:rPr>
          <w:sz w:val="24"/>
          <w:szCs w:val="24"/>
          <w:rtl/>
        </w:rPr>
        <w:t xml:space="preserve"> משום דס</w:t>
      </w:r>
      <w:r>
        <w:rPr>
          <w:rFonts w:hint="cs"/>
          <w:sz w:val="24"/>
          <w:szCs w:val="24"/>
          <w:rtl/>
        </w:rPr>
        <w:t>בירא ליה</w:t>
      </w:r>
      <w:r w:rsidRPr="005133DE">
        <w:rPr>
          <w:sz w:val="24"/>
          <w:szCs w:val="24"/>
          <w:rtl/>
        </w:rPr>
        <w:t xml:space="preserve"> לר</w:t>
      </w:r>
      <w:r>
        <w:rPr>
          <w:rFonts w:hint="cs"/>
          <w:sz w:val="24"/>
          <w:szCs w:val="24"/>
          <w:rtl/>
        </w:rPr>
        <w:t>ב ששת</w:t>
      </w:r>
      <w:r w:rsidRPr="005133DE">
        <w:rPr>
          <w:sz w:val="24"/>
          <w:szCs w:val="24"/>
          <w:rtl/>
        </w:rPr>
        <w:t xml:space="preserve"> כיון דהאי </w:t>
      </w:r>
      <w:r>
        <w:rPr>
          <w:rFonts w:hint="cs"/>
          <w:sz w:val="24"/>
          <w:szCs w:val="24"/>
          <w:rtl/>
        </w:rPr>
        <w:t>'</w:t>
      </w:r>
      <w:r w:rsidRPr="005133DE">
        <w:rPr>
          <w:sz w:val="24"/>
          <w:szCs w:val="24"/>
          <w:rtl/>
        </w:rPr>
        <w:t>עתי</w:t>
      </w:r>
      <w:r>
        <w:rPr>
          <w:rFonts w:hint="cs"/>
          <w:sz w:val="24"/>
          <w:szCs w:val="24"/>
          <w:rtl/>
        </w:rPr>
        <w:t>'</w:t>
      </w:r>
      <w:r w:rsidRPr="005133DE">
        <w:rPr>
          <w:sz w:val="24"/>
          <w:szCs w:val="24"/>
          <w:rtl/>
        </w:rPr>
        <w:t xml:space="preserve"> גבי שילוח השעיר כתיב</w:t>
      </w:r>
      <w:r>
        <w:rPr>
          <w:rFonts w:hint="cs"/>
          <w:sz w:val="24"/>
          <w:szCs w:val="24"/>
          <w:rtl/>
        </w:rPr>
        <w:t>,</w:t>
      </w:r>
      <w:r w:rsidRPr="005133DE">
        <w:rPr>
          <w:sz w:val="24"/>
          <w:szCs w:val="24"/>
          <w:rtl/>
        </w:rPr>
        <w:t xml:space="preserve"> משמע דאתי קרא למישרי איסור שבת הנעשה בשעת שילוח השעיר</w:t>
      </w:r>
      <w:r>
        <w:rPr>
          <w:rFonts w:hint="cs"/>
          <w:sz w:val="24"/>
          <w:szCs w:val="24"/>
          <w:rtl/>
        </w:rPr>
        <w:t>,</w:t>
      </w:r>
      <w:r w:rsidRPr="005133DE">
        <w:rPr>
          <w:sz w:val="24"/>
          <w:szCs w:val="24"/>
          <w:rtl/>
        </w:rPr>
        <w:t xml:space="preserve"> ולא מיירי מאיסור הנעשה בשעה שהגיע כבר לצוק שהוא אחר שילוחו</w:t>
      </w:r>
      <w:r>
        <w:rPr>
          <w:rFonts w:hint="cs"/>
          <w:sz w:val="24"/>
          <w:szCs w:val="24"/>
          <w:rtl/>
        </w:rPr>
        <w:t>.</w:t>
      </w:r>
    </w:p>
    <w:p w:rsidR="00C26E1A" w:rsidRPr="00583799" w:rsidRDefault="00C26E1A" w:rsidP="00C26E1A">
      <w:pPr>
        <w:spacing w:line="276" w:lineRule="auto"/>
        <w:ind w:left="720"/>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t>לדבריו, דחיית השעיר מן הצוק אכן דוחה את השבת, אך דרשת הספרא אינה עוסקת בדין זה אלא רק בדין שילוח השעיר למדבר בלבד. דחיית השעיר מהצוק הינה דין נפרד, המגיע לאחר ששלב השילוח מסתיים</w:t>
      </w:r>
      <w:r>
        <w:rPr>
          <w:rStyle w:val="a7"/>
          <w:sz w:val="24"/>
          <w:szCs w:val="24"/>
          <w:rtl/>
        </w:rPr>
        <w:footnoteReference w:id="143"/>
      </w:r>
      <w:r>
        <w:rPr>
          <w:rFonts w:hint="cs"/>
          <w:sz w:val="24"/>
          <w:szCs w:val="24"/>
          <w:rtl/>
        </w:rPr>
        <w:t>.</w:t>
      </w:r>
    </w:p>
    <w:p w:rsidR="00C26E1A" w:rsidRDefault="00C26E1A" w:rsidP="00C26E1A">
      <w:pPr>
        <w:spacing w:line="276" w:lineRule="auto"/>
        <w:rPr>
          <w:sz w:val="24"/>
          <w:szCs w:val="24"/>
          <w:rtl/>
        </w:rPr>
      </w:pPr>
      <w:r>
        <w:rPr>
          <w:rFonts w:hint="cs"/>
          <w:sz w:val="24"/>
          <w:szCs w:val="24"/>
          <w:rtl/>
        </w:rPr>
        <w:t>אם כן, השאגת אריה מניח את התשתית להבנה לפיה מצוות השילוח מורכבת משני דינים נפרדים: שילוח השעיר למדבר, ודחייתו מן הצוק. זאת כאמור, על פי דיוקו בדרשה המופיעה בספרא. הגרי"ד ביסס והעמיק טענה זו על פי העולה מפשטי המקראות:</w:t>
      </w:r>
    </w:p>
    <w:p w:rsidR="00C26E1A" w:rsidRDefault="00C26E1A" w:rsidP="00C26E1A">
      <w:pPr>
        <w:spacing w:line="276" w:lineRule="auto"/>
        <w:ind w:left="720"/>
        <w:rPr>
          <w:sz w:val="24"/>
          <w:szCs w:val="24"/>
          <w:rtl/>
        </w:rPr>
      </w:pPr>
      <w:r>
        <w:rPr>
          <w:rFonts w:hint="cs"/>
          <w:sz w:val="24"/>
          <w:szCs w:val="24"/>
          <w:rtl/>
        </w:rPr>
        <w:t xml:space="preserve">והנה מדיוק לשון הפסוקים משמע בעליל שיש שני שלבים ושני קיומים בשילוח. שהרי כתוב אחד אומר: "וסמך אהרן... ונתן אתם על ראש השעיר, ושלח ביד איש עתי המדברה"; </w:t>
      </w:r>
      <w:r>
        <w:rPr>
          <w:rFonts w:hint="cs"/>
          <w:sz w:val="24"/>
          <w:szCs w:val="24"/>
          <w:rtl/>
        </w:rPr>
        <w:lastRenderedPageBreak/>
        <w:t>וכתוב אחד אומר: "ונשא השעיר עליו את כל עונתם אל ארץ גזרה ושלח את השעיר במדבר". הווה אומר, יש שני קיומי שילוח. הראשון, שילוח "המדברה", וכיון שהגיע למדבר הושג קיום זה; השני, שילוח במדבר עצמו עד שיגיע לצוק ואולי אף הדחייה עצמה.</w:t>
      </w:r>
    </w:p>
    <w:p w:rsidR="00C26E1A" w:rsidRPr="0098595A" w:rsidRDefault="00C26E1A" w:rsidP="00C26E1A">
      <w:pPr>
        <w:spacing w:line="276" w:lineRule="auto"/>
        <w:ind w:left="720"/>
        <w:jc w:val="right"/>
        <w:rPr>
          <w:sz w:val="20"/>
          <w:szCs w:val="20"/>
          <w:rtl/>
        </w:rPr>
      </w:pPr>
      <w:r>
        <w:rPr>
          <w:rFonts w:hint="cs"/>
          <w:sz w:val="20"/>
          <w:szCs w:val="20"/>
          <w:rtl/>
        </w:rPr>
        <w:t>[שיעורי הגרי"ד עבודת יום הכיפורים עמ' קנט]</w:t>
      </w:r>
    </w:p>
    <w:p w:rsidR="00C26E1A" w:rsidRDefault="00C26E1A" w:rsidP="00C26E1A">
      <w:pPr>
        <w:spacing w:line="276" w:lineRule="auto"/>
        <w:rPr>
          <w:sz w:val="24"/>
          <w:szCs w:val="24"/>
          <w:rtl/>
        </w:rPr>
      </w:pPr>
      <w:r>
        <w:rPr>
          <w:rFonts w:hint="cs"/>
          <w:sz w:val="24"/>
          <w:szCs w:val="24"/>
          <w:rtl/>
        </w:rPr>
        <w:t xml:space="preserve">הגרי"ד מדייק מלשון הפסוקים, שהשלב הראשון של השליח מסתיים בהגעת השעיר למדבר, וכפי שראינו לעיל בדברי הגמרא </w:t>
      </w:r>
      <w:r>
        <w:rPr>
          <w:rFonts w:hint="cs"/>
          <w:sz w:val="20"/>
          <w:szCs w:val="20"/>
          <w:rtl/>
        </w:rPr>
        <w:t>[סח:]</w:t>
      </w:r>
      <w:r>
        <w:rPr>
          <w:rFonts w:hint="cs"/>
          <w:sz w:val="24"/>
          <w:szCs w:val="24"/>
          <w:rtl/>
        </w:rPr>
        <w:t xml:space="preserve"> בשיטת ר' יהודה </w:t>
      </w:r>
      <w:r>
        <w:rPr>
          <w:sz w:val="24"/>
          <w:szCs w:val="24"/>
          <w:rtl/>
        </w:rPr>
        <w:t>–</w:t>
      </w:r>
      <w:r>
        <w:rPr>
          <w:rFonts w:hint="cs"/>
          <w:sz w:val="24"/>
          <w:szCs w:val="24"/>
          <w:rtl/>
        </w:rPr>
        <w:t xml:space="preserve"> "כיוון שהגיע שעיר למדבר נעשית מצוותו". לאחר מכן קיים שלב נוסף בו יש להביא את השעיר לצוק ולדחותו ממנו. בהמשך מבאר הגרי"ד שהשלב הראשון הינו חלק מעבודת הכהן הגדול עצמו, והשלב השני הוא באחריותו של האיש העתי:</w:t>
      </w:r>
    </w:p>
    <w:p w:rsidR="00C26E1A" w:rsidRDefault="00C26E1A" w:rsidP="00C26E1A">
      <w:pPr>
        <w:spacing w:line="276" w:lineRule="auto"/>
        <w:ind w:left="720"/>
        <w:rPr>
          <w:sz w:val="24"/>
          <w:szCs w:val="24"/>
          <w:rtl/>
        </w:rPr>
      </w:pPr>
      <w:r>
        <w:rPr>
          <w:rFonts w:hint="cs"/>
          <w:sz w:val="24"/>
          <w:szCs w:val="24"/>
          <w:rtl/>
        </w:rPr>
        <w:t>והנה, הקיום האשון מתייחס לכהן הגדול שהרי 'אהרן' כתיב ביה, אך הקיום השני הוא נחלת איש עתי המוליכו ואין לכהן הגדול זיקה אליו, שלא נאמר אלא "ושלח את השעיר במדבר", ואין הכוונה לכהן הגדול, אלא לאיש העתי המוליכו</w:t>
      </w:r>
      <w:r>
        <w:rPr>
          <w:rStyle w:val="a7"/>
          <w:sz w:val="24"/>
          <w:szCs w:val="24"/>
          <w:rtl/>
        </w:rPr>
        <w:footnoteReference w:id="144"/>
      </w:r>
      <w:r>
        <w:rPr>
          <w:rFonts w:hint="cs"/>
          <w:sz w:val="24"/>
          <w:szCs w:val="24"/>
          <w:rtl/>
        </w:rPr>
        <w:t xml:space="preserve">. </w:t>
      </w:r>
    </w:p>
    <w:p w:rsidR="00C26E1A" w:rsidRPr="001D5F1C" w:rsidRDefault="00C26E1A" w:rsidP="00C26E1A">
      <w:pPr>
        <w:spacing w:line="276" w:lineRule="auto"/>
        <w:ind w:left="720"/>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t>משמעות רעיונית לשני שלבים אלו נותן הרב אברהם סתיו בספרו 'מבית לפרוכת':</w:t>
      </w:r>
    </w:p>
    <w:p w:rsidR="00C26E1A" w:rsidRDefault="00C26E1A" w:rsidP="00C26E1A">
      <w:pPr>
        <w:spacing w:line="276" w:lineRule="auto"/>
        <w:ind w:left="720"/>
        <w:rPr>
          <w:sz w:val="24"/>
          <w:szCs w:val="24"/>
          <w:rtl/>
        </w:rPr>
      </w:pPr>
      <w:r w:rsidRPr="006E588E">
        <w:rPr>
          <w:sz w:val="24"/>
          <w:szCs w:val="24"/>
          <w:rtl/>
        </w:rPr>
        <w:t>מהי משמעותם של שלבים אלו</w:t>
      </w:r>
      <w:r>
        <w:rPr>
          <w:rFonts w:hint="cs"/>
          <w:sz w:val="24"/>
          <w:szCs w:val="24"/>
          <w:rtl/>
        </w:rPr>
        <w:t>?</w:t>
      </w:r>
      <w:r w:rsidRPr="006E588E">
        <w:rPr>
          <w:sz w:val="24"/>
          <w:szCs w:val="24"/>
          <w:rtl/>
        </w:rPr>
        <w:t xml:space="preserve"> נראה שהשלב הראשון של השילוח הוא השלב שבו האדם מרחיק מעליו את החטא</w:t>
      </w:r>
      <w:r>
        <w:rPr>
          <w:rFonts w:hint="cs"/>
          <w:sz w:val="24"/>
          <w:szCs w:val="24"/>
          <w:rtl/>
        </w:rPr>
        <w:t xml:space="preserve">... </w:t>
      </w:r>
      <w:r w:rsidRPr="006E588E">
        <w:rPr>
          <w:sz w:val="24"/>
          <w:szCs w:val="24"/>
          <w:rtl/>
        </w:rPr>
        <w:t>שלב העזיבה של החטא</w:t>
      </w:r>
      <w:r>
        <w:rPr>
          <w:rFonts w:hint="cs"/>
          <w:sz w:val="24"/>
          <w:szCs w:val="24"/>
          <w:rtl/>
        </w:rPr>
        <w:t>,</w:t>
      </w:r>
      <w:r w:rsidRPr="006E588E">
        <w:rPr>
          <w:sz w:val="24"/>
          <w:szCs w:val="24"/>
          <w:rtl/>
        </w:rPr>
        <w:t xml:space="preserve"> שבירת הפ</w:t>
      </w:r>
      <w:r>
        <w:rPr>
          <w:rFonts w:hint="cs"/>
          <w:sz w:val="24"/>
          <w:szCs w:val="24"/>
          <w:rtl/>
        </w:rPr>
        <w:t>סי</w:t>
      </w:r>
      <w:r w:rsidRPr="006E588E">
        <w:rPr>
          <w:sz w:val="24"/>
          <w:szCs w:val="24"/>
          <w:rtl/>
        </w:rPr>
        <w:t>פסין</w:t>
      </w:r>
      <w:r>
        <w:rPr>
          <w:rFonts w:hint="cs"/>
          <w:sz w:val="24"/>
          <w:szCs w:val="24"/>
          <w:rtl/>
        </w:rPr>
        <w:t xml:space="preserve"> (</w:t>
      </w:r>
      <w:r w:rsidRPr="006E588E">
        <w:rPr>
          <w:sz w:val="24"/>
          <w:szCs w:val="24"/>
          <w:rtl/>
        </w:rPr>
        <w:t>אביזרי הימורים</w:t>
      </w:r>
      <w:r>
        <w:rPr>
          <w:rFonts w:hint="cs"/>
          <w:sz w:val="24"/>
          <w:szCs w:val="24"/>
          <w:rtl/>
        </w:rPr>
        <w:t>),</w:t>
      </w:r>
      <w:r w:rsidRPr="006E588E">
        <w:rPr>
          <w:sz w:val="24"/>
          <w:szCs w:val="24"/>
          <w:rtl/>
        </w:rPr>
        <w:t xml:space="preserve"> איננו מעכב אמנם את הכפרה אך הוא מהווה חלק מעבודת היום</w:t>
      </w:r>
      <w:r>
        <w:rPr>
          <w:rFonts w:hint="cs"/>
          <w:sz w:val="24"/>
          <w:szCs w:val="24"/>
          <w:rtl/>
        </w:rPr>
        <w:t>.</w:t>
      </w:r>
      <w:r w:rsidRPr="006E588E">
        <w:rPr>
          <w:sz w:val="24"/>
          <w:szCs w:val="24"/>
          <w:rtl/>
        </w:rPr>
        <w:t xml:space="preserve"> שלב זה מתרחש בליווי צמוד של יקירי ירושלים </w:t>
      </w:r>
      <w:r>
        <w:rPr>
          <w:rFonts w:hint="cs"/>
          <w:sz w:val="24"/>
          <w:szCs w:val="24"/>
          <w:rtl/>
        </w:rPr>
        <w:t xml:space="preserve">(סו:) </w:t>
      </w:r>
      <w:r w:rsidRPr="006E588E">
        <w:rPr>
          <w:sz w:val="24"/>
          <w:szCs w:val="24"/>
          <w:rtl/>
        </w:rPr>
        <w:t>המשתתפים בשילוח</w:t>
      </w:r>
      <w:r>
        <w:rPr>
          <w:rFonts w:hint="cs"/>
          <w:sz w:val="24"/>
          <w:szCs w:val="24"/>
          <w:rtl/>
        </w:rPr>
        <w:t>.</w:t>
      </w:r>
      <w:r w:rsidRPr="006E588E">
        <w:rPr>
          <w:sz w:val="24"/>
          <w:szCs w:val="24"/>
          <w:rtl/>
        </w:rPr>
        <w:t xml:space="preserve"> לעומת זאת</w:t>
      </w:r>
      <w:r>
        <w:rPr>
          <w:rFonts w:hint="cs"/>
          <w:sz w:val="24"/>
          <w:szCs w:val="24"/>
          <w:rtl/>
        </w:rPr>
        <w:t>,</w:t>
      </w:r>
      <w:r w:rsidRPr="006E588E">
        <w:rPr>
          <w:sz w:val="24"/>
          <w:szCs w:val="24"/>
          <w:rtl/>
        </w:rPr>
        <w:t xml:space="preserve"> השלב של הבאת השעיר אל הצוק ודחייתו איננו קשור ב</w:t>
      </w:r>
      <w:r>
        <w:rPr>
          <w:rFonts w:hint="cs"/>
          <w:sz w:val="24"/>
          <w:szCs w:val="24"/>
          <w:rtl/>
        </w:rPr>
        <w:t>כ</w:t>
      </w:r>
      <w:r w:rsidRPr="006E588E">
        <w:rPr>
          <w:sz w:val="24"/>
          <w:szCs w:val="24"/>
          <w:rtl/>
        </w:rPr>
        <w:t>לל לעם ישראל</w:t>
      </w:r>
      <w:r>
        <w:rPr>
          <w:rFonts w:hint="cs"/>
          <w:sz w:val="24"/>
          <w:szCs w:val="24"/>
          <w:rtl/>
        </w:rPr>
        <w:t>.</w:t>
      </w:r>
      <w:r w:rsidRPr="006E588E">
        <w:rPr>
          <w:sz w:val="24"/>
          <w:szCs w:val="24"/>
          <w:rtl/>
        </w:rPr>
        <w:t xml:space="preserve"> שלב זה שהוגדר על ידי הגרי"ד </w:t>
      </w:r>
      <w:r>
        <w:rPr>
          <w:rFonts w:hint="cs"/>
          <w:sz w:val="24"/>
          <w:szCs w:val="24"/>
          <w:rtl/>
        </w:rPr>
        <w:t>כ</w:t>
      </w:r>
      <w:r w:rsidRPr="006E588E">
        <w:rPr>
          <w:sz w:val="24"/>
          <w:szCs w:val="24"/>
          <w:rtl/>
        </w:rPr>
        <w:t>דין ב</w:t>
      </w:r>
      <w:r>
        <w:rPr>
          <w:rFonts w:hint="cs"/>
          <w:sz w:val="24"/>
          <w:szCs w:val="24"/>
          <w:rtl/>
        </w:rPr>
        <w:t>"</w:t>
      </w:r>
      <w:r w:rsidRPr="006E588E">
        <w:rPr>
          <w:sz w:val="24"/>
          <w:szCs w:val="24"/>
          <w:rtl/>
        </w:rPr>
        <w:t>חפצא</w:t>
      </w:r>
      <w:r>
        <w:rPr>
          <w:rFonts w:hint="cs"/>
          <w:sz w:val="24"/>
          <w:szCs w:val="24"/>
          <w:rtl/>
        </w:rPr>
        <w:t>"</w:t>
      </w:r>
      <w:r w:rsidRPr="006E588E">
        <w:rPr>
          <w:sz w:val="24"/>
          <w:szCs w:val="24"/>
          <w:rtl/>
        </w:rPr>
        <w:t xml:space="preserve"> של השעיר</w:t>
      </w:r>
      <w:r>
        <w:rPr>
          <w:rFonts w:hint="cs"/>
          <w:sz w:val="24"/>
          <w:szCs w:val="24"/>
          <w:rtl/>
        </w:rPr>
        <w:t>,</w:t>
      </w:r>
      <w:r w:rsidRPr="006E588E">
        <w:rPr>
          <w:sz w:val="24"/>
          <w:szCs w:val="24"/>
          <w:rtl/>
        </w:rPr>
        <w:t xml:space="preserve"> עניינו התמודדות עם החטא והרוע עצמם</w:t>
      </w:r>
      <w:r>
        <w:rPr>
          <w:rFonts w:hint="cs"/>
          <w:sz w:val="24"/>
          <w:szCs w:val="24"/>
          <w:rtl/>
        </w:rPr>
        <w:t>,</w:t>
      </w:r>
      <w:r w:rsidRPr="006E588E">
        <w:rPr>
          <w:sz w:val="24"/>
          <w:szCs w:val="24"/>
          <w:rtl/>
        </w:rPr>
        <w:t xml:space="preserve"> בלי קשר להשפעתם על האדם</w:t>
      </w:r>
      <w:r>
        <w:rPr>
          <w:rFonts w:hint="cs"/>
          <w:sz w:val="24"/>
          <w:szCs w:val="24"/>
          <w:rtl/>
        </w:rPr>
        <w:t>.</w:t>
      </w:r>
    </w:p>
    <w:p w:rsidR="00C26E1A" w:rsidRPr="00AB638A" w:rsidRDefault="00C26E1A" w:rsidP="00C26E1A">
      <w:pPr>
        <w:spacing w:line="276" w:lineRule="auto"/>
        <w:ind w:left="720"/>
        <w:jc w:val="right"/>
        <w:rPr>
          <w:sz w:val="20"/>
          <w:szCs w:val="20"/>
          <w:rtl/>
        </w:rPr>
      </w:pPr>
      <w:r>
        <w:rPr>
          <w:rFonts w:hint="cs"/>
          <w:sz w:val="20"/>
          <w:szCs w:val="20"/>
          <w:rtl/>
        </w:rPr>
        <w:t>[מבית לפרוכת עמ' 304-305]</w:t>
      </w:r>
    </w:p>
    <w:p w:rsidR="00C26E1A" w:rsidRDefault="00C26E1A" w:rsidP="00C26E1A">
      <w:pPr>
        <w:spacing w:line="276" w:lineRule="auto"/>
        <w:rPr>
          <w:sz w:val="24"/>
          <w:szCs w:val="24"/>
          <w:rtl/>
        </w:rPr>
      </w:pPr>
    </w:p>
    <w:p w:rsidR="00C26E1A" w:rsidRDefault="00C26E1A" w:rsidP="00C26E1A">
      <w:pPr>
        <w:spacing w:line="276" w:lineRule="auto"/>
        <w:rPr>
          <w:sz w:val="20"/>
          <w:szCs w:val="20"/>
          <w:rtl/>
        </w:rPr>
      </w:pPr>
      <w:r>
        <w:rPr>
          <w:sz w:val="24"/>
          <w:szCs w:val="24"/>
          <w:rtl/>
        </w:rPr>
        <w:t xml:space="preserve">בשיעור הבא נעסוק בעז"ה </w:t>
      </w:r>
      <w:r>
        <w:rPr>
          <w:rFonts w:hint="cs"/>
          <w:sz w:val="24"/>
          <w:szCs w:val="24"/>
          <w:rtl/>
        </w:rPr>
        <w:t>בדין הוידוי</w:t>
      </w:r>
      <w:r>
        <w:rPr>
          <w:sz w:val="24"/>
          <w:szCs w:val="24"/>
          <w:rtl/>
        </w:rPr>
        <w:t>.</w:t>
      </w:r>
    </w:p>
    <w:p w:rsidR="00C26E1A" w:rsidRDefault="00C26E1A" w:rsidP="00C26E1A">
      <w:pPr>
        <w:spacing w:line="276" w:lineRule="auto"/>
        <w:ind w:firstLine="266"/>
        <w:jc w:val="right"/>
        <w:rPr>
          <w:sz w:val="24"/>
          <w:szCs w:val="24"/>
          <w:rtl/>
        </w:rPr>
      </w:pPr>
      <w:r>
        <w:rPr>
          <w:sz w:val="24"/>
          <w:szCs w:val="24"/>
          <w:u w:val="single"/>
          <w:rtl/>
        </w:rPr>
        <w:t>להערות ולתגובות</w:t>
      </w:r>
      <w:r>
        <w:rPr>
          <w:sz w:val="24"/>
          <w:szCs w:val="24"/>
          <w:rtl/>
        </w:rPr>
        <w:t>: איציק וולטרס</w:t>
      </w:r>
    </w:p>
    <w:p w:rsidR="00C26E1A" w:rsidRDefault="00C26E1A" w:rsidP="00C26E1A">
      <w:pPr>
        <w:spacing w:line="276" w:lineRule="auto"/>
        <w:ind w:firstLine="227"/>
        <w:jc w:val="right"/>
        <w:rPr>
          <w:rtl/>
        </w:rPr>
      </w:pPr>
      <w:hyperlink r:id="rId24" w:history="1">
        <w:r>
          <w:rPr>
            <w:rStyle w:val="Hyperlink"/>
            <w:sz w:val="24"/>
            <w:szCs w:val="24"/>
          </w:rPr>
          <w:t>Itzikw7@gmail.com</w:t>
        </w:r>
      </w:hyperlink>
    </w:p>
    <w:p w:rsidR="00C26E1A" w:rsidRDefault="00C26E1A" w:rsidP="00C26E1A">
      <w:pPr>
        <w:spacing w:before="120" w:after="120" w:line="276" w:lineRule="auto"/>
        <w:jc w:val="center"/>
        <w:rPr>
          <w:rFonts w:hint="cs"/>
          <w:color w:val="525252" w:themeColor="accent3" w:themeShade="80"/>
          <w:sz w:val="32"/>
          <w:szCs w:val="32"/>
        </w:rPr>
      </w:pPr>
    </w:p>
    <w:p w:rsidR="00C26E1A" w:rsidRDefault="00C26E1A">
      <w:pPr>
        <w:spacing w:after="0" w:line="240" w:lineRule="auto"/>
        <w:rPr>
          <w:color w:val="525252" w:themeColor="accent3" w:themeShade="80"/>
          <w:sz w:val="32"/>
          <w:szCs w:val="32"/>
          <w:rtl/>
        </w:rPr>
      </w:pPr>
      <w:r>
        <w:rPr>
          <w:color w:val="525252" w:themeColor="accent3" w:themeShade="80"/>
          <w:sz w:val="32"/>
          <w:szCs w:val="32"/>
          <w:rtl/>
        </w:rPr>
        <w:br w:type="page"/>
      </w:r>
    </w:p>
    <w:p w:rsidR="00C26E1A" w:rsidRPr="00F84B8E" w:rsidRDefault="00C26E1A" w:rsidP="00C26E1A">
      <w:pPr>
        <w:keepNext/>
        <w:keepLines/>
        <w:spacing w:before="240" w:after="0" w:line="276" w:lineRule="auto"/>
        <w:jc w:val="center"/>
        <w:outlineLvl w:val="0"/>
        <w:rPr>
          <w:rFonts w:asciiTheme="majorHAnsi" w:eastAsiaTheme="majorEastAsia" w:hAnsiTheme="majorHAnsi"/>
          <w:bCs/>
          <w:sz w:val="36"/>
          <w:szCs w:val="36"/>
          <w:rtl/>
        </w:rPr>
      </w:pPr>
      <w:bookmarkStart w:id="101" w:name="_Toc76719193"/>
      <w:r w:rsidRPr="00F84B8E">
        <w:rPr>
          <w:rFonts w:asciiTheme="majorHAnsi" w:eastAsiaTheme="majorEastAsia" w:hAnsiTheme="majorHAnsi" w:hint="cs"/>
          <w:bCs/>
          <w:sz w:val="40"/>
          <w:szCs w:val="40"/>
          <w:rtl/>
        </w:rPr>
        <w:lastRenderedPageBreak/>
        <w:t>יסודות יומא</w:t>
      </w:r>
      <w:bookmarkEnd w:id="101"/>
    </w:p>
    <w:p w:rsidR="00C26E1A" w:rsidRPr="00F84B8E" w:rsidRDefault="00C26E1A" w:rsidP="00C26E1A">
      <w:pPr>
        <w:keepNext/>
        <w:keepLines/>
        <w:spacing w:before="240" w:after="0" w:line="276" w:lineRule="auto"/>
        <w:jc w:val="center"/>
        <w:outlineLvl w:val="0"/>
        <w:rPr>
          <w:rFonts w:asciiTheme="majorHAnsi" w:eastAsiaTheme="majorEastAsia" w:hAnsiTheme="majorHAnsi"/>
          <w:b/>
          <w:sz w:val="32"/>
          <w:szCs w:val="32"/>
          <w:rtl/>
        </w:rPr>
      </w:pPr>
      <w:bookmarkStart w:id="102" w:name="_Toc76719194"/>
      <w:r>
        <w:rPr>
          <w:rFonts w:asciiTheme="majorHAnsi" w:eastAsiaTheme="majorEastAsia" w:hAnsiTheme="majorHAnsi" w:hint="cs"/>
          <w:b/>
          <w:sz w:val="32"/>
          <w:szCs w:val="32"/>
          <w:rtl/>
        </w:rPr>
        <w:t>שיעור שמונה</w:t>
      </w:r>
      <w:r w:rsidRPr="00F84B8E">
        <w:rPr>
          <w:rFonts w:asciiTheme="majorHAnsi" w:eastAsiaTheme="majorEastAsia" w:hAnsiTheme="majorHAnsi" w:hint="cs"/>
          <w:b/>
          <w:sz w:val="32"/>
          <w:szCs w:val="32"/>
          <w:rtl/>
        </w:rPr>
        <w:t xml:space="preserve"> עשר</w:t>
      </w:r>
      <w:bookmarkEnd w:id="102"/>
    </w:p>
    <w:p w:rsidR="00C26E1A" w:rsidRPr="00F84B8E" w:rsidRDefault="00C26E1A" w:rsidP="00C26E1A">
      <w:pPr>
        <w:keepNext/>
        <w:keepLines/>
        <w:spacing w:before="240" w:after="0" w:line="276" w:lineRule="auto"/>
        <w:jc w:val="center"/>
        <w:outlineLvl w:val="0"/>
        <w:rPr>
          <w:rFonts w:asciiTheme="majorHAnsi" w:eastAsiaTheme="majorEastAsia" w:hAnsiTheme="majorHAnsi"/>
          <w:bCs/>
          <w:sz w:val="32"/>
          <w:szCs w:val="32"/>
          <w:rtl/>
        </w:rPr>
      </w:pPr>
      <w:bookmarkStart w:id="103" w:name="_Toc76719195"/>
      <w:r w:rsidRPr="00F84B8E">
        <w:rPr>
          <w:rFonts w:asciiTheme="majorHAnsi" w:eastAsiaTheme="majorEastAsia" w:hAnsiTheme="majorHAnsi" w:hint="cs"/>
          <w:bCs/>
          <w:sz w:val="36"/>
          <w:szCs w:val="36"/>
          <w:rtl/>
        </w:rPr>
        <w:t>וידוי</w:t>
      </w:r>
      <w:bookmarkEnd w:id="103"/>
    </w:p>
    <w:p w:rsidR="00C26E1A" w:rsidRPr="00F84B8E" w:rsidRDefault="00C26E1A" w:rsidP="00C26E1A">
      <w:pPr>
        <w:spacing w:line="276" w:lineRule="auto"/>
        <w:rPr>
          <w:highlight w:val="green"/>
          <w:rtl/>
        </w:rPr>
      </w:pPr>
      <w:r w:rsidRPr="00F84B8E">
        <w:rPr>
          <w:noProof/>
          <w:highlight w:val="green"/>
          <w:rtl/>
        </w:rPr>
        <mc:AlternateContent>
          <mc:Choice Requires="wps">
            <w:drawing>
              <wp:anchor distT="0" distB="0" distL="114300" distR="114300" simplePos="0" relativeHeight="251705344" behindDoc="1" locked="0" layoutInCell="1" allowOverlap="1" wp14:anchorId="1C595A72" wp14:editId="2AEF9AE3">
                <wp:simplePos x="0" y="0"/>
                <wp:positionH relativeFrom="column">
                  <wp:posOffset>-213360</wp:posOffset>
                </wp:positionH>
                <wp:positionV relativeFrom="paragraph">
                  <wp:posOffset>163830</wp:posOffset>
                </wp:positionV>
                <wp:extent cx="5765800" cy="7254240"/>
                <wp:effectExtent l="0" t="0" r="25400" b="22860"/>
                <wp:wrapNone/>
                <wp:docPr id="29" name="מלבן 29"/>
                <wp:cNvGraphicFramePr/>
                <a:graphic xmlns:a="http://schemas.openxmlformats.org/drawingml/2006/main">
                  <a:graphicData uri="http://schemas.microsoft.com/office/word/2010/wordprocessingShape">
                    <wps:wsp>
                      <wps:cNvSpPr/>
                      <wps:spPr>
                        <a:xfrm>
                          <a:off x="0" y="0"/>
                          <a:ext cx="5765800" cy="72542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A0C83" id="מלבן 29" o:spid="_x0000_s1026" style="position:absolute;left:0;text-align:left;margin-left:-16.8pt;margin-top:12.9pt;width:454pt;height:571.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5PiAIAAAMFAAAOAAAAZHJzL2Uyb0RvYy54bWysVMtuGjEU3VfqP1jeNwNoCMkoQ4SIqCpF&#10;SaSkytp4PMxIftU2DPQvuq/az+J3emwm5NGsqrIwvg/fx7nnzsXlVkmyEc63Rpd0eDKgRGhuqlav&#10;Svr1YfHpjBIfmK6YNFqUdCc8vZx+/HDR2UKMTGNkJRxBEO2Lzpa0CcEWWeZ5IxTzJ8YKDWNtnGIB&#10;oltllWMdoiuZjQaD06wzrrLOcOE9tFcHI52m+HUteLitay8CkSVFbSGdLp3LeGbTC1asHLNNy/sy&#10;2D9UoVirkfQY6ooFRtau/SuUarkz3tThhBuVmbpuuUg9oJvh4E039w2zIvUCcLw9wuT/X1h+s7lz&#10;pK1KOjqnRDOFGe1/7X/uf+x/E6iAT2d9Abd7e+d6yeMam93WTsV/tEG2CdPdEVOxDYRDOZ6cjs8G&#10;gJ7DNhmN81GeUM+en1vnw2dhFImXkjoMLWHJNtc+ICVcn1xiNm9kWy1aKZOw83PpyIZhvqBFZTpK&#10;JPMBypIu0i/2gBCvnklNOtD1fDCOlTEQr5Ys4KosoPB6RQmTKzCaB5dqefXau9XymDXPJ6N5/l6S&#10;WPQV882huhQhurFCtQGkl60qKaDBr38tdbSKRNu+9Qj+Ae54W5pqh3E5c+Cxt3zRIsk1Gr5jDsRF&#10;N1jGcIujlgYtmv5GSWPc9/f00R98gpWSDouA9r+tmRPA8YsG086HOSZGQhLy8WQEwb20LF9a9FrN&#10;DWYxxNpbnq7RP8gnbe2MesTOzmJWmJjmyH0Auhfm4bCg2HouZrPkhm2xLFzre8tj8IhThPdh+8ic&#10;7YkTwLkb87Q0rHjDn4NvfKnNbB1M3SZyPeMKmkQBm5YI038V4iq/lJPX87dr+gcAAP//AwBQSwME&#10;FAAGAAgAAAAhAITmJkbhAAAACwEAAA8AAABkcnMvZG93bnJldi54bWxMj8FOwzAQRO9I/IO1SNxa&#10;O2lJoxCnokgIOBTRFnF2E+NE2OsQu034e5YTHFf7NPOmXE/OsrMeQudRQjIXwDTWvunQSHg7PMxy&#10;YCEqbJT1qCV86wDr6vKiVEXjR9zp8z4aRiEYCiWhjbEvOA91q50Kc99rpN+HH5yKdA6GN4MaKdxZ&#10;ngqRcac6pIZW9fq+1fXn/uQkPG/M1/uTSXaZs6/jBh/Fy9YLKa+vprtbYFFP8Q+GX31Sh4qcjv6E&#10;TWBWwmyxyAiVkN7QBALy1XIJ7EhkkuUp8Krk/zdUPwAAAP//AwBQSwECLQAUAAYACAAAACEAtoM4&#10;kv4AAADhAQAAEwAAAAAAAAAAAAAAAAAAAAAAW0NvbnRlbnRfVHlwZXNdLnhtbFBLAQItABQABgAI&#10;AAAAIQA4/SH/1gAAAJQBAAALAAAAAAAAAAAAAAAAAC8BAABfcmVscy8ucmVsc1BLAQItABQABgAI&#10;AAAAIQCLB75PiAIAAAMFAAAOAAAAAAAAAAAAAAAAAC4CAABkcnMvZTJvRG9jLnhtbFBLAQItABQA&#10;BgAIAAAAIQCE5iZG4QAAAAsBAAAPAAAAAAAAAAAAAAAAAOIEAABkcnMvZG93bnJldi54bWxQSwUG&#10;AAAAAAQABADzAAAA8AUAAAAA&#10;" fillcolor="window" strokecolor="#4472c4" strokeweight="1.5pt"/>
            </w:pict>
          </mc:Fallback>
        </mc:AlternateContent>
      </w:r>
    </w:p>
    <w:p w:rsidR="00C26E1A" w:rsidRPr="00C16366" w:rsidRDefault="00C26E1A" w:rsidP="00C26E1A">
      <w:pPr>
        <w:spacing w:line="276" w:lineRule="auto"/>
        <w:jc w:val="center"/>
        <w:rPr>
          <w:b/>
          <w:bCs/>
          <w:sz w:val="24"/>
          <w:szCs w:val="24"/>
          <w:rtl/>
        </w:rPr>
      </w:pPr>
      <w:r w:rsidRPr="00C16366">
        <w:rPr>
          <w:rFonts w:hint="cs"/>
          <w:b/>
          <w:bCs/>
          <w:sz w:val="24"/>
          <w:szCs w:val="24"/>
          <w:rtl/>
        </w:rPr>
        <w:t>מקורות</w:t>
      </w:r>
    </w:p>
    <w:p w:rsidR="00C26E1A" w:rsidRDefault="00C26E1A" w:rsidP="00C26E1A">
      <w:pPr>
        <w:spacing w:line="276" w:lineRule="auto"/>
        <w:rPr>
          <w:sz w:val="24"/>
          <w:szCs w:val="24"/>
          <w:rtl/>
        </w:rPr>
      </w:pPr>
      <w:r w:rsidRPr="006A03B3">
        <w:rPr>
          <w:rFonts w:hint="cs"/>
          <w:sz w:val="24"/>
          <w:szCs w:val="24"/>
          <w:rtl/>
        </w:rPr>
        <w:t xml:space="preserve">א. </w:t>
      </w:r>
      <w:r>
        <w:rPr>
          <w:rFonts w:hint="cs"/>
          <w:sz w:val="24"/>
          <w:szCs w:val="24"/>
          <w:rtl/>
        </w:rPr>
        <w:t>ויקרא פרק טז פס' כא-כב</w:t>
      </w:r>
    </w:p>
    <w:p w:rsidR="00C26E1A" w:rsidRDefault="00C26E1A" w:rsidP="00C26E1A">
      <w:pPr>
        <w:spacing w:line="276" w:lineRule="auto"/>
        <w:rPr>
          <w:sz w:val="24"/>
          <w:szCs w:val="24"/>
          <w:rtl/>
        </w:rPr>
      </w:pPr>
      <w:r>
        <w:rPr>
          <w:rFonts w:hint="cs"/>
          <w:sz w:val="24"/>
          <w:szCs w:val="24"/>
          <w:rtl/>
        </w:rPr>
        <w:t>ב. ספרא דיבורא דחובה פרשתא י הל' א-ב</w:t>
      </w:r>
    </w:p>
    <w:p w:rsidR="00C26E1A" w:rsidRDefault="00C26E1A" w:rsidP="00C26E1A">
      <w:pPr>
        <w:spacing w:line="276" w:lineRule="auto"/>
        <w:rPr>
          <w:sz w:val="24"/>
          <w:szCs w:val="24"/>
          <w:rtl/>
        </w:rPr>
      </w:pPr>
      <w:r>
        <w:rPr>
          <w:rFonts w:hint="cs"/>
          <w:sz w:val="24"/>
          <w:szCs w:val="24"/>
          <w:rtl/>
        </w:rPr>
        <w:t>ג. גמ' יומא לו. "כיצד סומך... שניתק לעשה"; תוס' ר"י הזקן יומא ה. ד"ה כאילו; רמב"ם הל' מעשה הקרבנות פ"ג הט"ו</w:t>
      </w:r>
    </w:p>
    <w:p w:rsidR="00C26E1A" w:rsidRDefault="00C26E1A" w:rsidP="00C26E1A">
      <w:pPr>
        <w:spacing w:line="276" w:lineRule="auto"/>
        <w:rPr>
          <w:sz w:val="24"/>
          <w:szCs w:val="24"/>
          <w:rtl/>
        </w:rPr>
      </w:pPr>
      <w:r>
        <w:rPr>
          <w:rFonts w:hint="cs"/>
          <w:sz w:val="24"/>
          <w:szCs w:val="24"/>
          <w:rtl/>
        </w:rPr>
        <w:t>ד. גמ' יומא מ: "יעמד חי... הכתוב מדבר"; [לו:-לז. "תנו רבנן וכפר... קשיא"]</w:t>
      </w:r>
    </w:p>
    <w:p w:rsidR="00C26E1A" w:rsidRDefault="00C26E1A" w:rsidP="00C26E1A">
      <w:pPr>
        <w:spacing w:line="276" w:lineRule="auto"/>
        <w:rPr>
          <w:sz w:val="24"/>
          <w:szCs w:val="24"/>
          <w:rtl/>
        </w:rPr>
      </w:pPr>
      <w:r>
        <w:rPr>
          <w:rFonts w:hint="cs"/>
          <w:sz w:val="24"/>
          <w:szCs w:val="24"/>
          <w:rtl/>
        </w:rPr>
        <w:t>ה. גמ' מנחות צב. "מתני'... מתכפרין בו"</w:t>
      </w:r>
    </w:p>
    <w:p w:rsidR="00C26E1A" w:rsidRDefault="00C26E1A" w:rsidP="00C26E1A">
      <w:pPr>
        <w:spacing w:line="276" w:lineRule="auto"/>
        <w:rPr>
          <w:sz w:val="24"/>
          <w:szCs w:val="24"/>
          <w:rtl/>
        </w:rPr>
      </w:pPr>
      <w:r>
        <w:rPr>
          <w:rFonts w:hint="cs"/>
          <w:sz w:val="24"/>
          <w:szCs w:val="24"/>
          <w:rtl/>
        </w:rPr>
        <w:t>ו. חזון יחזקאל מנחות פ"י ה"ג ד"ה אמר לו</w:t>
      </w:r>
    </w:p>
    <w:p w:rsidR="00C26E1A" w:rsidRDefault="00C26E1A" w:rsidP="00C26E1A">
      <w:pPr>
        <w:spacing w:line="276" w:lineRule="auto"/>
        <w:rPr>
          <w:sz w:val="24"/>
          <w:szCs w:val="24"/>
          <w:rtl/>
        </w:rPr>
      </w:pPr>
      <w:r>
        <w:rPr>
          <w:rFonts w:hint="cs"/>
          <w:sz w:val="24"/>
          <w:szCs w:val="24"/>
          <w:rtl/>
        </w:rPr>
        <w:t>ז. יראים סי' רסג</w:t>
      </w:r>
    </w:p>
    <w:p w:rsidR="00C26E1A" w:rsidRPr="00C16366" w:rsidRDefault="00C26E1A" w:rsidP="00C26E1A">
      <w:pPr>
        <w:spacing w:line="276" w:lineRule="auto"/>
        <w:rPr>
          <w:sz w:val="24"/>
          <w:szCs w:val="24"/>
          <w:rtl/>
        </w:rPr>
      </w:pPr>
    </w:p>
    <w:p w:rsidR="00C26E1A" w:rsidRPr="006A03B3"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ספרא דיבורא דחובה פרשתא י הל' א-ב</w:t>
      </w:r>
    </w:p>
    <w:p w:rsidR="00C26E1A" w:rsidRPr="006A03B3" w:rsidRDefault="00C26E1A" w:rsidP="00C26E1A">
      <w:pPr>
        <w:spacing w:line="276" w:lineRule="auto"/>
        <w:rPr>
          <w:rFonts w:ascii="FrankRuehl" w:hAnsi="FrankRuehl" w:cs="FrankRuehl"/>
          <w:sz w:val="24"/>
          <w:szCs w:val="24"/>
          <w:rtl/>
        </w:rPr>
      </w:pPr>
      <w:r w:rsidRPr="006A03B3">
        <w:rPr>
          <w:rFonts w:ascii="FrankRuehl" w:hAnsi="FrankRuehl" w:cs="FrankRuehl"/>
          <w:sz w:val="24"/>
          <w:szCs w:val="24"/>
          <w:rtl/>
        </w:rPr>
        <w:t>מנין שהוא טעון וידוי? תלמוד לומר 'והתודה'. ומנין שוידויו על חי? נאמר כאן וידוי ונאמר להלן וידוי – מה וידוי שנאמר להלן וידויו על חי, אף וידוי שנאמר כאן וידויו על חי. מנין שהוא טעון סמיכה? תלמוד לומר 'עליה', ולהלן נאמר 'עליו' – מה עליו אמור להלן טעון סמיכה, אף עליה אמור כאן תיטען סמיכה.</w:t>
      </w:r>
      <w:r w:rsidRPr="006A03B3">
        <w:rPr>
          <w:rFonts w:ascii="FrankRuehl" w:hAnsi="FrankRuehl" w:cs="FrankRuehl"/>
          <w:sz w:val="24"/>
          <w:szCs w:val="24"/>
          <w:rtl/>
        </w:rPr>
        <w:tab/>
      </w:r>
    </w:p>
    <w:p w:rsidR="00C26E1A" w:rsidRDefault="00C26E1A" w:rsidP="00C26E1A">
      <w:pPr>
        <w:spacing w:line="276" w:lineRule="auto"/>
        <w:rPr>
          <w:rFonts w:ascii="FrankRuehl" w:hAnsi="FrankRuehl" w:cs="FrankRuehl"/>
          <w:b/>
          <w:bCs/>
          <w:sz w:val="24"/>
          <w:szCs w:val="24"/>
          <w:rtl/>
        </w:rPr>
      </w:pPr>
    </w:p>
    <w:p w:rsidR="00C26E1A" w:rsidRPr="00C16366" w:rsidRDefault="00C26E1A" w:rsidP="00C26E1A">
      <w:pPr>
        <w:spacing w:line="276" w:lineRule="auto"/>
        <w:rPr>
          <w:rFonts w:ascii="FrankRuehl" w:hAnsi="FrankRuehl" w:cs="FrankRuehl"/>
          <w:b/>
          <w:bCs/>
          <w:sz w:val="24"/>
          <w:szCs w:val="24"/>
          <w:rtl/>
        </w:rPr>
      </w:pPr>
      <w:r w:rsidRPr="00C16366">
        <w:rPr>
          <w:rFonts w:ascii="FrankRuehl" w:hAnsi="FrankRuehl" w:cs="FrankRuehl" w:hint="cs"/>
          <w:b/>
          <w:bCs/>
          <w:sz w:val="24"/>
          <w:szCs w:val="24"/>
          <w:rtl/>
        </w:rPr>
        <w:t>תוספות ר"י הלבן יומא ה: ד"ה כאילו</w:t>
      </w:r>
    </w:p>
    <w:p w:rsidR="00C26E1A" w:rsidRDefault="00C26E1A" w:rsidP="00C26E1A">
      <w:pPr>
        <w:spacing w:line="276" w:lineRule="auto"/>
        <w:rPr>
          <w:rFonts w:ascii="FrankRuehl" w:hAnsi="FrankRuehl" w:cs="FrankRuehl"/>
          <w:sz w:val="24"/>
          <w:szCs w:val="24"/>
          <w:rtl/>
        </w:rPr>
      </w:pPr>
      <w:r w:rsidRPr="00C16366">
        <w:rPr>
          <w:rFonts w:ascii="FrankRuehl" w:hAnsi="FrankRuehl" w:cs="FrankRuehl" w:hint="cs"/>
          <w:sz w:val="24"/>
          <w:szCs w:val="24"/>
          <w:rtl/>
        </w:rPr>
        <w:t>וסמיכה היינו וידוי, שהיו מתוודים בשעת סמיכה על חטאת עון חטאת ועל אשם עון אשם ועל עולה עון לקט שכחה ופיאה ומעשר עני... אבל על שלמים לא הוה ידע רבי מה היו מתוודין. ונראה דעל שלמים היו מתוודין כמו על העולה, למר כדאית ולמר כדאית ליה.</w:t>
      </w:r>
    </w:p>
    <w:p w:rsidR="00C26E1A" w:rsidRDefault="00C26E1A" w:rsidP="00C26E1A">
      <w:pPr>
        <w:spacing w:line="276" w:lineRule="auto"/>
        <w:rPr>
          <w:rFonts w:ascii="FrankRuehl" w:hAnsi="FrankRuehl" w:cs="FrankRuehl"/>
          <w:sz w:val="24"/>
          <w:szCs w:val="24"/>
          <w:rtl/>
        </w:rPr>
      </w:pPr>
    </w:p>
    <w:p w:rsidR="00C26E1A"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חזון יחזקאל מנחות פ"י ה"ג ד"ה אמר לו</w:t>
      </w:r>
    </w:p>
    <w:p w:rsidR="00C26E1A" w:rsidRDefault="00C26E1A" w:rsidP="00C26E1A">
      <w:pPr>
        <w:spacing w:line="276" w:lineRule="auto"/>
        <w:rPr>
          <w:rFonts w:ascii="FrankRuehl" w:hAnsi="FrankRuehl" w:cs="FrankRuehl"/>
          <w:sz w:val="24"/>
          <w:szCs w:val="24"/>
          <w:rtl/>
        </w:rPr>
      </w:pPr>
      <w:r>
        <w:rPr>
          <w:rFonts w:ascii="FrankRuehl" w:hAnsi="FrankRuehl" w:cs="FrankRuehl" w:hint="cs"/>
          <w:sz w:val="24"/>
          <w:szCs w:val="24"/>
          <w:rtl/>
        </w:rPr>
        <w:t xml:space="preserve">אמר לו רבי שמעון והלא אין סמיכה בבעלים, שעיר המשתלח סומכין עליו אהרן ובניו - וכיון שאהרן או כהן גדול אחר המשמש תחתיו סומך, אין זה סמיכה בבעלים ואינו בכלל שתי סמיכות דגמירי בצבור. ולרבי שמעון הסמיכה בשעיר המשתלח היא מדין עבודת הכהן הגדול בקרבן השעיר המשתלח. ורבי יהודה סובר כי אף הכהן הגדול מתכפר בשעיר המשתלח וסמיכתו הוה סמיכה בבעלים, ודינה כדין שאר סמיכה. </w:t>
      </w:r>
      <w:r w:rsidRPr="00513D85">
        <w:rPr>
          <w:rFonts w:ascii="FrankRuehl" w:hAnsi="FrankRuehl" w:cs="FrankRuehl"/>
          <w:sz w:val="24"/>
          <w:szCs w:val="24"/>
          <w:rtl/>
        </w:rPr>
        <w:t>ואולי אזלי רבי יהודה ורבי שמעון לטעמייהו דהכא בפלוגתתם בתוספתא יומא (פ"ג הלכה ז'), ר' יהודה סובר שם שהודוי על שעיר המשתלח אינו מעכב, משום שלדידיה הסמיכה והודוי בשעיר המשתלח הוא כודוי שבכל קרבן חטאת שמתודה בשעת סמיכתו (כדקתני לקמן) ואינו מעכב, והוא הדין הכא נמי לא מעכב. ורבי שמעון שסובר הכא שהסמיכה בשעיר המשתלח אינה מדין סמיכה בעלמא, אך הסמיכה בשעיר המשתלח היא מדין עבודת הכהן הגדול בקרבן השעיר המשתלח, ולדידיה הסמיכה והודוי מעכב.</w:t>
      </w:r>
    </w:p>
    <w:p w:rsidR="00C26E1A" w:rsidRDefault="00C26E1A" w:rsidP="00C26E1A">
      <w:pPr>
        <w:spacing w:line="276" w:lineRule="auto"/>
        <w:rPr>
          <w:rFonts w:ascii="FrankRuehl" w:hAnsi="FrankRuehl" w:cs="FrankRuehl"/>
          <w:sz w:val="24"/>
          <w:szCs w:val="24"/>
          <w:rtl/>
        </w:rPr>
      </w:pPr>
    </w:p>
    <w:p w:rsidR="00782FFD" w:rsidRDefault="00782FFD" w:rsidP="00C26E1A">
      <w:pPr>
        <w:spacing w:line="276" w:lineRule="auto"/>
        <w:rPr>
          <w:rFonts w:ascii="FrankRuehl" w:hAnsi="FrankRuehl" w:cs="FrankRuehl"/>
          <w:b/>
          <w:bCs/>
          <w:sz w:val="24"/>
          <w:szCs w:val="24"/>
          <w:rtl/>
        </w:rPr>
      </w:pPr>
    </w:p>
    <w:p w:rsidR="00C26E1A" w:rsidRDefault="00C26E1A" w:rsidP="00C26E1A">
      <w:pPr>
        <w:spacing w:line="276" w:lineRule="auto"/>
        <w:rPr>
          <w:rFonts w:ascii="FrankRuehl" w:hAnsi="FrankRuehl" w:cs="FrankRuehl"/>
          <w:b/>
          <w:bCs/>
          <w:sz w:val="24"/>
          <w:szCs w:val="24"/>
          <w:rtl/>
        </w:rPr>
      </w:pPr>
      <w:r w:rsidRPr="00F84B8E">
        <w:rPr>
          <w:noProof/>
          <w:highlight w:val="green"/>
          <w:rtl/>
        </w:rPr>
        <w:lastRenderedPageBreak/>
        <mc:AlternateContent>
          <mc:Choice Requires="wps">
            <w:drawing>
              <wp:anchor distT="0" distB="0" distL="114300" distR="114300" simplePos="0" relativeHeight="251706368" behindDoc="1" locked="0" layoutInCell="1" allowOverlap="1" wp14:anchorId="4515B747" wp14:editId="6D24FD33">
                <wp:simplePos x="0" y="0"/>
                <wp:positionH relativeFrom="column">
                  <wp:posOffset>-228600</wp:posOffset>
                </wp:positionH>
                <wp:positionV relativeFrom="paragraph">
                  <wp:posOffset>-198120</wp:posOffset>
                </wp:positionV>
                <wp:extent cx="5765800" cy="3070860"/>
                <wp:effectExtent l="0" t="0" r="25400" b="15240"/>
                <wp:wrapNone/>
                <wp:docPr id="30" name="מלבן 30"/>
                <wp:cNvGraphicFramePr/>
                <a:graphic xmlns:a="http://schemas.openxmlformats.org/drawingml/2006/main">
                  <a:graphicData uri="http://schemas.microsoft.com/office/word/2010/wordprocessingShape">
                    <wps:wsp>
                      <wps:cNvSpPr/>
                      <wps:spPr>
                        <a:xfrm>
                          <a:off x="0" y="0"/>
                          <a:ext cx="5765800" cy="307086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73645" id="מלבן 30" o:spid="_x0000_s1026" style="position:absolute;left:0;text-align:left;margin-left:-18pt;margin-top:-15.6pt;width:454pt;height:24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LUhwIAAAMFAAAOAAAAZHJzL2Uyb0RvYy54bWysVMtuGjEU3VfqP1jeNzMQCAnKECEiqkpR&#10;gpRUWRuPB0byq7ZhoH/RfdV+Fr/TY8+EPJpVVRbmvnwfx+fO5dVOSbIVztdGF7R3klMiNDdlrVcF&#10;/fow/3ROiQ9Ml0waLQq6F55eTT5+uGzsWPTN2shSOIIk2o8bW9B1CHacZZ6vhWL+xFih4ayMUyxA&#10;dausdKxBdiWzfp6fZY1xpXWGC+9hvW6ddJLyV5Xg4a6qvAhEFhS9hXS6dC7jmU0u2XjlmF3XvGuD&#10;/UMXitUaRY+prllgZOPqv1KpmjvjTRVOuFGZqaqaizQDpunlb6a5XzMr0iwAx9sjTP7/peW324Uj&#10;dVnQU8CjmcIbHX4dfh5+HH4TmIBPY/0YYfd24TrNQ4zD7iqn4j/GILuE6f6IqdgFwmEcjs6G5zly&#10;c/hO81F+fpayZs/XrfPhszCKRKGgDo+WsGTbGx9QEqFPIbGaN7Iu57WUSdn7mXRky/C+oEVpGkok&#10;8wHGgs7TL86AFK+uSU0a0PUiH8bOGIhXSRYgKgsovF5RwuQKjObBpV5e3fZutTxWHQxG/dngvSKx&#10;6Wvm1213KUMMY2NVB5Be1qqggAa/7rbU0SsSbbvRI/gt3FFamnKP53Km5bG3fF6jyA0GXjAH4mIa&#10;LGO4w1FJgxFNJ1GyNu77e/YYDz7BS0mDRcD43zbMCeD4RYNpF73BAGlDUgbDUR+Ke+lZvvTojZoZ&#10;vEUPa295EmN8kE/Wyhn1iJ2dxqpwMc1RuwW6U2ahXVBsPRfTaQrDtlgWbvS95TF5xCnC+7B7ZM52&#10;xAng3K15Who2fsOfNjbe1Ga6CaaqE7mecQVNooJNS4TpvgpxlV/qKer52zX5AwAA//8DAFBLAwQU&#10;AAYACAAAACEAV/7nL+EAAAALAQAADwAAAGRycy9kb3ducmV2LnhtbEyPwU7DMBBE70j8g7VI3Fo7&#10;oYQqxKkoEgIORbQgzm68OBH2OsRuE/4e9wS33Z3R7JtqNTnLjjiEzpOEbC6AITVed2QkvL89zJbA&#10;QlSklfWEEn4wwKo+P6tUqf1IWzzuomEphEKpJLQx9iXnoWnRqTD3PVLSPv3gVEzrYLge1JjCneW5&#10;EAV3qqP0oVU93rfYfO0OTsLz2nx/PJlsWzj7Oq7pUbxsvJDy8mK6uwUWcYp/ZjjhJ3SoE9PeH0gH&#10;ZiXMrorUJZ6GLAeWHMubPF32EhbX+QJ4XfH/HepfAAAA//8DAFBLAQItABQABgAIAAAAIQC2gziS&#10;/gAAAOEBAAATAAAAAAAAAAAAAAAAAAAAAABbQ29udGVudF9UeXBlc10ueG1sUEsBAi0AFAAGAAgA&#10;AAAhADj9If/WAAAAlAEAAAsAAAAAAAAAAAAAAAAALwEAAF9yZWxzLy5yZWxzUEsBAi0AFAAGAAgA&#10;AAAhAAgF4tSHAgAAAwUAAA4AAAAAAAAAAAAAAAAALgIAAGRycy9lMm9Eb2MueG1sUEsBAi0AFAAG&#10;AAgAAAAhAFf+5y/hAAAACwEAAA8AAAAAAAAAAAAAAAAA4QQAAGRycy9kb3ducmV2LnhtbFBLBQYA&#10;AAAABAAEAPMAAADvBQAAAAA=&#10;" fillcolor="window" strokecolor="#4472c4" strokeweight="1.5pt"/>
            </w:pict>
          </mc:Fallback>
        </mc:AlternateContent>
      </w:r>
      <w:r>
        <w:rPr>
          <w:rFonts w:ascii="FrankRuehl" w:hAnsi="FrankRuehl" w:cs="FrankRuehl" w:hint="cs"/>
          <w:b/>
          <w:bCs/>
          <w:sz w:val="24"/>
          <w:szCs w:val="24"/>
          <w:rtl/>
        </w:rPr>
        <w:t>יראים סי' רסג</w:t>
      </w:r>
    </w:p>
    <w:p w:rsidR="00C26E1A" w:rsidRPr="006A03B3" w:rsidRDefault="00C26E1A" w:rsidP="00C26E1A">
      <w:pPr>
        <w:spacing w:line="276" w:lineRule="auto"/>
        <w:rPr>
          <w:rFonts w:ascii="FrankRuehl" w:hAnsi="FrankRuehl" w:cs="FrankRuehl"/>
          <w:sz w:val="24"/>
          <w:szCs w:val="24"/>
          <w:rtl/>
        </w:rPr>
      </w:pPr>
      <w:r w:rsidRPr="006A03B3">
        <w:rPr>
          <w:rFonts w:ascii="FrankRuehl" w:hAnsi="FrankRuehl" w:cs="FrankRuehl"/>
          <w:sz w:val="24"/>
          <w:szCs w:val="24"/>
          <w:rtl/>
        </w:rPr>
        <w:t>וידוי יום הכפורים. צוה יוצרינו לכהן גדול שיתודה על חטאת יום הכפורים ב'</w:t>
      </w:r>
      <w:r>
        <w:rPr>
          <w:rFonts w:ascii="FrankRuehl" w:hAnsi="FrankRuehl" w:cs="FrankRuehl" w:hint="cs"/>
          <w:sz w:val="24"/>
          <w:szCs w:val="24"/>
          <w:rtl/>
        </w:rPr>
        <w:t>,</w:t>
      </w:r>
      <w:r w:rsidRPr="006A03B3">
        <w:rPr>
          <w:rFonts w:ascii="FrankRuehl" w:hAnsi="FrankRuehl" w:cs="FrankRuehl"/>
          <w:sz w:val="24"/>
          <w:szCs w:val="24"/>
          <w:rtl/>
        </w:rPr>
        <w:t xml:space="preserve"> וידויין אחד עליו ועל ביתו ועל שעיר המשתלח עון ישראל. בשעיר המשתלח בהדיא כתוב בפ' אחרי מות</w:t>
      </w:r>
      <w:r>
        <w:rPr>
          <w:rFonts w:ascii="FrankRuehl" w:hAnsi="FrankRuehl" w:cs="FrankRuehl" w:hint="cs"/>
          <w:sz w:val="24"/>
          <w:szCs w:val="24"/>
          <w:rtl/>
        </w:rPr>
        <w:t>:</w:t>
      </w:r>
      <w:r w:rsidRPr="006A03B3">
        <w:rPr>
          <w:rFonts w:ascii="FrankRuehl" w:hAnsi="FrankRuehl" w:cs="FrankRuehl"/>
          <w:sz w:val="24"/>
          <w:szCs w:val="24"/>
          <w:rtl/>
        </w:rPr>
        <w:t xml:space="preserve"> </w:t>
      </w:r>
      <w:r>
        <w:rPr>
          <w:rFonts w:ascii="FrankRuehl" w:hAnsi="FrankRuehl" w:cs="FrankRuehl" w:hint="cs"/>
          <w:sz w:val="24"/>
          <w:szCs w:val="24"/>
          <w:rtl/>
        </w:rPr>
        <w:t>'</w:t>
      </w:r>
      <w:r w:rsidRPr="006A03B3">
        <w:rPr>
          <w:rFonts w:ascii="FrankRuehl" w:hAnsi="FrankRuehl" w:cs="FrankRuehl"/>
          <w:sz w:val="24"/>
          <w:szCs w:val="24"/>
          <w:rtl/>
        </w:rPr>
        <w:t>והתודה עליו את כל עונות בני ישראל ואת כל פשעיהם לכל חטאתם</w:t>
      </w:r>
      <w:r>
        <w:rPr>
          <w:rFonts w:ascii="FrankRuehl" w:hAnsi="FrankRuehl" w:cs="FrankRuehl" w:hint="cs"/>
          <w:sz w:val="24"/>
          <w:szCs w:val="24"/>
          <w:rtl/>
        </w:rPr>
        <w:t>'</w:t>
      </w:r>
      <w:r w:rsidRPr="006A03B3">
        <w:rPr>
          <w:rFonts w:ascii="FrankRuehl" w:hAnsi="FrankRuehl" w:cs="FrankRuehl"/>
          <w:sz w:val="24"/>
          <w:szCs w:val="24"/>
          <w:rtl/>
        </w:rPr>
        <w:t>. וכבר מסקינן לה ב</w:t>
      </w:r>
      <w:r>
        <w:rPr>
          <w:rFonts w:ascii="FrankRuehl" w:hAnsi="FrankRuehl" w:cs="FrankRuehl"/>
          <w:sz w:val="24"/>
          <w:szCs w:val="24"/>
          <w:rtl/>
        </w:rPr>
        <w:t>יומא פ' אמר להם הממונה</w:t>
      </w:r>
      <w:r>
        <w:rPr>
          <w:rFonts w:ascii="FrankRuehl" w:hAnsi="FrankRuehl" w:cs="FrankRuehl" w:hint="cs"/>
          <w:sz w:val="24"/>
          <w:szCs w:val="24"/>
          <w:rtl/>
        </w:rPr>
        <w:t xml:space="preserve">, </w:t>
      </w:r>
      <w:r w:rsidRPr="006A03B3">
        <w:rPr>
          <w:rFonts w:ascii="FrankRuehl" w:hAnsi="FrankRuehl" w:cs="FrankRuehl"/>
          <w:sz w:val="24"/>
          <w:szCs w:val="24"/>
          <w:rtl/>
        </w:rPr>
        <w:t>דתנן התם</w:t>
      </w:r>
      <w:r>
        <w:rPr>
          <w:rFonts w:ascii="FrankRuehl" w:hAnsi="FrankRuehl" w:cs="FrankRuehl" w:hint="cs"/>
          <w:sz w:val="24"/>
          <w:szCs w:val="24"/>
          <w:rtl/>
        </w:rPr>
        <w:t>,</w:t>
      </w:r>
      <w:r w:rsidRPr="006A03B3">
        <w:rPr>
          <w:rFonts w:ascii="FrankRuehl" w:hAnsi="FrankRuehl" w:cs="FrankRuehl"/>
          <w:sz w:val="24"/>
          <w:szCs w:val="24"/>
          <w:rtl/>
        </w:rPr>
        <w:t xml:space="preserve"> בא לו אצל פרו ופרו [וכו'] וסמך שתי ידיו והתודה עליו את כל עונות וכך הי</w:t>
      </w:r>
      <w:r>
        <w:rPr>
          <w:rFonts w:ascii="FrankRuehl" w:hAnsi="FrankRuehl" w:cs="FrankRuehl"/>
          <w:sz w:val="24"/>
          <w:szCs w:val="24"/>
          <w:rtl/>
        </w:rPr>
        <w:t>ה אומר כו'.</w:t>
      </w:r>
      <w:r>
        <w:rPr>
          <w:rFonts w:ascii="FrankRuehl" w:hAnsi="FrankRuehl" w:cs="FrankRuehl" w:hint="cs"/>
          <w:sz w:val="24"/>
          <w:szCs w:val="24"/>
          <w:rtl/>
        </w:rPr>
        <w:t>..</w:t>
      </w:r>
      <w:r w:rsidRPr="006A03B3">
        <w:rPr>
          <w:rFonts w:ascii="FrankRuehl" w:hAnsi="FrankRuehl" w:cs="FrankRuehl"/>
          <w:sz w:val="24"/>
          <w:szCs w:val="24"/>
          <w:rtl/>
        </w:rPr>
        <w:t xml:space="preserve"> ומן התורה בכפרת דברים הכתוב מדבר</w:t>
      </w:r>
      <w:r>
        <w:rPr>
          <w:rFonts w:ascii="FrankRuehl" w:hAnsi="FrankRuehl" w:cs="FrankRuehl" w:hint="cs"/>
          <w:sz w:val="24"/>
          <w:szCs w:val="24"/>
          <w:rtl/>
        </w:rPr>
        <w:t>,</w:t>
      </w:r>
      <w:r w:rsidRPr="006A03B3">
        <w:rPr>
          <w:rFonts w:ascii="FrankRuehl" w:hAnsi="FrankRuehl" w:cs="FrankRuehl"/>
          <w:sz w:val="24"/>
          <w:szCs w:val="24"/>
          <w:rtl/>
        </w:rPr>
        <w:t xml:space="preserve"> או אינו אלא בכפרת דמים</w:t>
      </w:r>
      <w:r>
        <w:rPr>
          <w:rFonts w:ascii="FrankRuehl" w:hAnsi="FrankRuehl" w:cs="FrankRuehl" w:hint="cs"/>
          <w:sz w:val="24"/>
          <w:szCs w:val="24"/>
          <w:rtl/>
        </w:rPr>
        <w:t>,</w:t>
      </w:r>
      <w:r w:rsidRPr="006A03B3">
        <w:rPr>
          <w:rFonts w:ascii="FrankRuehl" w:hAnsi="FrankRuehl" w:cs="FrankRuehl"/>
          <w:sz w:val="24"/>
          <w:szCs w:val="24"/>
          <w:rtl/>
        </w:rPr>
        <w:t xml:space="preserve"> נאמר כאן לכפר ונאמר להלן לכפר</w:t>
      </w:r>
      <w:r>
        <w:rPr>
          <w:rFonts w:ascii="FrankRuehl" w:hAnsi="FrankRuehl" w:cs="FrankRuehl" w:hint="cs"/>
          <w:sz w:val="24"/>
          <w:szCs w:val="24"/>
          <w:rtl/>
        </w:rPr>
        <w:t>,</w:t>
      </w:r>
      <w:r w:rsidRPr="006A03B3">
        <w:rPr>
          <w:rFonts w:ascii="FrankRuehl" w:hAnsi="FrankRuehl" w:cs="FrankRuehl"/>
          <w:sz w:val="24"/>
          <w:szCs w:val="24"/>
          <w:rtl/>
        </w:rPr>
        <w:t xml:space="preserve"> מה להלן בעגלה ערופה בכפרת דברים הכתוב מדבר אף כאן בכפרת דברים. ואם נפשך לומר הרי הוא אומר והקריב וכפר ושחט ועדיין לא נשחט הפר. ומניין שבאנא נאמר כאן כפר ונאמר להלן כפר מה להלן באנא אף כאן באנא. ומניין שבשם נאמר כאן כפר ונאמר בעגלה ערופה כפר מה להלן בשם אף כאן בשם. </w:t>
      </w:r>
    </w:p>
    <w:p w:rsidR="00C26E1A" w:rsidRPr="006A03B3" w:rsidRDefault="00C26E1A" w:rsidP="00C26E1A">
      <w:pPr>
        <w:spacing w:line="276" w:lineRule="auto"/>
        <w:rPr>
          <w:rFonts w:ascii="FrankRuehl" w:hAnsi="FrankRuehl" w:cs="FrankRuehl"/>
          <w:sz w:val="24"/>
          <w:szCs w:val="24"/>
          <w:rtl/>
        </w:rPr>
      </w:pPr>
      <w:r w:rsidRPr="006A03B3">
        <w:rPr>
          <w:rFonts w:ascii="FrankRuehl" w:hAnsi="FrankRuehl" w:cs="FrankRuehl"/>
          <w:sz w:val="24"/>
          <w:szCs w:val="24"/>
          <w:rtl/>
        </w:rPr>
        <w:t>תולדה למצות עשה. צוו חכמים שכל ישראל יתודו בין איש בין אשה ביום</w:t>
      </w:r>
      <w:r>
        <w:rPr>
          <w:rFonts w:ascii="FrankRuehl" w:hAnsi="FrankRuehl" w:cs="FrankRuehl"/>
          <w:sz w:val="24"/>
          <w:szCs w:val="24"/>
          <w:rtl/>
        </w:rPr>
        <w:t xml:space="preserve"> הכפורים. כדתניא בסוף פ' יוהכ"פ</w:t>
      </w:r>
      <w:r>
        <w:rPr>
          <w:rFonts w:ascii="FrankRuehl" w:hAnsi="FrankRuehl" w:cs="FrankRuehl" w:hint="cs"/>
          <w:sz w:val="24"/>
          <w:szCs w:val="24"/>
          <w:rtl/>
        </w:rPr>
        <w:t xml:space="preserve">: </w:t>
      </w:r>
      <w:r w:rsidRPr="006A03B3">
        <w:rPr>
          <w:rFonts w:ascii="FrankRuehl" w:hAnsi="FrankRuehl" w:cs="FrankRuehl"/>
          <w:sz w:val="24"/>
          <w:szCs w:val="24"/>
          <w:rtl/>
        </w:rPr>
        <w:t>מצות וידוי יוהכ"פ עם חשיכה</w:t>
      </w:r>
      <w:r>
        <w:rPr>
          <w:rFonts w:ascii="FrankRuehl" w:hAnsi="FrankRuehl" w:cs="FrankRuehl" w:hint="cs"/>
          <w:sz w:val="24"/>
          <w:szCs w:val="24"/>
          <w:rtl/>
        </w:rPr>
        <w:t>,</w:t>
      </w:r>
      <w:r w:rsidRPr="006A03B3">
        <w:rPr>
          <w:rFonts w:ascii="FrankRuehl" w:hAnsi="FrankRuehl" w:cs="FrankRuehl"/>
          <w:sz w:val="24"/>
          <w:szCs w:val="24"/>
          <w:rtl/>
        </w:rPr>
        <w:t xml:space="preserve"> וחכמים אומרים</w:t>
      </w:r>
      <w:r>
        <w:rPr>
          <w:rFonts w:ascii="FrankRuehl" w:hAnsi="FrankRuehl" w:cs="FrankRuehl" w:hint="cs"/>
          <w:sz w:val="24"/>
          <w:szCs w:val="24"/>
          <w:rtl/>
        </w:rPr>
        <w:t>:</w:t>
      </w:r>
      <w:r w:rsidRPr="006A03B3">
        <w:rPr>
          <w:rFonts w:ascii="FrankRuehl" w:hAnsi="FrankRuehl" w:cs="FrankRuehl"/>
          <w:sz w:val="24"/>
          <w:szCs w:val="24"/>
          <w:rtl/>
        </w:rPr>
        <w:t xml:space="preserve"> צריך שיתודה קודם שיאכל וישתה שלא תטרף דעתו. אף על פי שיתודה ערבית אחר סעודתו צריך שיתודה קודם סעודתו</w:t>
      </w:r>
      <w:r>
        <w:rPr>
          <w:rFonts w:ascii="FrankRuehl" w:hAnsi="FrankRuehl" w:cs="FrankRuehl" w:hint="cs"/>
          <w:sz w:val="24"/>
          <w:szCs w:val="24"/>
          <w:rtl/>
        </w:rPr>
        <w:t>,</w:t>
      </w:r>
      <w:r w:rsidRPr="006A03B3">
        <w:rPr>
          <w:rFonts w:ascii="FrankRuehl" w:hAnsi="FrankRuehl" w:cs="FrankRuehl"/>
          <w:sz w:val="24"/>
          <w:szCs w:val="24"/>
          <w:rtl/>
        </w:rPr>
        <w:t xml:space="preserve"> התודה ערבית צריך שיתודה שחרית</w:t>
      </w:r>
      <w:r>
        <w:rPr>
          <w:rFonts w:ascii="FrankRuehl" w:hAnsi="FrankRuehl" w:cs="FrankRuehl" w:hint="cs"/>
          <w:sz w:val="24"/>
          <w:szCs w:val="24"/>
          <w:rtl/>
        </w:rPr>
        <w:t>,</w:t>
      </w:r>
      <w:r w:rsidRPr="006A03B3">
        <w:rPr>
          <w:rFonts w:ascii="FrankRuehl" w:hAnsi="FrankRuehl" w:cs="FrankRuehl"/>
          <w:sz w:val="24"/>
          <w:szCs w:val="24"/>
          <w:rtl/>
        </w:rPr>
        <w:t xml:space="preserve"> בשחרית יתודה במוסף</w:t>
      </w:r>
      <w:r>
        <w:rPr>
          <w:rFonts w:ascii="FrankRuehl" w:hAnsi="FrankRuehl" w:cs="FrankRuehl" w:hint="cs"/>
          <w:sz w:val="24"/>
          <w:szCs w:val="24"/>
          <w:rtl/>
        </w:rPr>
        <w:t>,</w:t>
      </w:r>
      <w:r w:rsidRPr="006A03B3">
        <w:rPr>
          <w:rFonts w:ascii="FrankRuehl" w:hAnsi="FrankRuehl" w:cs="FrankRuehl"/>
          <w:sz w:val="24"/>
          <w:szCs w:val="24"/>
          <w:rtl/>
        </w:rPr>
        <w:t xml:space="preserve"> במוסף יתודה במנחה</w:t>
      </w:r>
      <w:r>
        <w:rPr>
          <w:rFonts w:ascii="FrankRuehl" w:hAnsi="FrankRuehl" w:cs="FrankRuehl" w:hint="cs"/>
          <w:sz w:val="24"/>
          <w:szCs w:val="24"/>
          <w:rtl/>
        </w:rPr>
        <w:t>,</w:t>
      </w:r>
      <w:r w:rsidRPr="006A03B3">
        <w:rPr>
          <w:rFonts w:ascii="FrankRuehl" w:hAnsi="FrankRuehl" w:cs="FrankRuehl"/>
          <w:sz w:val="24"/>
          <w:szCs w:val="24"/>
          <w:rtl/>
        </w:rPr>
        <w:t xml:space="preserve"> במנחה יתודה בנעילה.</w:t>
      </w:r>
    </w:p>
    <w:p w:rsidR="00C26E1A" w:rsidRPr="00513D85" w:rsidRDefault="00C26E1A" w:rsidP="00C26E1A">
      <w:pPr>
        <w:spacing w:line="276" w:lineRule="auto"/>
        <w:rPr>
          <w:rFonts w:ascii="FrankRuehl" w:hAnsi="FrankRuehl" w:cs="FrankRuehl"/>
          <w:sz w:val="24"/>
          <w:szCs w:val="24"/>
          <w:rtl/>
        </w:rPr>
      </w:pPr>
    </w:p>
    <w:p w:rsidR="00C26E1A" w:rsidRPr="00F84B8E" w:rsidRDefault="00C26E1A" w:rsidP="00C26E1A">
      <w:pPr>
        <w:spacing w:line="276" w:lineRule="auto"/>
        <w:rPr>
          <w:rFonts w:ascii="FrankRuehl" w:hAnsi="FrankRuehl" w:cs="FrankRuehl"/>
          <w:sz w:val="24"/>
          <w:szCs w:val="24"/>
          <w:highlight w:val="green"/>
          <w:rtl/>
        </w:rPr>
      </w:pPr>
      <w:r w:rsidRPr="00F84B8E">
        <w:rPr>
          <w:rFonts w:ascii="FrankRuehl" w:hAnsi="FrankRuehl" w:cs="FrankRuehl" w:hint="cs"/>
          <w:sz w:val="24"/>
          <w:szCs w:val="24"/>
          <w:highlight w:val="green"/>
          <w:rtl/>
        </w:rPr>
        <w:t xml:space="preserve"> </w:t>
      </w:r>
    </w:p>
    <w:p w:rsidR="00C26E1A" w:rsidRPr="00F84B8E" w:rsidRDefault="00C26E1A" w:rsidP="00C26E1A">
      <w:pPr>
        <w:rPr>
          <w:sz w:val="24"/>
          <w:szCs w:val="24"/>
          <w:highlight w:val="green"/>
          <w:rtl/>
        </w:rPr>
      </w:pPr>
    </w:p>
    <w:p w:rsidR="00C26E1A" w:rsidRDefault="00C26E1A" w:rsidP="00C26E1A">
      <w:pPr>
        <w:spacing w:before="200" w:line="276" w:lineRule="auto"/>
        <w:ind w:firstLine="227"/>
        <w:rPr>
          <w:sz w:val="24"/>
          <w:szCs w:val="24"/>
          <w:rtl/>
        </w:rPr>
      </w:pPr>
      <w:r>
        <w:rPr>
          <w:rFonts w:hint="cs"/>
          <w:sz w:val="24"/>
          <w:szCs w:val="24"/>
          <w:rtl/>
        </w:rPr>
        <w:t xml:space="preserve">בשני השיעורים האחרונים עסקנו בענייני השעיר המשתלח </w:t>
      </w:r>
      <w:r>
        <w:rPr>
          <w:sz w:val="24"/>
          <w:szCs w:val="24"/>
          <w:rtl/>
        </w:rPr>
        <w:t>–</w:t>
      </w:r>
      <w:r>
        <w:rPr>
          <w:rFonts w:hint="cs"/>
          <w:sz w:val="24"/>
          <w:szCs w:val="24"/>
          <w:rtl/>
        </w:rPr>
        <w:t xml:space="preserve"> מעמדו כקרבן ומצות שילוחו. בשיעור זה נבחן דין נוסף הקיים בו: וידוי.</w:t>
      </w:r>
    </w:p>
    <w:p w:rsidR="00C26E1A" w:rsidRDefault="00C26E1A" w:rsidP="00C26E1A">
      <w:pPr>
        <w:spacing w:before="200" w:line="276" w:lineRule="auto"/>
        <w:ind w:firstLine="227"/>
        <w:rPr>
          <w:sz w:val="24"/>
          <w:szCs w:val="24"/>
          <w:rtl/>
        </w:rPr>
      </w:pPr>
      <w:r>
        <w:rPr>
          <w:rFonts w:hint="cs"/>
          <w:sz w:val="24"/>
          <w:szCs w:val="24"/>
          <w:rtl/>
        </w:rPr>
        <w:t>נאמר בתורה:</w:t>
      </w:r>
    </w:p>
    <w:p w:rsidR="00C26E1A" w:rsidRDefault="00C26E1A" w:rsidP="00C26E1A">
      <w:pPr>
        <w:spacing w:before="200" w:line="276" w:lineRule="auto"/>
        <w:ind w:left="720"/>
        <w:rPr>
          <w:sz w:val="24"/>
          <w:szCs w:val="24"/>
          <w:rtl/>
        </w:rPr>
      </w:pPr>
      <w:r>
        <w:rPr>
          <w:sz w:val="24"/>
          <w:szCs w:val="24"/>
          <w:rtl/>
        </w:rPr>
        <w:t xml:space="preserve">וסמך אהרן את שתי </w:t>
      </w:r>
      <w:r w:rsidRPr="00F84B8E">
        <w:rPr>
          <w:sz w:val="24"/>
          <w:szCs w:val="24"/>
          <w:rtl/>
        </w:rPr>
        <w:t>ידיו על ראש השעיר החי והתודה עליו את כל עונת בני ישראל ואת כל פשעיהם לכל חטאתם</w:t>
      </w:r>
      <w:r>
        <w:rPr>
          <w:rFonts w:hint="cs"/>
          <w:sz w:val="24"/>
          <w:szCs w:val="24"/>
          <w:rtl/>
        </w:rPr>
        <w:t>,</w:t>
      </w:r>
      <w:r w:rsidRPr="00F84B8E">
        <w:rPr>
          <w:sz w:val="24"/>
          <w:szCs w:val="24"/>
          <w:rtl/>
        </w:rPr>
        <w:t xml:space="preserve"> ונתן אתם על ראש השעיר ושלח ביד איש עתי המדברה.</w:t>
      </w:r>
    </w:p>
    <w:p w:rsidR="00C26E1A" w:rsidRDefault="00C26E1A" w:rsidP="00C26E1A">
      <w:pPr>
        <w:spacing w:before="200" w:line="276" w:lineRule="auto"/>
        <w:ind w:left="720"/>
        <w:jc w:val="right"/>
        <w:rPr>
          <w:sz w:val="24"/>
          <w:szCs w:val="24"/>
          <w:rtl/>
        </w:rPr>
      </w:pPr>
      <w:r>
        <w:rPr>
          <w:rFonts w:hint="cs"/>
          <w:sz w:val="20"/>
          <w:szCs w:val="20"/>
          <w:rtl/>
        </w:rPr>
        <w:t>[ויקרא טז, כא]</w:t>
      </w:r>
    </w:p>
    <w:p w:rsidR="00C26E1A" w:rsidRDefault="00C26E1A" w:rsidP="00C26E1A">
      <w:pPr>
        <w:spacing w:before="200" w:line="276" w:lineRule="auto"/>
        <w:ind w:firstLine="266"/>
        <w:rPr>
          <w:sz w:val="24"/>
          <w:szCs w:val="24"/>
          <w:rtl/>
        </w:rPr>
      </w:pPr>
      <w:r>
        <w:rPr>
          <w:rFonts w:hint="cs"/>
          <w:sz w:val="24"/>
          <w:szCs w:val="24"/>
          <w:rtl/>
        </w:rPr>
        <w:t>בכתוב זה מופיע ציווי על הכהן הגדול לסמוך את שתי ידיו על השעיר ולהתוודות עליו את כל חטאי ישראל. כדי לעמוד על טיבם של ציוויים אלו, נבחן את היחס בין הסמיכה והווידוי בשעיר המשתלח לסמיכה ולווידוי בשאר הקרבנות.</w:t>
      </w:r>
    </w:p>
    <w:p w:rsidR="00C26E1A" w:rsidRDefault="00C26E1A" w:rsidP="00C26E1A">
      <w:pPr>
        <w:spacing w:before="200" w:line="276" w:lineRule="auto"/>
        <w:ind w:firstLine="266"/>
        <w:rPr>
          <w:sz w:val="24"/>
          <w:szCs w:val="24"/>
          <w:rtl/>
        </w:rPr>
      </w:pPr>
    </w:p>
    <w:p w:rsidR="00C26E1A" w:rsidRDefault="00C26E1A" w:rsidP="00C26E1A">
      <w:pPr>
        <w:spacing w:before="200" w:line="276" w:lineRule="auto"/>
        <w:ind w:firstLine="266"/>
        <w:rPr>
          <w:sz w:val="24"/>
          <w:szCs w:val="24"/>
          <w:rtl/>
        </w:rPr>
      </w:pPr>
      <w:r>
        <w:rPr>
          <w:rFonts w:hint="cs"/>
          <w:sz w:val="24"/>
          <w:szCs w:val="24"/>
          <w:rtl/>
        </w:rPr>
        <w:t>חובת הסמיכה על הקרבן נזכרת, ביחס לקרבנות השונים, בפרשת ויקרא</w:t>
      </w:r>
      <w:r>
        <w:rPr>
          <w:rStyle w:val="a7"/>
          <w:sz w:val="24"/>
          <w:szCs w:val="24"/>
          <w:rtl/>
        </w:rPr>
        <w:footnoteReference w:id="145"/>
      </w:r>
      <w:r>
        <w:rPr>
          <w:rFonts w:hint="cs"/>
          <w:sz w:val="24"/>
          <w:szCs w:val="24"/>
          <w:rtl/>
        </w:rPr>
        <w:t xml:space="preserve">. לעומתה, חובת הווידוי על הקרבן אינה נזכרת בכתובים אלו, והיא מפורשת רק בקרבן עולה ויורד </w:t>
      </w:r>
      <w:r>
        <w:rPr>
          <w:rFonts w:hint="cs"/>
          <w:sz w:val="20"/>
          <w:szCs w:val="20"/>
          <w:rtl/>
        </w:rPr>
        <w:t>[ויקרא ה, ה]</w:t>
      </w:r>
      <w:r>
        <w:rPr>
          <w:rFonts w:hint="cs"/>
          <w:sz w:val="24"/>
          <w:szCs w:val="24"/>
          <w:rtl/>
        </w:rPr>
        <w:t xml:space="preserve"> ובאשם גזילות </w:t>
      </w:r>
      <w:r>
        <w:rPr>
          <w:rFonts w:hint="cs"/>
          <w:sz w:val="20"/>
          <w:szCs w:val="20"/>
          <w:rtl/>
        </w:rPr>
        <w:t>[במדבר ה, ז]</w:t>
      </w:r>
      <w:r>
        <w:rPr>
          <w:rStyle w:val="a7"/>
          <w:sz w:val="24"/>
          <w:szCs w:val="24"/>
          <w:rtl/>
        </w:rPr>
        <w:footnoteReference w:id="146"/>
      </w:r>
      <w:r>
        <w:rPr>
          <w:rFonts w:hint="cs"/>
          <w:sz w:val="24"/>
          <w:szCs w:val="24"/>
          <w:rtl/>
        </w:rPr>
        <w:t xml:space="preserve">. נמצא, כי בפשט הכתובים אין קשר ברור בין חובת הסמיכה על הקרבן לבין חובת הווידוי, ורק לגבי השעיר המשתלח הסמיכה והווידוי נזכרים יחדיו. </w:t>
      </w:r>
    </w:p>
    <w:p w:rsidR="00C26E1A" w:rsidRDefault="00C26E1A" w:rsidP="00C26E1A">
      <w:pPr>
        <w:spacing w:before="200" w:line="276" w:lineRule="auto"/>
        <w:ind w:firstLine="266"/>
        <w:rPr>
          <w:sz w:val="24"/>
          <w:szCs w:val="24"/>
        </w:rPr>
      </w:pPr>
      <w:r>
        <w:rPr>
          <w:rFonts w:hint="cs"/>
          <w:sz w:val="24"/>
          <w:szCs w:val="24"/>
          <w:rtl/>
        </w:rPr>
        <w:t>לכאורה, עולה מכך הבדל עקרוני בין חובת הסמיכה והווידוי על השעיר המשתלח לבין חובת הסמיכה והווידוי על הקרבן. מגמת הסמיכה והווידוי בשעיר המשתלח היא 'נתינת' עוונותיהם של ישראל על ראש השעיר, וכך הוא נושא אותם ל"ארץ גזירה"</w:t>
      </w:r>
      <w:r>
        <w:rPr>
          <w:rStyle w:val="a7"/>
          <w:sz w:val="24"/>
          <w:szCs w:val="24"/>
          <w:rtl/>
        </w:rPr>
        <w:footnoteReference w:id="147"/>
      </w:r>
      <w:r>
        <w:rPr>
          <w:rFonts w:hint="cs"/>
          <w:sz w:val="24"/>
          <w:szCs w:val="24"/>
          <w:rtl/>
        </w:rPr>
        <w:t xml:space="preserve">. בהתאם לכך, עיקרה של הסמיכה הוא בווידוי, בו הכהן הגדול 'נותן' את העוונות על ראש השעיר. לעומת זאת, לסמיכה על הקרבן יש </w:t>
      </w:r>
      <w:r>
        <w:rPr>
          <w:rFonts w:hint="cs"/>
          <w:sz w:val="24"/>
          <w:szCs w:val="24"/>
          <w:rtl/>
        </w:rPr>
        <w:lastRenderedPageBreak/>
        <w:t>משמעות מצד עצמה</w:t>
      </w:r>
      <w:r>
        <w:rPr>
          <w:rStyle w:val="a7"/>
          <w:sz w:val="24"/>
          <w:szCs w:val="24"/>
          <w:rtl/>
        </w:rPr>
        <w:footnoteReference w:id="148"/>
      </w:r>
      <w:r>
        <w:rPr>
          <w:rFonts w:hint="cs"/>
          <w:sz w:val="24"/>
          <w:szCs w:val="24"/>
          <w:rtl/>
        </w:rPr>
        <w:t>, והיא אינה תלויה בווידוי. עם זאת, הספרא לומד מן האמור לגבי שעיר המשתלח לקרבן עולה ויורד:</w:t>
      </w:r>
    </w:p>
    <w:p w:rsidR="00C26E1A" w:rsidRPr="00DC2676" w:rsidRDefault="00C26E1A" w:rsidP="00C26E1A">
      <w:pPr>
        <w:spacing w:before="200" w:line="276" w:lineRule="auto"/>
        <w:ind w:left="720"/>
        <w:rPr>
          <w:sz w:val="20"/>
          <w:szCs w:val="20"/>
          <w:rtl/>
        </w:rPr>
      </w:pPr>
      <w:r>
        <w:rPr>
          <w:sz w:val="24"/>
          <w:szCs w:val="24"/>
          <w:rtl/>
        </w:rPr>
        <w:t>מנין שהוא טעון וידוי? ת</w:t>
      </w:r>
      <w:r>
        <w:rPr>
          <w:rFonts w:hint="cs"/>
          <w:sz w:val="24"/>
          <w:szCs w:val="24"/>
          <w:rtl/>
        </w:rPr>
        <w:t>למוד לומר</w:t>
      </w:r>
      <w:r w:rsidRPr="00A770C6">
        <w:rPr>
          <w:sz w:val="24"/>
          <w:szCs w:val="24"/>
          <w:rtl/>
        </w:rPr>
        <w:t xml:space="preserve"> </w:t>
      </w:r>
      <w:r>
        <w:rPr>
          <w:rFonts w:hint="cs"/>
          <w:sz w:val="24"/>
          <w:szCs w:val="24"/>
          <w:rtl/>
        </w:rPr>
        <w:t>'</w:t>
      </w:r>
      <w:r w:rsidRPr="00A770C6">
        <w:rPr>
          <w:sz w:val="24"/>
          <w:szCs w:val="24"/>
          <w:rtl/>
        </w:rPr>
        <w:t>והתודה</w:t>
      </w:r>
      <w:r>
        <w:rPr>
          <w:rFonts w:hint="cs"/>
          <w:sz w:val="24"/>
          <w:szCs w:val="24"/>
          <w:rtl/>
        </w:rPr>
        <w:t>'</w:t>
      </w:r>
      <w:r w:rsidRPr="00A770C6">
        <w:rPr>
          <w:sz w:val="24"/>
          <w:szCs w:val="24"/>
          <w:rtl/>
        </w:rPr>
        <w:t>. ומנין שוידויו על חי? נ</w:t>
      </w:r>
      <w:r>
        <w:rPr>
          <w:sz w:val="24"/>
          <w:szCs w:val="24"/>
          <w:rtl/>
        </w:rPr>
        <w:t>אמר כאן וידוי ונאמר להלן וידוי</w:t>
      </w:r>
      <w:r>
        <w:rPr>
          <w:rFonts w:hint="cs"/>
          <w:sz w:val="24"/>
          <w:szCs w:val="24"/>
          <w:rtl/>
        </w:rPr>
        <w:t xml:space="preserve"> </w:t>
      </w:r>
      <w:r>
        <w:rPr>
          <w:sz w:val="24"/>
          <w:szCs w:val="24"/>
          <w:rtl/>
        </w:rPr>
        <w:t>–</w:t>
      </w:r>
      <w:r>
        <w:rPr>
          <w:rFonts w:hint="cs"/>
          <w:sz w:val="24"/>
          <w:szCs w:val="24"/>
          <w:rtl/>
        </w:rPr>
        <w:t xml:space="preserve"> </w:t>
      </w:r>
      <w:r w:rsidRPr="00A770C6">
        <w:rPr>
          <w:sz w:val="24"/>
          <w:szCs w:val="24"/>
          <w:rtl/>
        </w:rPr>
        <w:t xml:space="preserve">מה וידוי שנאמר להלן וידויו על חי, אף וידוי שנאמר כאן וידויו </w:t>
      </w:r>
      <w:r>
        <w:rPr>
          <w:sz w:val="24"/>
          <w:szCs w:val="24"/>
          <w:rtl/>
        </w:rPr>
        <w:t>על חי. מנין שהוא טעון סמיכה? ת</w:t>
      </w:r>
      <w:r>
        <w:rPr>
          <w:rFonts w:hint="cs"/>
          <w:sz w:val="24"/>
          <w:szCs w:val="24"/>
          <w:rtl/>
        </w:rPr>
        <w:t>למוד לומר</w:t>
      </w:r>
      <w:r w:rsidRPr="00A770C6">
        <w:rPr>
          <w:sz w:val="24"/>
          <w:szCs w:val="24"/>
          <w:rtl/>
        </w:rPr>
        <w:t xml:space="preserve"> </w:t>
      </w:r>
      <w:r>
        <w:rPr>
          <w:rFonts w:hint="cs"/>
          <w:sz w:val="24"/>
          <w:szCs w:val="24"/>
          <w:rtl/>
        </w:rPr>
        <w:t>'</w:t>
      </w:r>
      <w:r w:rsidRPr="00A770C6">
        <w:rPr>
          <w:sz w:val="24"/>
          <w:szCs w:val="24"/>
          <w:rtl/>
        </w:rPr>
        <w:t>עליה</w:t>
      </w:r>
      <w:r>
        <w:rPr>
          <w:rFonts w:hint="cs"/>
          <w:sz w:val="24"/>
          <w:szCs w:val="24"/>
          <w:rtl/>
        </w:rPr>
        <w:t>'</w:t>
      </w:r>
      <w:r w:rsidRPr="00A770C6">
        <w:rPr>
          <w:sz w:val="24"/>
          <w:szCs w:val="24"/>
          <w:rtl/>
        </w:rPr>
        <w:t xml:space="preserve">, ולהלן נאמר </w:t>
      </w:r>
      <w:r>
        <w:rPr>
          <w:rFonts w:hint="cs"/>
          <w:sz w:val="24"/>
          <w:szCs w:val="24"/>
          <w:rtl/>
        </w:rPr>
        <w:t>'</w:t>
      </w:r>
      <w:r w:rsidRPr="00A770C6">
        <w:rPr>
          <w:sz w:val="24"/>
          <w:szCs w:val="24"/>
          <w:rtl/>
        </w:rPr>
        <w:t>עליו</w:t>
      </w:r>
      <w:r>
        <w:rPr>
          <w:rFonts w:hint="cs"/>
          <w:sz w:val="24"/>
          <w:szCs w:val="24"/>
          <w:rtl/>
        </w:rPr>
        <w:t xml:space="preserve">' </w:t>
      </w:r>
      <w:r>
        <w:rPr>
          <w:sz w:val="24"/>
          <w:szCs w:val="24"/>
          <w:rtl/>
        </w:rPr>
        <w:t>–</w:t>
      </w:r>
      <w:r>
        <w:rPr>
          <w:rFonts w:hint="cs"/>
          <w:sz w:val="24"/>
          <w:szCs w:val="24"/>
          <w:rtl/>
        </w:rPr>
        <w:t xml:space="preserve"> </w:t>
      </w:r>
      <w:r w:rsidRPr="00A770C6">
        <w:rPr>
          <w:sz w:val="24"/>
          <w:szCs w:val="24"/>
          <w:rtl/>
        </w:rPr>
        <w:t>מה עליו אמור להלן טעון סמיכה, אף עליה אמור כאן תיטען סמיכה.</w:t>
      </w:r>
      <w:r>
        <w:rPr>
          <w:sz w:val="24"/>
          <w:szCs w:val="24"/>
          <w:rtl/>
        </w:rPr>
        <w:tab/>
      </w:r>
      <w:r>
        <w:rPr>
          <w:sz w:val="24"/>
          <w:szCs w:val="24"/>
          <w:rtl/>
        </w:rPr>
        <w:tab/>
      </w:r>
      <w:r>
        <w:rPr>
          <w:rFonts w:hint="cs"/>
          <w:sz w:val="24"/>
          <w:szCs w:val="24"/>
          <w:rtl/>
        </w:rPr>
        <w:t xml:space="preserve">      </w:t>
      </w:r>
      <w:r>
        <w:rPr>
          <w:rFonts w:hint="cs"/>
          <w:sz w:val="20"/>
          <w:szCs w:val="20"/>
          <w:rtl/>
        </w:rPr>
        <w:t>[ספרא דיבורא דחובה פרשתא י הל' א-ב]</w:t>
      </w:r>
    </w:p>
    <w:p w:rsidR="00C26E1A" w:rsidRDefault="00C26E1A" w:rsidP="00C26E1A">
      <w:pPr>
        <w:spacing w:before="200" w:line="276" w:lineRule="auto"/>
        <w:ind w:firstLine="266"/>
        <w:rPr>
          <w:sz w:val="24"/>
          <w:szCs w:val="24"/>
          <w:rtl/>
        </w:rPr>
      </w:pPr>
      <w:r>
        <w:rPr>
          <w:rFonts w:hint="cs"/>
          <w:sz w:val="24"/>
          <w:szCs w:val="24"/>
          <w:rtl/>
        </w:rPr>
        <w:t>הספרא לומד מן השעיר המשתלח, בו הווידוי נעשה בשעת הסמיכה, כי גם בקרבן עולה ויורד הווידוי נעשה בשעת הסמיכה.</w:t>
      </w:r>
    </w:p>
    <w:p w:rsidR="00C26E1A" w:rsidRDefault="00C26E1A" w:rsidP="00C26E1A">
      <w:pPr>
        <w:spacing w:before="200" w:line="276" w:lineRule="auto"/>
        <w:ind w:firstLine="266"/>
        <w:rPr>
          <w:sz w:val="24"/>
          <w:szCs w:val="24"/>
          <w:rtl/>
        </w:rPr>
      </w:pPr>
      <w:r>
        <w:rPr>
          <w:rFonts w:hint="cs"/>
          <w:sz w:val="24"/>
          <w:szCs w:val="24"/>
          <w:rtl/>
        </w:rPr>
        <w:t>בברייתא מוצג הקשר בין הסמיכה לווידוי באופן מפורש עוד יותר:</w:t>
      </w:r>
    </w:p>
    <w:p w:rsidR="00C26E1A" w:rsidRPr="00E763E4" w:rsidRDefault="00C26E1A" w:rsidP="00782FFD">
      <w:pPr>
        <w:spacing w:before="200" w:line="276" w:lineRule="auto"/>
        <w:ind w:left="720"/>
        <w:rPr>
          <w:sz w:val="24"/>
          <w:szCs w:val="24"/>
          <w:rtl/>
        </w:rPr>
      </w:pPr>
      <w:r w:rsidRPr="00E763E4">
        <w:rPr>
          <w:sz w:val="24"/>
          <w:szCs w:val="24"/>
          <w:rtl/>
        </w:rPr>
        <w:t>כיצד סומך</w:t>
      </w:r>
      <w:r>
        <w:rPr>
          <w:rFonts w:hint="cs"/>
          <w:sz w:val="24"/>
          <w:szCs w:val="24"/>
          <w:rtl/>
        </w:rPr>
        <w:t>?</w:t>
      </w:r>
      <w:r w:rsidRPr="00E763E4">
        <w:rPr>
          <w:sz w:val="24"/>
          <w:szCs w:val="24"/>
          <w:rtl/>
        </w:rPr>
        <w:t xml:space="preserve"> הזבח עומד בצפון ופניו למערב</w:t>
      </w:r>
      <w:r>
        <w:rPr>
          <w:rFonts w:hint="cs"/>
          <w:sz w:val="24"/>
          <w:szCs w:val="24"/>
          <w:rtl/>
        </w:rPr>
        <w:t>,</w:t>
      </w:r>
      <w:r w:rsidRPr="00E763E4">
        <w:rPr>
          <w:sz w:val="24"/>
          <w:szCs w:val="24"/>
          <w:rtl/>
        </w:rPr>
        <w:t xml:space="preserve"> והסומך עומד במזרח ופניו למערב</w:t>
      </w:r>
      <w:r>
        <w:rPr>
          <w:rFonts w:hint="cs"/>
          <w:sz w:val="24"/>
          <w:szCs w:val="24"/>
          <w:rtl/>
        </w:rPr>
        <w:t>,</w:t>
      </w:r>
      <w:r w:rsidRPr="00E763E4">
        <w:rPr>
          <w:sz w:val="24"/>
          <w:szCs w:val="24"/>
          <w:rtl/>
        </w:rPr>
        <w:t xml:space="preserve"> ומניח שתי ידיו בין שתי קרנות של זבח</w:t>
      </w:r>
      <w:r>
        <w:rPr>
          <w:rFonts w:hint="cs"/>
          <w:sz w:val="24"/>
          <w:szCs w:val="24"/>
          <w:rtl/>
        </w:rPr>
        <w:t>...</w:t>
      </w:r>
      <w:r w:rsidRPr="00E763E4">
        <w:rPr>
          <w:sz w:val="24"/>
          <w:szCs w:val="24"/>
          <w:rtl/>
        </w:rPr>
        <w:t xml:space="preserve"> ומתודה על חטאת עון חטאת</w:t>
      </w:r>
      <w:r>
        <w:rPr>
          <w:rFonts w:hint="cs"/>
          <w:sz w:val="24"/>
          <w:szCs w:val="24"/>
          <w:rtl/>
        </w:rPr>
        <w:t>,</w:t>
      </w:r>
      <w:r w:rsidRPr="00E763E4">
        <w:rPr>
          <w:sz w:val="24"/>
          <w:szCs w:val="24"/>
          <w:rtl/>
        </w:rPr>
        <w:t xml:space="preserve"> ועל אשם עון אשם</w:t>
      </w:r>
      <w:r>
        <w:rPr>
          <w:rFonts w:hint="cs"/>
          <w:sz w:val="24"/>
          <w:szCs w:val="24"/>
          <w:rtl/>
        </w:rPr>
        <w:t>,</w:t>
      </w:r>
      <w:r w:rsidRPr="00E763E4">
        <w:rPr>
          <w:sz w:val="24"/>
          <w:szCs w:val="24"/>
          <w:rtl/>
        </w:rPr>
        <w:t xml:space="preserve"> ועל עולה עון לקט שכחה ופאה ומעשר עני</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לו.]</w:t>
      </w:r>
      <w:r w:rsidRPr="00E763E4">
        <w:rPr>
          <w:rStyle w:val="a7"/>
          <w:sz w:val="24"/>
          <w:szCs w:val="24"/>
          <w:rtl/>
        </w:rPr>
        <w:footnoteReference w:id="149"/>
      </w:r>
    </w:p>
    <w:p w:rsidR="00C26E1A" w:rsidRDefault="00C26E1A" w:rsidP="00C26E1A">
      <w:pPr>
        <w:spacing w:before="200" w:line="276" w:lineRule="auto"/>
        <w:ind w:firstLine="266"/>
        <w:rPr>
          <w:sz w:val="24"/>
          <w:szCs w:val="24"/>
          <w:rtl/>
        </w:rPr>
      </w:pPr>
      <w:r>
        <w:rPr>
          <w:rFonts w:hint="cs"/>
          <w:sz w:val="24"/>
          <w:szCs w:val="24"/>
          <w:rtl/>
        </w:rPr>
        <w:t xml:space="preserve">הברייתא אומרת </w:t>
      </w:r>
      <w:r w:rsidRPr="00B94161">
        <w:rPr>
          <w:sz w:val="24"/>
          <w:szCs w:val="24"/>
          <w:rtl/>
        </w:rPr>
        <w:t>כי יש להתוודות בשעת הסמיכה</w:t>
      </w:r>
      <w:r>
        <w:rPr>
          <w:rFonts w:hint="cs"/>
          <w:sz w:val="24"/>
          <w:szCs w:val="24"/>
          <w:rtl/>
        </w:rPr>
        <w:t>, ונראה ממנה כי הווידוי והסמיכה אחוזים זה בזה.</w:t>
      </w:r>
    </w:p>
    <w:p w:rsidR="00C26E1A" w:rsidRDefault="00C26E1A" w:rsidP="00C26E1A">
      <w:pPr>
        <w:spacing w:before="200" w:line="276" w:lineRule="auto"/>
        <w:ind w:firstLine="266"/>
        <w:rPr>
          <w:sz w:val="24"/>
          <w:szCs w:val="24"/>
          <w:rtl/>
        </w:rPr>
      </w:pPr>
      <w:r>
        <w:rPr>
          <w:rFonts w:hint="cs"/>
          <w:sz w:val="24"/>
          <w:szCs w:val="24"/>
          <w:rtl/>
        </w:rPr>
        <w:t>מדברי חז"ל האלו משתמע שקיימת זהות בין שעיר המשתלח לבין שאר הקרבנות לגבי הסמיכה והווידוי. לפי זה, לכאורה, כשם שבשעיר המשתלח הסמיכה נעשית לשם הווידוי</w:t>
      </w:r>
      <w:r>
        <w:rPr>
          <w:rStyle w:val="a7"/>
          <w:sz w:val="24"/>
          <w:szCs w:val="24"/>
          <w:rtl/>
        </w:rPr>
        <w:footnoteReference w:id="150"/>
      </w:r>
      <w:r>
        <w:rPr>
          <w:rFonts w:hint="cs"/>
          <w:sz w:val="24"/>
          <w:szCs w:val="24"/>
          <w:rtl/>
        </w:rPr>
        <w:t>, כך בכל הקרבנות הסמיכה נעשית לשם הווידוי.</w:t>
      </w:r>
    </w:p>
    <w:p w:rsidR="00C26E1A" w:rsidRDefault="00C26E1A" w:rsidP="00C26E1A">
      <w:pPr>
        <w:spacing w:before="200" w:line="276" w:lineRule="auto"/>
        <w:ind w:firstLine="266"/>
        <w:rPr>
          <w:sz w:val="24"/>
          <w:szCs w:val="24"/>
          <w:rtl/>
        </w:rPr>
      </w:pPr>
      <w:r>
        <w:rPr>
          <w:rFonts w:hint="cs"/>
          <w:sz w:val="24"/>
          <w:szCs w:val="24"/>
          <w:rtl/>
        </w:rPr>
        <w:t>הבנה זו מפורשת בפירוש על הספרא המיוחס לר"ש משאנץ:</w:t>
      </w:r>
    </w:p>
    <w:p w:rsidR="00C26E1A" w:rsidRPr="00F65C90" w:rsidRDefault="00C26E1A" w:rsidP="00C26E1A">
      <w:pPr>
        <w:spacing w:before="200" w:line="276" w:lineRule="auto"/>
        <w:ind w:left="720"/>
        <w:rPr>
          <w:sz w:val="20"/>
          <w:szCs w:val="20"/>
          <w:rtl/>
        </w:rPr>
      </w:pPr>
      <w:r w:rsidRPr="00F65C90">
        <w:rPr>
          <w:sz w:val="24"/>
          <w:szCs w:val="24"/>
          <w:rtl/>
        </w:rPr>
        <w:t>והקפיד הכתוב בסמיכת גוי, וטעמא נראה משום שכשבא לסמוך מתודה על חטאת עון חטאת ועל אשם עון אשם, וכן על שלמים היה מתודה כמו על עולה, אבל גוי לאו בר כפרה הוא בקרבן.</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[המיוחס לר"ש על הספרא דבורא דנדבה פרק ה הל' ד ד"ה שאין]</w:t>
      </w:r>
    </w:p>
    <w:p w:rsidR="00C26E1A" w:rsidRDefault="00C26E1A" w:rsidP="00C26E1A">
      <w:pPr>
        <w:spacing w:before="200" w:line="276" w:lineRule="auto"/>
        <w:ind w:firstLine="266"/>
        <w:rPr>
          <w:sz w:val="24"/>
          <w:szCs w:val="24"/>
          <w:rtl/>
        </w:rPr>
      </w:pPr>
      <w:r>
        <w:rPr>
          <w:rFonts w:hint="cs"/>
          <w:sz w:val="24"/>
          <w:szCs w:val="24"/>
          <w:rtl/>
        </w:rPr>
        <w:t>המיוחס לר"ש טוען, כי הסמיכה דרושה מחמת הווידוי, ולכן גוי ש"לאו בר כפרה הוא בקרבן" אינו סומך על קרבנו</w:t>
      </w:r>
      <w:r>
        <w:rPr>
          <w:rStyle w:val="a7"/>
          <w:sz w:val="24"/>
          <w:szCs w:val="24"/>
          <w:rtl/>
        </w:rPr>
        <w:footnoteReference w:id="151"/>
      </w:r>
      <w:r>
        <w:rPr>
          <w:rFonts w:hint="cs"/>
          <w:sz w:val="24"/>
          <w:szCs w:val="24"/>
          <w:rtl/>
        </w:rPr>
        <w:t>. לשיטתו, בהכרח בכל קרבן הטעון סמיכה קיימת חובת ווידוי. בשל כך, המיוחס לר"ש נזקק לחדש, כי הואיל ושלמים טעונים סמיכה</w:t>
      </w:r>
      <w:r>
        <w:rPr>
          <w:rStyle w:val="a7"/>
          <w:sz w:val="24"/>
          <w:szCs w:val="24"/>
          <w:rtl/>
        </w:rPr>
        <w:footnoteReference w:id="152"/>
      </w:r>
      <w:r>
        <w:rPr>
          <w:rFonts w:hint="cs"/>
          <w:sz w:val="24"/>
          <w:szCs w:val="24"/>
          <w:rtl/>
        </w:rPr>
        <w:t>, קיימת חובת ווידוי בשעת הבאתם.</w:t>
      </w:r>
    </w:p>
    <w:p w:rsidR="00C26E1A" w:rsidRDefault="00C26E1A" w:rsidP="00C26E1A">
      <w:pPr>
        <w:spacing w:before="200" w:line="276" w:lineRule="auto"/>
        <w:ind w:firstLine="266"/>
        <w:rPr>
          <w:sz w:val="24"/>
          <w:szCs w:val="24"/>
          <w:rtl/>
        </w:rPr>
      </w:pPr>
      <w:r>
        <w:rPr>
          <w:rFonts w:hint="cs"/>
          <w:sz w:val="24"/>
          <w:szCs w:val="24"/>
          <w:rtl/>
        </w:rPr>
        <w:t>בשיטה זו נוקט גם תוספות ר"י הלבן:</w:t>
      </w:r>
    </w:p>
    <w:p w:rsidR="00C26E1A" w:rsidRDefault="00C26E1A" w:rsidP="00C26E1A">
      <w:pPr>
        <w:spacing w:before="200" w:line="276" w:lineRule="auto"/>
        <w:ind w:left="720"/>
        <w:rPr>
          <w:sz w:val="24"/>
          <w:szCs w:val="24"/>
          <w:rtl/>
        </w:rPr>
      </w:pPr>
      <w:r w:rsidRPr="00EA7BDD">
        <w:rPr>
          <w:sz w:val="24"/>
          <w:szCs w:val="24"/>
          <w:rtl/>
        </w:rPr>
        <w:t>וסמיכה היינו וידוי, שהיו מתוודים בשעת סמיכה, על חטאת עון חטאת, ועל אשם עון אשם, ועל עולה עון</w:t>
      </w:r>
      <w:r>
        <w:rPr>
          <w:sz w:val="24"/>
          <w:szCs w:val="24"/>
          <w:rtl/>
        </w:rPr>
        <w:t xml:space="preserve"> לקט שכחה ופיאה ומעשר עני</w:t>
      </w:r>
      <w:r>
        <w:rPr>
          <w:rFonts w:hint="cs"/>
          <w:sz w:val="24"/>
          <w:szCs w:val="24"/>
          <w:rtl/>
        </w:rPr>
        <w:t xml:space="preserve">... </w:t>
      </w:r>
      <w:r>
        <w:rPr>
          <w:sz w:val="24"/>
          <w:szCs w:val="24"/>
          <w:rtl/>
        </w:rPr>
        <w:t>אבל על שלמים לא הוה ידע ר</w:t>
      </w:r>
      <w:r>
        <w:rPr>
          <w:rFonts w:hint="cs"/>
          <w:sz w:val="24"/>
          <w:szCs w:val="24"/>
          <w:rtl/>
        </w:rPr>
        <w:t>בי</w:t>
      </w:r>
      <w:r>
        <w:rPr>
          <w:sz w:val="24"/>
          <w:szCs w:val="24"/>
          <w:rtl/>
        </w:rPr>
        <w:t xml:space="preserve"> מה היו מתוודים. ונר</w:t>
      </w:r>
      <w:r>
        <w:rPr>
          <w:rFonts w:hint="cs"/>
          <w:sz w:val="24"/>
          <w:szCs w:val="24"/>
          <w:rtl/>
        </w:rPr>
        <w:t>אה</w:t>
      </w:r>
      <w:r w:rsidRPr="00EA7BDD">
        <w:rPr>
          <w:sz w:val="24"/>
          <w:szCs w:val="24"/>
          <w:rtl/>
        </w:rPr>
        <w:t xml:space="preserve"> דעל שלמים היו מתוודים כמו על העו</w:t>
      </w:r>
      <w:r>
        <w:rPr>
          <w:sz w:val="24"/>
          <w:szCs w:val="24"/>
          <w:rtl/>
        </w:rPr>
        <w:t>לה</w:t>
      </w:r>
      <w:r>
        <w:rPr>
          <w:rFonts w:hint="cs"/>
          <w:sz w:val="24"/>
          <w:szCs w:val="24"/>
          <w:rtl/>
        </w:rPr>
        <w:t xml:space="preserve">. </w:t>
      </w:r>
    </w:p>
    <w:p w:rsidR="00C26E1A" w:rsidRPr="00EA7BDD" w:rsidRDefault="00C26E1A" w:rsidP="00C26E1A">
      <w:pPr>
        <w:spacing w:before="200" w:line="276" w:lineRule="auto"/>
        <w:ind w:left="720"/>
        <w:jc w:val="right"/>
        <w:rPr>
          <w:sz w:val="20"/>
          <w:szCs w:val="20"/>
        </w:rPr>
      </w:pPr>
      <w:r>
        <w:rPr>
          <w:rFonts w:hint="cs"/>
          <w:sz w:val="20"/>
          <w:szCs w:val="20"/>
          <w:rtl/>
        </w:rPr>
        <w:t>[תוס' ר"י הלבן יומא ה. ד"ה כאילו]</w:t>
      </w:r>
    </w:p>
    <w:p w:rsidR="00C26E1A" w:rsidRDefault="00C26E1A" w:rsidP="00C26E1A">
      <w:pPr>
        <w:spacing w:before="200" w:line="276" w:lineRule="auto"/>
        <w:ind w:firstLine="266"/>
        <w:rPr>
          <w:sz w:val="24"/>
          <w:szCs w:val="24"/>
          <w:rtl/>
        </w:rPr>
      </w:pPr>
      <w:r>
        <w:rPr>
          <w:rFonts w:hint="cs"/>
          <w:sz w:val="24"/>
          <w:szCs w:val="24"/>
          <w:rtl/>
        </w:rPr>
        <w:t>תוספות ר"י הלבן מניח ביסוד דבריו כי בהכרח הסמיכה צריכה להיות מלווה בווידוי, ולכן ברור לו כי גם על שלמים היו מתוודים בשעת הסמיכה. על פי תפיסה זו הוא מתקשה מהו נוסח הווידוי על שלמים, והוא טוען כי היו מתוודים עליהם בדומה לווידוי על קרבן עולה. נמצא, כי לדבריו גם שלמים באים לכפרה, ולכן גם בהם שייך ווידוי</w:t>
      </w:r>
      <w:r>
        <w:rPr>
          <w:rStyle w:val="a7"/>
          <w:sz w:val="24"/>
          <w:szCs w:val="24"/>
          <w:rtl/>
        </w:rPr>
        <w:footnoteReference w:id="153"/>
      </w:r>
      <w:r>
        <w:rPr>
          <w:rFonts w:hint="cs"/>
          <w:sz w:val="24"/>
          <w:szCs w:val="24"/>
          <w:rtl/>
        </w:rPr>
        <w:t xml:space="preserve">. </w:t>
      </w:r>
    </w:p>
    <w:p w:rsidR="00C26E1A" w:rsidRDefault="00C26E1A" w:rsidP="00C26E1A">
      <w:pPr>
        <w:spacing w:before="200" w:line="276" w:lineRule="auto"/>
        <w:ind w:firstLine="266"/>
        <w:rPr>
          <w:sz w:val="24"/>
          <w:szCs w:val="24"/>
          <w:rtl/>
        </w:rPr>
      </w:pPr>
      <w:r>
        <w:rPr>
          <w:rFonts w:hint="cs"/>
          <w:sz w:val="24"/>
          <w:szCs w:val="24"/>
          <w:rtl/>
        </w:rPr>
        <w:lastRenderedPageBreak/>
        <w:t>מדברי הרמב"ם עולה שיטה שונה בעניין זה:</w:t>
      </w:r>
    </w:p>
    <w:p w:rsidR="00C26E1A" w:rsidRPr="00767322" w:rsidRDefault="00C26E1A" w:rsidP="00C26E1A">
      <w:pPr>
        <w:spacing w:before="200" w:line="276" w:lineRule="auto"/>
        <w:ind w:left="720"/>
        <w:rPr>
          <w:sz w:val="20"/>
          <w:szCs w:val="20"/>
          <w:rtl/>
        </w:rPr>
      </w:pPr>
      <w:r w:rsidRPr="00767322">
        <w:rPr>
          <w:sz w:val="24"/>
          <w:szCs w:val="24"/>
          <w:rtl/>
        </w:rPr>
        <w:t>כיצד מתודה</w:t>
      </w:r>
      <w:r>
        <w:rPr>
          <w:rFonts w:hint="cs"/>
          <w:sz w:val="24"/>
          <w:szCs w:val="24"/>
          <w:rtl/>
        </w:rPr>
        <w:t>?</w:t>
      </w:r>
      <w:r w:rsidRPr="00767322">
        <w:rPr>
          <w:sz w:val="24"/>
          <w:szCs w:val="24"/>
          <w:rtl/>
        </w:rPr>
        <w:t xml:space="preserve"> אומר</w:t>
      </w:r>
      <w:r>
        <w:rPr>
          <w:rFonts w:hint="cs"/>
          <w:sz w:val="24"/>
          <w:szCs w:val="24"/>
          <w:rtl/>
        </w:rPr>
        <w:t>:</w:t>
      </w:r>
      <w:r w:rsidRPr="00767322">
        <w:rPr>
          <w:sz w:val="24"/>
          <w:szCs w:val="24"/>
          <w:rtl/>
        </w:rPr>
        <w:t xml:space="preserve"> חטאתי עויתי פשעתי ועשיתי כך וכך וחזרתי בתשובה לפניך</w:t>
      </w:r>
      <w:r>
        <w:rPr>
          <w:rFonts w:hint="cs"/>
          <w:sz w:val="24"/>
          <w:szCs w:val="24"/>
          <w:rtl/>
        </w:rPr>
        <w:t>,</w:t>
      </w:r>
      <w:r>
        <w:rPr>
          <w:sz w:val="24"/>
          <w:szCs w:val="24"/>
          <w:rtl/>
        </w:rPr>
        <w:t xml:space="preserve"> וזו כפרתי</w:t>
      </w:r>
      <w:r>
        <w:rPr>
          <w:rFonts w:hint="cs"/>
          <w:sz w:val="24"/>
          <w:szCs w:val="24"/>
          <w:rtl/>
        </w:rPr>
        <w:t>.</w:t>
      </w:r>
      <w:r w:rsidRPr="00767322">
        <w:rPr>
          <w:sz w:val="24"/>
          <w:szCs w:val="24"/>
          <w:rtl/>
        </w:rPr>
        <w:t xml:space="preserve"> היה הקרבן שלמים</w:t>
      </w:r>
      <w:r>
        <w:rPr>
          <w:rFonts w:hint="cs"/>
          <w:sz w:val="24"/>
          <w:szCs w:val="24"/>
          <w:rtl/>
        </w:rPr>
        <w:t>,</w:t>
      </w:r>
      <w:r w:rsidRPr="00767322">
        <w:rPr>
          <w:sz w:val="24"/>
          <w:szCs w:val="24"/>
          <w:rtl/>
        </w:rPr>
        <w:t xml:space="preserve"> סומך בכל מקום שירצה מן העזרה במקום שחיטה, </w:t>
      </w:r>
      <w:r w:rsidRPr="00767322">
        <w:rPr>
          <w:b/>
          <w:bCs/>
          <w:sz w:val="24"/>
          <w:szCs w:val="24"/>
          <w:rtl/>
        </w:rPr>
        <w:t>ויראה לי שאינו מתודה על השלמים אבל אומר דברי שבח</w:t>
      </w:r>
      <w:r w:rsidRPr="00767322">
        <w:rPr>
          <w:sz w:val="24"/>
          <w:szCs w:val="24"/>
          <w:rtl/>
        </w:rPr>
        <w:t>.</w:t>
      </w:r>
      <w:r>
        <w:rPr>
          <w:sz w:val="24"/>
          <w:szCs w:val="24"/>
          <w:rtl/>
        </w:rPr>
        <w:tab/>
      </w:r>
      <w:r>
        <w:rPr>
          <w:sz w:val="24"/>
          <w:szCs w:val="24"/>
          <w:rtl/>
        </w:rPr>
        <w:tab/>
      </w:r>
      <w:r>
        <w:rPr>
          <w:rFonts w:hint="cs"/>
          <w:sz w:val="24"/>
          <w:szCs w:val="24"/>
          <w:rtl/>
        </w:rPr>
        <w:t xml:space="preserve">     </w:t>
      </w:r>
      <w:r>
        <w:rPr>
          <w:rFonts w:hint="cs"/>
          <w:sz w:val="20"/>
          <w:szCs w:val="20"/>
          <w:rtl/>
        </w:rPr>
        <w:t>[הל' מעשה הקרבנות פ"ג הט"ו]</w:t>
      </w:r>
    </w:p>
    <w:p w:rsidR="00C26E1A" w:rsidRDefault="00C26E1A" w:rsidP="00C26E1A">
      <w:pPr>
        <w:spacing w:before="200" w:line="276" w:lineRule="auto"/>
        <w:ind w:firstLine="266"/>
        <w:rPr>
          <w:sz w:val="24"/>
          <w:szCs w:val="24"/>
          <w:rtl/>
        </w:rPr>
      </w:pPr>
      <w:r>
        <w:rPr>
          <w:rFonts w:hint="cs"/>
          <w:sz w:val="24"/>
          <w:szCs w:val="24"/>
          <w:rtl/>
        </w:rPr>
        <w:t xml:space="preserve">הרמב"ם נוקט כי בשעת הסמיכה על השלמים אין ווידוי אלא אמירת דברי שבח. עולה מכך, כי לשיטתו חובת הסמיכה אינה תלויה בחובת הווידוי, ולכן היא קיימת גם בשלמים שאין בהם ווידוי. עם זאת, שיטת הרמב"ם עדיין טעונה ביאור: אם חובת הסמיכה היא חובה עצמאית שאינה תלויה בחובת הווידוי, מהיכן לומד הרמב"ם את חידושו </w:t>
      </w:r>
      <w:r>
        <w:rPr>
          <w:sz w:val="24"/>
          <w:szCs w:val="24"/>
          <w:rtl/>
        </w:rPr>
        <w:t>–</w:t>
      </w:r>
      <w:r>
        <w:rPr>
          <w:rFonts w:hint="cs"/>
          <w:sz w:val="24"/>
          <w:szCs w:val="24"/>
          <w:rtl/>
        </w:rPr>
        <w:t xml:space="preserve"> אותו תולה בסברת עצמו </w:t>
      </w:r>
      <w:r>
        <w:rPr>
          <w:sz w:val="24"/>
          <w:szCs w:val="24"/>
          <w:rtl/>
        </w:rPr>
        <w:t>–</w:t>
      </w:r>
      <w:r>
        <w:rPr>
          <w:rFonts w:hint="cs"/>
          <w:sz w:val="24"/>
          <w:szCs w:val="24"/>
          <w:rtl/>
        </w:rPr>
        <w:t xml:space="preserve"> שעל השלמים "אומר דברי שבח" בשעת הווידוי? מניין לרמב"ם שהווידוי אינו נעשה בדממה? </w:t>
      </w:r>
    </w:p>
    <w:p w:rsidR="00C26E1A" w:rsidRDefault="00C26E1A" w:rsidP="00C26E1A">
      <w:pPr>
        <w:spacing w:before="200" w:line="276" w:lineRule="auto"/>
        <w:ind w:firstLine="266"/>
        <w:rPr>
          <w:sz w:val="24"/>
          <w:szCs w:val="24"/>
          <w:rtl/>
        </w:rPr>
      </w:pPr>
      <w:r>
        <w:rPr>
          <w:rFonts w:hint="cs"/>
          <w:sz w:val="24"/>
          <w:szCs w:val="24"/>
          <w:rtl/>
        </w:rPr>
        <w:t>הרב שמעון משה דיסקין בספרו 'משאת המלך' כותב בביאור שיטת הרמב"ם:</w:t>
      </w:r>
    </w:p>
    <w:p w:rsidR="00C26E1A" w:rsidRDefault="00C26E1A" w:rsidP="00C26E1A">
      <w:pPr>
        <w:spacing w:before="200" w:line="276" w:lineRule="auto"/>
        <w:ind w:left="720"/>
        <w:rPr>
          <w:sz w:val="24"/>
          <w:szCs w:val="24"/>
          <w:rtl/>
        </w:rPr>
      </w:pPr>
      <w:r w:rsidRPr="00F01D8C">
        <w:rPr>
          <w:sz w:val="24"/>
          <w:szCs w:val="24"/>
          <w:rtl/>
        </w:rPr>
        <w:t>ונראה דמבואר מדבריו</w:t>
      </w:r>
      <w:r>
        <w:rPr>
          <w:rFonts w:hint="cs"/>
          <w:sz w:val="24"/>
          <w:szCs w:val="24"/>
          <w:rtl/>
        </w:rPr>
        <w:t>,</w:t>
      </w:r>
      <w:r w:rsidRPr="00F01D8C">
        <w:rPr>
          <w:sz w:val="24"/>
          <w:szCs w:val="24"/>
          <w:rtl/>
        </w:rPr>
        <w:t xml:space="preserve"> דענ</w:t>
      </w:r>
      <w:r>
        <w:rPr>
          <w:rFonts w:hint="cs"/>
          <w:sz w:val="24"/>
          <w:szCs w:val="24"/>
          <w:rtl/>
        </w:rPr>
        <w:t>י</w:t>
      </w:r>
      <w:r w:rsidRPr="00F01D8C">
        <w:rPr>
          <w:sz w:val="24"/>
          <w:szCs w:val="24"/>
          <w:rtl/>
        </w:rPr>
        <w:t>ין וידוי על הקרבן אין ענינו רק מדין התשובה</w:t>
      </w:r>
      <w:r>
        <w:rPr>
          <w:rFonts w:hint="cs"/>
          <w:sz w:val="24"/>
          <w:szCs w:val="24"/>
          <w:rtl/>
        </w:rPr>
        <w:t>...</w:t>
      </w:r>
      <w:r w:rsidRPr="00F01D8C">
        <w:rPr>
          <w:sz w:val="24"/>
          <w:szCs w:val="24"/>
          <w:rtl/>
        </w:rPr>
        <w:t xml:space="preserve"> אלא נראה דגם מדין הקרבן הוא שיפרט ענין הקרבן. וכיון שהוא בא על חטא צריך להתודות ולפרט חטאו שמביא הקרבן עליו.</w:t>
      </w:r>
      <w:r>
        <w:rPr>
          <w:rFonts w:hint="cs"/>
          <w:sz w:val="24"/>
          <w:szCs w:val="24"/>
          <w:rtl/>
        </w:rPr>
        <w:t>...</w:t>
      </w:r>
      <w:r>
        <w:rPr>
          <w:sz w:val="24"/>
          <w:szCs w:val="24"/>
          <w:rtl/>
        </w:rPr>
        <w:t xml:space="preserve"> ואשר לפי</w:t>
      </w:r>
      <w:r>
        <w:rPr>
          <w:rFonts w:hint="cs"/>
          <w:sz w:val="24"/>
          <w:szCs w:val="24"/>
          <w:rtl/>
        </w:rPr>
        <w:t xml:space="preserve"> זה</w:t>
      </w:r>
      <w:r>
        <w:rPr>
          <w:sz w:val="24"/>
          <w:szCs w:val="24"/>
          <w:rtl/>
        </w:rPr>
        <w:t xml:space="preserve"> מבואר היטב מ</w:t>
      </w:r>
      <w:r>
        <w:rPr>
          <w:rFonts w:hint="cs"/>
          <w:sz w:val="24"/>
          <w:szCs w:val="24"/>
          <w:rtl/>
        </w:rPr>
        <w:t>ה שכתב</w:t>
      </w:r>
      <w:r w:rsidRPr="00F01D8C">
        <w:rPr>
          <w:sz w:val="24"/>
          <w:szCs w:val="24"/>
          <w:rtl/>
        </w:rPr>
        <w:t xml:space="preserve"> דבשלמים אומר דברי שבח. שהוא מאותו הדין שבחטאת מפרט ענין הקרבן</w:t>
      </w:r>
      <w:r>
        <w:rPr>
          <w:rFonts w:hint="cs"/>
          <w:sz w:val="24"/>
          <w:szCs w:val="24"/>
          <w:rtl/>
        </w:rPr>
        <w:t>,</w:t>
      </w:r>
      <w:r w:rsidRPr="00F01D8C">
        <w:rPr>
          <w:sz w:val="24"/>
          <w:szCs w:val="24"/>
          <w:rtl/>
        </w:rPr>
        <w:t xml:space="preserve"> שהוא החטא</w:t>
      </w:r>
      <w:r>
        <w:rPr>
          <w:rFonts w:hint="cs"/>
          <w:sz w:val="24"/>
          <w:szCs w:val="24"/>
          <w:rtl/>
        </w:rPr>
        <w:t>,</w:t>
      </w:r>
      <w:r>
        <w:rPr>
          <w:sz w:val="24"/>
          <w:szCs w:val="24"/>
          <w:rtl/>
        </w:rPr>
        <w:t xml:space="preserve"> כמו</w:t>
      </w:r>
      <w:r>
        <w:rPr>
          <w:rFonts w:hint="cs"/>
          <w:sz w:val="24"/>
          <w:szCs w:val="24"/>
          <w:rtl/>
        </w:rPr>
        <w:t xml:space="preserve"> כן</w:t>
      </w:r>
      <w:r w:rsidRPr="00F01D8C">
        <w:rPr>
          <w:sz w:val="24"/>
          <w:szCs w:val="24"/>
          <w:rtl/>
        </w:rPr>
        <w:t xml:space="preserve"> שלמים מפ</w:t>
      </w:r>
      <w:r>
        <w:rPr>
          <w:sz w:val="24"/>
          <w:szCs w:val="24"/>
          <w:rtl/>
        </w:rPr>
        <w:t>רט בו ענין הקרבן שהוא דברי שבח.</w:t>
      </w:r>
      <w:r>
        <w:rPr>
          <w:rFonts w:hint="cs"/>
          <w:sz w:val="24"/>
          <w:szCs w:val="24"/>
          <w:rtl/>
        </w:rPr>
        <w:t xml:space="preserve">.. </w:t>
      </w:r>
      <w:r w:rsidRPr="000365EE">
        <w:rPr>
          <w:sz w:val="24"/>
          <w:szCs w:val="24"/>
          <w:rtl/>
        </w:rPr>
        <w:t>וביותר נראה דכך הוא דין הסמיכה</w:t>
      </w:r>
      <w:r>
        <w:rPr>
          <w:rFonts w:hint="cs"/>
          <w:sz w:val="24"/>
          <w:szCs w:val="24"/>
          <w:rtl/>
        </w:rPr>
        <w:t>...</w:t>
      </w:r>
      <w:r w:rsidRPr="000365EE">
        <w:rPr>
          <w:sz w:val="24"/>
          <w:szCs w:val="24"/>
          <w:rtl/>
        </w:rPr>
        <w:t xml:space="preserve"> שהסמיכה והוידוי דין אחד הוא</w:t>
      </w:r>
      <w:r>
        <w:rPr>
          <w:rFonts w:hint="cs"/>
          <w:sz w:val="24"/>
          <w:szCs w:val="24"/>
          <w:rtl/>
        </w:rPr>
        <w:t>,</w:t>
      </w:r>
      <w:r w:rsidRPr="000365EE">
        <w:rPr>
          <w:sz w:val="24"/>
          <w:szCs w:val="24"/>
          <w:rtl/>
        </w:rPr>
        <w:t xml:space="preserve"> דסמיכה דינה לסמוך עליו ולומר סדר הויד</w:t>
      </w:r>
      <w:r>
        <w:rPr>
          <w:sz w:val="24"/>
          <w:szCs w:val="24"/>
          <w:rtl/>
        </w:rPr>
        <w:t>וי, היינו פירוט ענינו של הקרבן.</w:t>
      </w:r>
    </w:p>
    <w:p w:rsidR="00C26E1A" w:rsidRPr="000365EE" w:rsidRDefault="00C26E1A" w:rsidP="00C26E1A">
      <w:pPr>
        <w:spacing w:before="200" w:line="276" w:lineRule="auto"/>
        <w:ind w:left="720"/>
        <w:jc w:val="right"/>
        <w:rPr>
          <w:sz w:val="24"/>
          <w:szCs w:val="24"/>
          <w:rtl/>
        </w:rPr>
      </w:pPr>
      <w:r>
        <w:rPr>
          <w:rFonts w:hint="cs"/>
          <w:sz w:val="20"/>
          <w:szCs w:val="20"/>
          <w:rtl/>
        </w:rPr>
        <w:t>[משאת המלך סי' שכז]</w:t>
      </w:r>
    </w:p>
    <w:p w:rsidR="00C26E1A" w:rsidRDefault="00C26E1A" w:rsidP="00C26E1A">
      <w:pPr>
        <w:spacing w:before="200" w:line="276" w:lineRule="auto"/>
        <w:ind w:firstLine="266"/>
        <w:rPr>
          <w:sz w:val="24"/>
          <w:szCs w:val="24"/>
          <w:rtl/>
        </w:rPr>
      </w:pPr>
      <w:r>
        <w:rPr>
          <w:rFonts w:hint="cs"/>
          <w:sz w:val="24"/>
          <w:szCs w:val="24"/>
          <w:rtl/>
        </w:rPr>
        <w:t>לדבריו, שיטת הרמב"ם, בהבנת היחס בין הסמיכה לווידוי, הפוכה לחלוטין משיטת המיוחס לר"ש. לפי המיוחס לר"ש הסמיכה נובעת מחמת חובת הווידוי, ואילו לפי הרמב"ם הווידוי נעשה מחמת חובת הסמיכה</w:t>
      </w:r>
      <w:r>
        <w:rPr>
          <w:rStyle w:val="a7"/>
          <w:sz w:val="24"/>
          <w:szCs w:val="24"/>
          <w:rtl/>
        </w:rPr>
        <w:footnoteReference w:id="154"/>
      </w:r>
      <w:r>
        <w:rPr>
          <w:rFonts w:hint="cs"/>
          <w:sz w:val="24"/>
          <w:szCs w:val="24"/>
          <w:rtl/>
        </w:rPr>
        <w:t xml:space="preserve">. הרמב"ם סבור כי תפקיד הסמיכה הוא </w:t>
      </w:r>
      <w:r w:rsidRPr="00235D33">
        <w:rPr>
          <w:sz w:val="24"/>
          <w:szCs w:val="24"/>
          <w:rtl/>
        </w:rPr>
        <w:t xml:space="preserve">להגדיר את טיבו </w:t>
      </w:r>
      <w:r>
        <w:rPr>
          <w:rFonts w:hint="cs"/>
          <w:sz w:val="24"/>
          <w:szCs w:val="24"/>
          <w:rtl/>
        </w:rPr>
        <w:t xml:space="preserve">ומהותו </w:t>
      </w:r>
      <w:r w:rsidRPr="00235D33">
        <w:rPr>
          <w:sz w:val="24"/>
          <w:szCs w:val="24"/>
          <w:rtl/>
        </w:rPr>
        <w:t>של הקרבן</w:t>
      </w:r>
      <w:r>
        <w:rPr>
          <w:rFonts w:hint="cs"/>
          <w:sz w:val="24"/>
          <w:szCs w:val="24"/>
          <w:rtl/>
        </w:rPr>
        <w:t>. בשל כך, בשעת הסמיכה על הקרבנות הבאים לכפרה יש להגדיר את טיבם כקרבנות הבאים לשם כפרה, ולכן יש להתוודות עליהם. לעומת זאת, בשעת הסמיכה על שלמים יש להגדיר את טיבם כקרבנות הבאים לשם הודאה ושבח, ולכן בשעה זו יש לומר עליהם דברי שבח</w:t>
      </w:r>
      <w:r>
        <w:rPr>
          <w:rStyle w:val="a7"/>
          <w:sz w:val="24"/>
          <w:szCs w:val="24"/>
          <w:rtl/>
        </w:rPr>
        <w:footnoteReference w:id="155"/>
      </w:r>
      <w:r>
        <w:rPr>
          <w:rFonts w:hint="cs"/>
          <w:sz w:val="24"/>
          <w:szCs w:val="24"/>
          <w:rtl/>
        </w:rPr>
        <w:t>.</w:t>
      </w:r>
    </w:p>
    <w:p w:rsidR="00C26E1A" w:rsidRDefault="00C26E1A" w:rsidP="00C26E1A">
      <w:pPr>
        <w:spacing w:before="200" w:line="276" w:lineRule="auto"/>
        <w:ind w:firstLine="266"/>
        <w:rPr>
          <w:sz w:val="24"/>
          <w:szCs w:val="24"/>
          <w:rtl/>
        </w:rPr>
      </w:pPr>
      <w:r>
        <w:rPr>
          <w:rFonts w:hint="cs"/>
          <w:sz w:val="24"/>
          <w:szCs w:val="24"/>
          <w:rtl/>
        </w:rPr>
        <w:t xml:space="preserve">נמצא, כי לשיטת המיוחס לר"ש ניתן לקיים את ההבנה דלעיל, המשווה בין חובת הסמיכה והווידוי בשעיר המשתלח לחובת הסמיכה והווידוי על הקרבן: גם בקרבן וגם בשעיר המשתלח הסמיכה נעשית מחמת הווידוי. לעומת זאת, לשיטת הרמב"ם, נראה להבחין ביניהן: בשעיר המשתלח קיימת חובת ווידוי, והסמיכה היא דין בווידוי; בקרבן, לעומת זאת, קיימת חובת סמיכה, והווידוי הוא דין בסמיכה. </w:t>
      </w:r>
    </w:p>
    <w:p w:rsidR="00C26E1A" w:rsidRDefault="00C26E1A" w:rsidP="00C26E1A">
      <w:pPr>
        <w:spacing w:before="200" w:line="276" w:lineRule="auto"/>
        <w:ind w:firstLine="266"/>
        <w:rPr>
          <w:sz w:val="24"/>
          <w:szCs w:val="24"/>
          <w:rtl/>
        </w:rPr>
      </w:pPr>
    </w:p>
    <w:p w:rsidR="00C26E1A" w:rsidRDefault="00C26E1A" w:rsidP="00C26E1A">
      <w:pPr>
        <w:spacing w:before="200" w:line="276" w:lineRule="auto"/>
        <w:ind w:firstLine="266"/>
        <w:rPr>
          <w:sz w:val="24"/>
          <w:szCs w:val="24"/>
          <w:rtl/>
        </w:rPr>
      </w:pPr>
      <w:r>
        <w:rPr>
          <w:rFonts w:hint="cs"/>
          <w:sz w:val="24"/>
          <w:szCs w:val="24"/>
          <w:rtl/>
        </w:rPr>
        <w:t>החזון יחזקאל טוען כי שתי הבנות אלו במשמעות הסמיכה והווידוי בשעיר המשתלח ובשאר הקרבנות, יסודן במחלוקת תנאים במסכת מנחות. המשנה מביאה מחלוקת באלו קרבנות ציבור יש סמיכה:</w:t>
      </w:r>
    </w:p>
    <w:p w:rsidR="00C26E1A" w:rsidRDefault="00C26E1A" w:rsidP="00C26E1A">
      <w:pPr>
        <w:spacing w:before="200" w:line="276" w:lineRule="auto"/>
        <w:ind w:left="720"/>
        <w:rPr>
          <w:sz w:val="24"/>
          <w:szCs w:val="24"/>
          <w:rtl/>
        </w:rPr>
      </w:pPr>
      <w:r w:rsidRPr="0074762F">
        <w:rPr>
          <w:sz w:val="24"/>
          <w:szCs w:val="24"/>
          <w:rtl/>
        </w:rPr>
        <w:t>כל קרבנות הצבור אין בהם סמיכה</w:t>
      </w:r>
      <w:r>
        <w:rPr>
          <w:rFonts w:hint="cs"/>
          <w:sz w:val="24"/>
          <w:szCs w:val="24"/>
          <w:rtl/>
        </w:rPr>
        <w:t>,</w:t>
      </w:r>
      <w:r w:rsidRPr="0074762F">
        <w:rPr>
          <w:sz w:val="24"/>
          <w:szCs w:val="24"/>
          <w:rtl/>
        </w:rPr>
        <w:t xml:space="preserve"> חוץ מן הפר הבא על כל המצות ושעיר המשתלח. </w:t>
      </w:r>
      <w:r>
        <w:rPr>
          <w:sz w:val="24"/>
          <w:szCs w:val="24"/>
          <w:rtl/>
        </w:rPr>
        <w:t xml:space="preserve">רבי שמעון אומר: אף שעירי </w:t>
      </w:r>
      <w:r>
        <w:rPr>
          <w:rFonts w:hint="cs"/>
          <w:sz w:val="24"/>
          <w:szCs w:val="24"/>
          <w:rtl/>
        </w:rPr>
        <w:t>עבודה זרה</w:t>
      </w:r>
      <w:r w:rsidRPr="0074762F">
        <w:rPr>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[מנחות צב.]</w:t>
      </w:r>
    </w:p>
    <w:p w:rsidR="00C26E1A" w:rsidRDefault="00C26E1A" w:rsidP="00C26E1A">
      <w:pPr>
        <w:spacing w:before="200" w:line="276" w:lineRule="auto"/>
        <w:ind w:firstLine="266"/>
        <w:rPr>
          <w:sz w:val="24"/>
          <w:szCs w:val="24"/>
          <w:rtl/>
        </w:rPr>
      </w:pPr>
      <w:r>
        <w:rPr>
          <w:rFonts w:hint="cs"/>
          <w:sz w:val="24"/>
          <w:szCs w:val="24"/>
          <w:rtl/>
        </w:rPr>
        <w:t>בתוספתא מובא דין ודברים בין התנאים בעניין זה:</w:t>
      </w:r>
    </w:p>
    <w:p w:rsidR="00C26E1A" w:rsidRDefault="00C26E1A" w:rsidP="00C26E1A">
      <w:pPr>
        <w:spacing w:before="200" w:line="276" w:lineRule="auto"/>
        <w:ind w:left="720"/>
        <w:rPr>
          <w:sz w:val="24"/>
          <w:szCs w:val="24"/>
          <w:rtl/>
        </w:rPr>
      </w:pPr>
      <w:r w:rsidRPr="0074762F">
        <w:rPr>
          <w:sz w:val="24"/>
          <w:szCs w:val="24"/>
          <w:rtl/>
        </w:rPr>
        <w:lastRenderedPageBreak/>
        <w:t xml:space="preserve">כל קרבנות צבור אין בהן סמיכה חוץ מפר הבא על כל המצות ושעירי עבודה זרה שהן טעונין סמיכה, </w:t>
      </w:r>
      <w:r>
        <w:rPr>
          <w:rFonts w:hint="cs"/>
          <w:sz w:val="24"/>
          <w:szCs w:val="24"/>
          <w:rtl/>
        </w:rPr>
        <w:t>דברי רבי שמעון. רבי יהודה אומר:</w:t>
      </w:r>
      <w:r w:rsidRPr="0074762F">
        <w:rPr>
          <w:sz w:val="24"/>
          <w:szCs w:val="24"/>
          <w:rtl/>
        </w:rPr>
        <w:t xml:space="preserve"> שעירי עבודה זרה אין טעונין סמיכה. מה היה מבי</w:t>
      </w:r>
      <w:r>
        <w:rPr>
          <w:sz w:val="24"/>
          <w:szCs w:val="24"/>
          <w:rtl/>
        </w:rPr>
        <w:t>א תחתיהן? שעיר המשתלח. אמר לו ר</w:t>
      </w:r>
      <w:r>
        <w:rPr>
          <w:rFonts w:hint="cs"/>
          <w:sz w:val="24"/>
          <w:szCs w:val="24"/>
          <w:rtl/>
        </w:rPr>
        <w:t>בי</w:t>
      </w:r>
      <w:r w:rsidRPr="0074762F">
        <w:rPr>
          <w:sz w:val="24"/>
          <w:szCs w:val="24"/>
          <w:rtl/>
        </w:rPr>
        <w:t xml:space="preserve"> שמעון: והלא אין סמיכה אלא בבעלים, שעיר המשתלח סומכין </w:t>
      </w:r>
      <w:r>
        <w:rPr>
          <w:sz w:val="24"/>
          <w:szCs w:val="24"/>
          <w:rtl/>
        </w:rPr>
        <w:t>עליו אהרון ובניו כאחד. אמר לו ר</w:t>
      </w:r>
      <w:r>
        <w:rPr>
          <w:rFonts w:hint="cs"/>
          <w:sz w:val="24"/>
          <w:szCs w:val="24"/>
          <w:rtl/>
        </w:rPr>
        <w:t>בי</w:t>
      </w:r>
      <w:r w:rsidRPr="0074762F">
        <w:rPr>
          <w:sz w:val="24"/>
          <w:szCs w:val="24"/>
          <w:rtl/>
        </w:rPr>
        <w:t xml:space="preserve"> יהודה: אף הן מתכפרין בו.</w:t>
      </w:r>
    </w:p>
    <w:p w:rsidR="00C26E1A" w:rsidRPr="0074762F" w:rsidRDefault="00C26E1A" w:rsidP="00C26E1A">
      <w:pPr>
        <w:spacing w:before="200" w:line="276" w:lineRule="auto"/>
        <w:ind w:left="720"/>
        <w:jc w:val="right"/>
        <w:rPr>
          <w:sz w:val="24"/>
          <w:szCs w:val="24"/>
          <w:rtl/>
        </w:rPr>
      </w:pPr>
      <w:r>
        <w:rPr>
          <w:rFonts w:hint="cs"/>
          <w:sz w:val="20"/>
          <w:szCs w:val="20"/>
          <w:rtl/>
        </w:rPr>
        <w:t>[תוספתא מנחות פ"י ה"ג]</w:t>
      </w:r>
      <w:r w:rsidRPr="0074762F">
        <w:rPr>
          <w:rStyle w:val="a7"/>
          <w:sz w:val="24"/>
          <w:szCs w:val="24"/>
          <w:rtl/>
        </w:rPr>
        <w:footnoteReference w:id="156"/>
      </w:r>
    </w:p>
    <w:p w:rsidR="00C26E1A" w:rsidRDefault="00C26E1A" w:rsidP="00C26E1A">
      <w:pPr>
        <w:spacing w:before="200" w:line="276" w:lineRule="auto"/>
        <w:ind w:firstLine="266"/>
        <w:rPr>
          <w:sz w:val="24"/>
          <w:szCs w:val="24"/>
          <w:rtl/>
        </w:rPr>
      </w:pPr>
      <w:r w:rsidRPr="0074762F">
        <w:rPr>
          <w:sz w:val="24"/>
          <w:szCs w:val="24"/>
          <w:rtl/>
        </w:rPr>
        <w:t>מדברי התוספתא עולה, כי מוסכם על התנאים שיש שני קרבנות ציבור חריגים שיש בהם סמיכה, ונחלקו ר</w:t>
      </w:r>
      <w:r>
        <w:rPr>
          <w:rFonts w:hint="cs"/>
          <w:sz w:val="24"/>
          <w:szCs w:val="24"/>
          <w:rtl/>
        </w:rPr>
        <w:t>בי יהודה ורבי שמעון</w:t>
      </w:r>
      <w:r w:rsidRPr="0074762F">
        <w:rPr>
          <w:sz w:val="24"/>
          <w:szCs w:val="24"/>
          <w:rtl/>
        </w:rPr>
        <w:t xml:space="preserve"> האם אלו פר הב</w:t>
      </w:r>
      <w:r>
        <w:rPr>
          <w:sz w:val="24"/>
          <w:szCs w:val="24"/>
          <w:rtl/>
        </w:rPr>
        <w:t>א על כל המצוות ושעירי עבודה זרה</w:t>
      </w:r>
      <w:r w:rsidRPr="0074762F">
        <w:rPr>
          <w:sz w:val="24"/>
          <w:szCs w:val="24"/>
          <w:rtl/>
        </w:rPr>
        <w:t xml:space="preserve"> או פר הבא על כל המצוות ושעיר המשתלח.</w:t>
      </w:r>
      <w:r>
        <w:rPr>
          <w:rFonts w:hint="cs"/>
          <w:sz w:val="24"/>
          <w:szCs w:val="24"/>
          <w:rtl/>
        </w:rPr>
        <w:t xml:space="preserve"> לשיטת רבי שמעון, אמנם הכהן הגדול סומך על השעיר המשתלח, אך הכהן הגדול אינו בעל הקרבן, ולכן אין למנות את שעיר המשתלח כקרבן ציבור הטעון סמיכת בעלים. לעומת זאת, לשיטת רבי יהודה, הואיל והכהנים מתכפרים בשעיר המשתלח, יש להגדיר סמיכה זו כסמיכת הבעלים על הקרבן, ולכן יש למנות את שעיר המשתלח כקרבן ציבור הטעון סמיכת בעלים.</w:t>
      </w:r>
    </w:p>
    <w:p w:rsidR="00C26E1A" w:rsidRDefault="00C26E1A" w:rsidP="00C26E1A">
      <w:pPr>
        <w:spacing w:before="200" w:line="276" w:lineRule="auto"/>
        <w:ind w:firstLine="266"/>
        <w:rPr>
          <w:sz w:val="24"/>
          <w:szCs w:val="24"/>
          <w:rtl/>
        </w:rPr>
      </w:pPr>
      <w:r>
        <w:rPr>
          <w:rFonts w:hint="cs"/>
          <w:sz w:val="24"/>
          <w:szCs w:val="24"/>
          <w:rtl/>
        </w:rPr>
        <w:t>החזון יחזקאל לומד מכך שנחלקו רבי יהודה ורבי שמעון בגדר הסמיכה על השעיר המשתלח:</w:t>
      </w:r>
    </w:p>
    <w:p w:rsidR="00C26E1A" w:rsidRPr="004F3524" w:rsidRDefault="00C26E1A" w:rsidP="00C26E1A">
      <w:pPr>
        <w:spacing w:before="200" w:line="276" w:lineRule="auto"/>
        <w:ind w:left="720"/>
        <w:rPr>
          <w:sz w:val="20"/>
          <w:szCs w:val="20"/>
          <w:rtl/>
        </w:rPr>
      </w:pPr>
      <w:r>
        <w:rPr>
          <w:rFonts w:hint="cs"/>
          <w:sz w:val="24"/>
          <w:szCs w:val="24"/>
          <w:rtl/>
        </w:rPr>
        <w:t>ולרבי שמעון הסמיכה היא מדין עבודת הכהן הגדול בקרבן השעיר המשתלח. ורבי יהודה סובר כי אף הכהן הגדול מתכפר בשעיר המשתלח, וסמיכתו הוה סמיכה בבעלים, ודינה כדין שאר סמיכה.</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[חזון יחזקאל שם, ד"ה אמר לו]</w:t>
      </w:r>
    </w:p>
    <w:p w:rsidR="00C26E1A" w:rsidRDefault="00C26E1A" w:rsidP="00C26E1A">
      <w:pPr>
        <w:spacing w:before="200" w:line="276" w:lineRule="auto"/>
        <w:ind w:firstLine="266"/>
        <w:rPr>
          <w:color w:val="FF0000"/>
          <w:sz w:val="24"/>
          <w:szCs w:val="24"/>
          <w:rtl/>
        </w:rPr>
      </w:pPr>
      <w:r>
        <w:rPr>
          <w:rFonts w:hint="cs"/>
          <w:sz w:val="24"/>
          <w:szCs w:val="24"/>
          <w:rtl/>
        </w:rPr>
        <w:t xml:space="preserve"> לדברי החזון יחזקאל, רבי יהודה סובר כי הסמיכה על השעיר היא מדין חובת הבעלים לסמוך על קרבנו. לעומת זאת, לפי רבי שמעון, זו סמיכה מדין ייחודי בשעיר המשתלח</w:t>
      </w:r>
      <w:r>
        <w:rPr>
          <w:rStyle w:val="a7"/>
          <w:sz w:val="24"/>
          <w:szCs w:val="24"/>
          <w:rtl/>
        </w:rPr>
        <w:footnoteReference w:id="157"/>
      </w:r>
      <w:r>
        <w:rPr>
          <w:rFonts w:hint="cs"/>
          <w:sz w:val="24"/>
          <w:szCs w:val="24"/>
          <w:rtl/>
        </w:rPr>
        <w:t xml:space="preserve">. </w:t>
      </w:r>
    </w:p>
    <w:p w:rsidR="00C26E1A" w:rsidRDefault="00C26E1A" w:rsidP="00C26E1A">
      <w:pPr>
        <w:spacing w:before="200" w:line="276" w:lineRule="auto"/>
        <w:ind w:firstLine="266"/>
        <w:rPr>
          <w:sz w:val="24"/>
          <w:szCs w:val="24"/>
          <w:rtl/>
        </w:rPr>
      </w:pPr>
      <w:r>
        <w:rPr>
          <w:rFonts w:hint="cs"/>
          <w:sz w:val="24"/>
          <w:szCs w:val="24"/>
          <w:rtl/>
        </w:rPr>
        <w:t>החזון יחזקאל מוסיף ומציע כי מחלוקת רבי יהודה ורבי שמעון בגדר הסמיכה על השעיר, עומדת ביסוד מחלוקת נוספת ביניהם:</w:t>
      </w:r>
    </w:p>
    <w:p w:rsidR="00C26E1A" w:rsidRPr="006106E2" w:rsidRDefault="00C26E1A" w:rsidP="00C26E1A">
      <w:pPr>
        <w:spacing w:before="200" w:line="276" w:lineRule="auto"/>
        <w:ind w:left="720"/>
        <w:rPr>
          <w:sz w:val="20"/>
          <w:szCs w:val="20"/>
          <w:rtl/>
        </w:rPr>
      </w:pPr>
      <w:r w:rsidRPr="004F3524">
        <w:rPr>
          <w:sz w:val="24"/>
          <w:szCs w:val="24"/>
          <w:rtl/>
        </w:rPr>
        <w:t xml:space="preserve">יעמד חי לפני ה' לכפר עליו </w:t>
      </w:r>
      <w:r>
        <w:rPr>
          <w:sz w:val="24"/>
          <w:szCs w:val="24"/>
          <w:rtl/>
        </w:rPr>
        <w:t>–</w:t>
      </w:r>
      <w:r>
        <w:rPr>
          <w:rFonts w:hint="cs"/>
          <w:sz w:val="24"/>
          <w:szCs w:val="24"/>
          <w:rtl/>
        </w:rPr>
        <w:t xml:space="preserve"> </w:t>
      </w:r>
      <w:r w:rsidRPr="004F3524">
        <w:rPr>
          <w:sz w:val="24"/>
          <w:szCs w:val="24"/>
          <w:rtl/>
        </w:rPr>
        <w:t>עד מתי יהיה זקוק לעמוד חי</w:t>
      </w:r>
      <w:r>
        <w:rPr>
          <w:rFonts w:hint="cs"/>
          <w:sz w:val="24"/>
          <w:szCs w:val="24"/>
          <w:rtl/>
        </w:rPr>
        <w:t>?</w:t>
      </w:r>
      <w:r w:rsidRPr="004F3524">
        <w:rPr>
          <w:sz w:val="24"/>
          <w:szCs w:val="24"/>
          <w:rtl/>
        </w:rPr>
        <w:t xml:space="preserve"> עד שעת מתן דמו של חבירו</w:t>
      </w:r>
      <w:r>
        <w:rPr>
          <w:rFonts w:hint="cs"/>
          <w:sz w:val="24"/>
          <w:szCs w:val="24"/>
          <w:rtl/>
        </w:rPr>
        <w:t>,</w:t>
      </w:r>
      <w:r w:rsidRPr="004F3524">
        <w:rPr>
          <w:sz w:val="24"/>
          <w:szCs w:val="24"/>
          <w:rtl/>
        </w:rPr>
        <w:t xml:space="preserve"> דברי רבי יהודה</w:t>
      </w:r>
      <w:r>
        <w:rPr>
          <w:rFonts w:hint="cs"/>
          <w:sz w:val="24"/>
          <w:szCs w:val="24"/>
          <w:rtl/>
        </w:rPr>
        <w:t>.</w:t>
      </w:r>
      <w:r w:rsidRPr="004F3524">
        <w:rPr>
          <w:sz w:val="24"/>
          <w:szCs w:val="24"/>
          <w:rtl/>
        </w:rPr>
        <w:t xml:space="preserve"> רבי שמעון אומר</w:t>
      </w:r>
      <w:r>
        <w:rPr>
          <w:rFonts w:hint="cs"/>
          <w:sz w:val="24"/>
          <w:szCs w:val="24"/>
          <w:rtl/>
        </w:rPr>
        <w:t>:</w:t>
      </w:r>
      <w:r w:rsidRPr="004F3524">
        <w:rPr>
          <w:sz w:val="24"/>
          <w:szCs w:val="24"/>
          <w:rtl/>
        </w:rPr>
        <w:t xml:space="preserve"> עד שעת וידוי דברים</w:t>
      </w:r>
      <w:r>
        <w:rPr>
          <w:rFonts w:hint="cs"/>
          <w:sz w:val="24"/>
          <w:szCs w:val="24"/>
          <w:rtl/>
        </w:rPr>
        <w:t>.</w:t>
      </w:r>
      <w:r>
        <w:rPr>
          <w:sz w:val="20"/>
          <w:szCs w:val="20"/>
          <w:rtl/>
        </w:rPr>
        <w:tab/>
      </w:r>
      <w:r>
        <w:rPr>
          <w:sz w:val="20"/>
          <w:szCs w:val="20"/>
          <w:rtl/>
        </w:rPr>
        <w:tab/>
      </w:r>
      <w:r>
        <w:rPr>
          <w:sz w:val="20"/>
          <w:szCs w:val="20"/>
          <w:rtl/>
        </w:rPr>
        <w:tab/>
      </w:r>
      <w:r>
        <w:rPr>
          <w:rFonts w:hint="cs"/>
          <w:sz w:val="20"/>
          <w:szCs w:val="20"/>
          <w:rtl/>
        </w:rPr>
        <w:t xml:space="preserve">        [יומא מ:]</w:t>
      </w:r>
    </w:p>
    <w:p w:rsidR="00C26E1A" w:rsidRDefault="00C26E1A" w:rsidP="00C26E1A">
      <w:pPr>
        <w:spacing w:before="200" w:line="276" w:lineRule="auto"/>
        <w:ind w:firstLine="266"/>
        <w:rPr>
          <w:sz w:val="24"/>
          <w:szCs w:val="24"/>
          <w:rtl/>
        </w:rPr>
      </w:pPr>
      <w:r>
        <w:rPr>
          <w:rFonts w:hint="cs"/>
          <w:sz w:val="24"/>
          <w:szCs w:val="24"/>
          <w:rtl/>
        </w:rPr>
        <w:t>רבי יהודה ורבי שמעון נחלקים עד איזו שעה השעיר המשתלח צריך להיות חי: עד שעת מתן דם השעיר הפנימי או עד שעת הווידוי. עולה מכך מחלוקת ביניהם האם הווידוי על השעיר מעכב.</w:t>
      </w:r>
    </w:p>
    <w:p w:rsidR="00C26E1A" w:rsidRDefault="00C26E1A" w:rsidP="00C26E1A">
      <w:pPr>
        <w:spacing w:before="200" w:line="276" w:lineRule="auto"/>
        <w:ind w:firstLine="266"/>
        <w:rPr>
          <w:sz w:val="24"/>
          <w:szCs w:val="24"/>
          <w:rtl/>
        </w:rPr>
      </w:pPr>
      <w:r>
        <w:rPr>
          <w:rFonts w:hint="cs"/>
          <w:sz w:val="24"/>
          <w:szCs w:val="24"/>
          <w:rtl/>
        </w:rPr>
        <w:t>החזון יחזקאל טוען כי מחלוקת זו נעוצה במחלוקת הקודמת ביניהם, בגדר הסמיכה על השעיר:</w:t>
      </w:r>
    </w:p>
    <w:p w:rsidR="00C26E1A" w:rsidRPr="00E31B43" w:rsidRDefault="00C26E1A" w:rsidP="00C26E1A">
      <w:pPr>
        <w:spacing w:before="200" w:line="276" w:lineRule="auto"/>
        <w:ind w:left="720"/>
        <w:rPr>
          <w:sz w:val="20"/>
          <w:szCs w:val="20"/>
          <w:rtl/>
        </w:rPr>
      </w:pPr>
      <w:r w:rsidRPr="00A16C03">
        <w:rPr>
          <w:sz w:val="24"/>
          <w:szCs w:val="24"/>
          <w:rtl/>
        </w:rPr>
        <w:t xml:space="preserve">ואולי אזלי רבי יהודה ורבי שמעון לטעמייהו דהכא בפלוגתתם בתוספתא יומא (פ"ג הלכה ז'), ר' יהודה סובר שם שהודוי על שעיר המשתלח אינו מעכב, משום שלדידיה הסמיכה והודוי בשעיר המשתלח הוא כודוי שבכל קרבן חטאת שמתודה </w:t>
      </w:r>
      <w:r w:rsidRPr="004F3524">
        <w:rPr>
          <w:sz w:val="24"/>
          <w:szCs w:val="24"/>
          <w:rtl/>
        </w:rPr>
        <w:t>בשעת סמיכתו (כדקתני לקמן) ואינו מעכב, והוא הדין הכא נמי לא מעכב. ורבי שמעון שסובר הכא שהסמיכה בשעיר המשתלח אינה מדין סמיכה בעלמא, אך הסמיכה בשעיר המשתלח היא מדין עבודת הכהן הגדול בקרבן השעיר המשתלח, ולדידיה הסמיכה והודוי מעכב</w:t>
      </w:r>
      <w:r w:rsidRPr="004F3524">
        <w:rPr>
          <w:rFonts w:hint="cs"/>
          <w:sz w:val="24"/>
          <w:szCs w:val="24"/>
          <w:rtl/>
        </w:rPr>
        <w:t>.</w:t>
      </w:r>
      <w:r w:rsidRPr="004F3524">
        <w:rPr>
          <w:sz w:val="24"/>
          <w:szCs w:val="24"/>
          <w:rtl/>
        </w:rPr>
        <w:tab/>
      </w:r>
      <w:r w:rsidRPr="004F3524">
        <w:rPr>
          <w:sz w:val="24"/>
          <w:szCs w:val="24"/>
          <w:rtl/>
        </w:rPr>
        <w:tab/>
      </w:r>
      <w:r w:rsidRPr="004F3524">
        <w:rPr>
          <w:sz w:val="24"/>
          <w:szCs w:val="24"/>
          <w:rtl/>
        </w:rPr>
        <w:tab/>
      </w:r>
      <w:r w:rsidRPr="004F3524">
        <w:rPr>
          <w:rFonts w:hint="cs"/>
          <w:sz w:val="20"/>
          <w:szCs w:val="20"/>
          <w:rtl/>
        </w:rPr>
        <w:t>[שם]</w:t>
      </w:r>
    </w:p>
    <w:p w:rsidR="00C26E1A" w:rsidRDefault="00C26E1A" w:rsidP="00C26E1A">
      <w:pPr>
        <w:spacing w:before="200" w:line="276" w:lineRule="auto"/>
        <w:ind w:firstLine="266"/>
        <w:rPr>
          <w:sz w:val="24"/>
          <w:szCs w:val="24"/>
          <w:rtl/>
        </w:rPr>
      </w:pPr>
      <w:r>
        <w:rPr>
          <w:rFonts w:hint="cs"/>
          <w:sz w:val="24"/>
          <w:szCs w:val="24"/>
          <w:rtl/>
        </w:rPr>
        <w:t>לטענתו, רבי יהודה סובר כי חובת הסמיכה והווידוי בשעיר המשתלח היא מדין סמיכה ווידוי על הקרבן. בשל כך, כשם שבכל הקרבנות הסמיכה והווידוי אינם מעכבים, כך הם אינם מעכבים גם בשעיר המשתלח. לעומתו, רבי שמעון סובר כי חובת הסמיכה והווידוי בשעיר המשתלח היא דין ייחודי בשעיר המשתלח, ודין זה הוא לעיכובא</w:t>
      </w:r>
      <w:r>
        <w:rPr>
          <w:rStyle w:val="a7"/>
          <w:sz w:val="24"/>
          <w:szCs w:val="24"/>
          <w:rtl/>
        </w:rPr>
        <w:footnoteReference w:id="158"/>
      </w:r>
      <w:r>
        <w:rPr>
          <w:rFonts w:hint="cs"/>
          <w:sz w:val="24"/>
          <w:szCs w:val="24"/>
          <w:rtl/>
        </w:rPr>
        <w:t>.</w:t>
      </w:r>
    </w:p>
    <w:p w:rsidR="00C26E1A" w:rsidRDefault="00C26E1A" w:rsidP="00C26E1A">
      <w:pPr>
        <w:spacing w:before="200" w:line="276" w:lineRule="auto"/>
        <w:ind w:firstLine="266"/>
        <w:rPr>
          <w:sz w:val="24"/>
          <w:szCs w:val="24"/>
          <w:rtl/>
        </w:rPr>
      </w:pPr>
      <w:r>
        <w:rPr>
          <w:rFonts w:hint="cs"/>
          <w:sz w:val="24"/>
          <w:szCs w:val="24"/>
          <w:rtl/>
        </w:rPr>
        <w:lastRenderedPageBreak/>
        <w:t>שיטת רבי שמעון קרובה להבנה שהוצגה בתחילת השיעור, המבוססת על פשטות הכתובים, המחלקת בין הסמיכה והווידוי בשעיר המשתלח לסמיכה ווידוי על הקרבן. עם זאת, בשיטת רבי שמעון עולה תפיסה חדשה במשמעות הווידוי על השעיר המשתלח. לשיטתו, הווידוי אינו רק המעשה באמצעותו השעיר 'נושא' את עוונות בני ישראל, אלא הווידוי הוא עבודת הכפרה הנעשית בשעיר המשתלח במקדש. על פי שיטה זו, כפרת כל הקרבנות היא 'כפרת דמים', ואילו כפרת השעיר המשתלח היא 'כפרת דברים', בווידוי הנעשה עליו. בשל כך, הווידוי מעכב, והוא המכפר על ישראל</w:t>
      </w:r>
      <w:r>
        <w:rPr>
          <w:rStyle w:val="a7"/>
          <w:sz w:val="24"/>
          <w:szCs w:val="24"/>
          <w:rtl/>
        </w:rPr>
        <w:footnoteReference w:id="159"/>
      </w:r>
      <w:r>
        <w:rPr>
          <w:rFonts w:hint="cs"/>
          <w:sz w:val="24"/>
          <w:szCs w:val="24"/>
          <w:rtl/>
        </w:rPr>
        <w:t>.</w:t>
      </w:r>
    </w:p>
    <w:p w:rsidR="00C26E1A" w:rsidRDefault="00C26E1A" w:rsidP="00C26E1A">
      <w:pPr>
        <w:spacing w:before="200" w:line="276" w:lineRule="auto"/>
        <w:ind w:firstLine="266"/>
        <w:rPr>
          <w:sz w:val="24"/>
          <w:szCs w:val="24"/>
          <w:rtl/>
        </w:rPr>
      </w:pPr>
    </w:p>
    <w:p w:rsidR="00C26E1A" w:rsidRDefault="00C26E1A" w:rsidP="00C26E1A">
      <w:pPr>
        <w:spacing w:before="200" w:line="276" w:lineRule="auto"/>
        <w:ind w:firstLine="266"/>
        <w:rPr>
          <w:sz w:val="24"/>
          <w:szCs w:val="24"/>
          <w:rtl/>
        </w:rPr>
      </w:pPr>
      <w:r>
        <w:rPr>
          <w:rFonts w:hint="cs"/>
          <w:sz w:val="24"/>
          <w:szCs w:val="24"/>
          <w:rtl/>
        </w:rPr>
        <w:t>בשולי הדברים יש להעיר, כי היראים מונה את מצות הווידוי ביום הכיפורים כמצוה בפני עצמה:</w:t>
      </w:r>
    </w:p>
    <w:p w:rsidR="00C26E1A" w:rsidRDefault="00C26E1A" w:rsidP="00C26E1A">
      <w:pPr>
        <w:spacing w:before="200" w:line="276" w:lineRule="auto"/>
        <w:ind w:left="720"/>
        <w:rPr>
          <w:sz w:val="24"/>
          <w:szCs w:val="24"/>
          <w:rtl/>
        </w:rPr>
      </w:pPr>
      <w:r w:rsidRPr="0025343C">
        <w:rPr>
          <w:sz w:val="24"/>
          <w:szCs w:val="24"/>
          <w:rtl/>
        </w:rPr>
        <w:t>וידוי יום הכפורים. צוה יוצרינו לכהן גדול שיתודה על חטאת יום הכפורים ב' וידויין</w:t>
      </w:r>
      <w:r>
        <w:rPr>
          <w:rFonts w:hint="cs"/>
          <w:sz w:val="24"/>
          <w:szCs w:val="24"/>
          <w:rtl/>
        </w:rPr>
        <w:t>,</w:t>
      </w:r>
      <w:r w:rsidRPr="0025343C">
        <w:rPr>
          <w:sz w:val="24"/>
          <w:szCs w:val="24"/>
          <w:rtl/>
        </w:rPr>
        <w:t xml:space="preserve"> אחד עליו ועל ביתו</w:t>
      </w:r>
      <w:r>
        <w:rPr>
          <w:rFonts w:hint="cs"/>
          <w:sz w:val="24"/>
          <w:szCs w:val="24"/>
          <w:rtl/>
        </w:rPr>
        <w:t>,</w:t>
      </w:r>
      <w:r w:rsidRPr="0025343C">
        <w:rPr>
          <w:sz w:val="24"/>
          <w:szCs w:val="24"/>
          <w:rtl/>
        </w:rPr>
        <w:t xml:space="preserve"> ועל שעיר המשתלח עו</w:t>
      </w:r>
      <w:r>
        <w:rPr>
          <w:rFonts w:hint="cs"/>
          <w:sz w:val="24"/>
          <w:szCs w:val="24"/>
          <w:rtl/>
        </w:rPr>
        <w:t>ו</w:t>
      </w:r>
      <w:r w:rsidRPr="0025343C">
        <w:rPr>
          <w:sz w:val="24"/>
          <w:szCs w:val="24"/>
          <w:rtl/>
        </w:rPr>
        <w:t>ן ישראל.</w:t>
      </w:r>
      <w:r>
        <w:rPr>
          <w:sz w:val="24"/>
          <w:szCs w:val="24"/>
          <w:rtl/>
        </w:rPr>
        <w:tab/>
      </w:r>
      <w:r>
        <w:rPr>
          <w:sz w:val="24"/>
          <w:szCs w:val="24"/>
          <w:rtl/>
        </w:rPr>
        <w:tab/>
      </w:r>
      <w:r>
        <w:rPr>
          <w:sz w:val="24"/>
          <w:szCs w:val="24"/>
          <w:rtl/>
        </w:rPr>
        <w:tab/>
      </w:r>
      <w:r>
        <w:rPr>
          <w:sz w:val="24"/>
          <w:szCs w:val="24"/>
          <w:rtl/>
        </w:rPr>
        <w:tab/>
      </w:r>
      <w:r>
        <w:rPr>
          <w:rFonts w:hint="cs"/>
          <w:sz w:val="20"/>
          <w:szCs w:val="20"/>
          <w:rtl/>
        </w:rPr>
        <w:t>[יראים סי' רסג]</w:t>
      </w:r>
    </w:p>
    <w:p w:rsidR="00C26E1A" w:rsidRDefault="00C26E1A" w:rsidP="00C26E1A">
      <w:pPr>
        <w:spacing w:before="200" w:line="276" w:lineRule="auto"/>
        <w:ind w:firstLine="266"/>
        <w:rPr>
          <w:sz w:val="24"/>
          <w:szCs w:val="24"/>
          <w:rtl/>
        </w:rPr>
      </w:pPr>
      <w:r>
        <w:rPr>
          <w:rFonts w:hint="cs"/>
          <w:sz w:val="24"/>
          <w:szCs w:val="24"/>
          <w:rtl/>
        </w:rPr>
        <w:t>מדבריו עולה כי הווידוי אינו דין בקרבן, וכן אינו פרט בעבודת יום הכיפורים, אלא זהו דין בפני עצמו: כשם שיש לקיים את עבודות 'כפרת הדם', כך יש לבצע עבודת כפרה נוספת: 'כפרת דברים', על ידי ווידוי בפה</w:t>
      </w:r>
      <w:r>
        <w:rPr>
          <w:rStyle w:val="a7"/>
          <w:sz w:val="24"/>
          <w:szCs w:val="24"/>
          <w:rtl/>
        </w:rPr>
        <w:footnoteReference w:id="160"/>
      </w:r>
      <w:r>
        <w:rPr>
          <w:rFonts w:hint="cs"/>
          <w:sz w:val="24"/>
          <w:szCs w:val="24"/>
          <w:rtl/>
        </w:rPr>
        <w:t xml:space="preserve">. </w:t>
      </w:r>
    </w:p>
    <w:p w:rsidR="00C26E1A" w:rsidRDefault="00C26E1A" w:rsidP="00C26E1A">
      <w:pPr>
        <w:spacing w:before="200" w:line="276" w:lineRule="auto"/>
        <w:ind w:firstLine="266"/>
        <w:rPr>
          <w:sz w:val="24"/>
          <w:szCs w:val="24"/>
          <w:rtl/>
        </w:rPr>
      </w:pPr>
      <w:r>
        <w:rPr>
          <w:rFonts w:hint="cs"/>
          <w:sz w:val="24"/>
          <w:szCs w:val="24"/>
          <w:rtl/>
        </w:rPr>
        <w:t>שיטת היראים בעניין זה עולה מדבריו במקום נוסף:</w:t>
      </w:r>
    </w:p>
    <w:p w:rsidR="00C26E1A" w:rsidRDefault="00C26E1A" w:rsidP="00C26E1A">
      <w:pPr>
        <w:spacing w:before="200" w:line="276" w:lineRule="auto"/>
        <w:ind w:left="720"/>
        <w:rPr>
          <w:sz w:val="24"/>
          <w:szCs w:val="24"/>
          <w:rtl/>
        </w:rPr>
      </w:pPr>
      <w:r w:rsidRPr="00532BBD">
        <w:rPr>
          <w:sz w:val="24"/>
          <w:szCs w:val="24"/>
          <w:rtl/>
        </w:rPr>
        <w:t>חטא לכפר בתחנונים וקרבן. שם יוצרנו יתברך ויתעלה נצח</w:t>
      </w:r>
      <w:r>
        <w:rPr>
          <w:rFonts w:hint="cs"/>
          <w:sz w:val="24"/>
          <w:szCs w:val="24"/>
          <w:rtl/>
        </w:rPr>
        <w:t>,</w:t>
      </w:r>
      <w:r w:rsidRPr="00532BBD">
        <w:rPr>
          <w:sz w:val="24"/>
          <w:szCs w:val="24"/>
          <w:rtl/>
        </w:rPr>
        <w:t xml:space="preserve"> צ</w:t>
      </w:r>
      <w:r>
        <w:rPr>
          <w:rFonts w:hint="cs"/>
          <w:sz w:val="24"/>
          <w:szCs w:val="24"/>
          <w:rtl/>
        </w:rPr>
        <w:t>יו</w:t>
      </w:r>
      <w:r w:rsidRPr="00532BBD">
        <w:rPr>
          <w:sz w:val="24"/>
          <w:szCs w:val="24"/>
          <w:rtl/>
        </w:rPr>
        <w:t>וה כי יחטא אדם בשוגג שחייבים על זדונו כרת יביא חטאת</w:t>
      </w:r>
      <w:r>
        <w:rPr>
          <w:rFonts w:hint="cs"/>
          <w:sz w:val="24"/>
          <w:szCs w:val="24"/>
          <w:rtl/>
        </w:rPr>
        <w:t xml:space="preserve">... </w:t>
      </w:r>
      <w:r w:rsidRPr="00532BBD">
        <w:rPr>
          <w:sz w:val="24"/>
          <w:szCs w:val="24"/>
          <w:rtl/>
        </w:rPr>
        <w:t xml:space="preserve">ובכולן כתיב בהן </w:t>
      </w:r>
      <w:r>
        <w:rPr>
          <w:rFonts w:hint="cs"/>
          <w:sz w:val="24"/>
          <w:szCs w:val="24"/>
          <w:rtl/>
        </w:rPr>
        <w:t>'</w:t>
      </w:r>
      <w:r w:rsidRPr="00532BBD">
        <w:rPr>
          <w:sz w:val="24"/>
          <w:szCs w:val="24"/>
          <w:rtl/>
        </w:rPr>
        <w:t>וכפר</w:t>
      </w:r>
      <w:r>
        <w:rPr>
          <w:rFonts w:hint="cs"/>
          <w:sz w:val="24"/>
          <w:szCs w:val="24"/>
          <w:rtl/>
        </w:rPr>
        <w:t>',</w:t>
      </w:r>
      <w:r w:rsidRPr="00532BBD">
        <w:rPr>
          <w:sz w:val="24"/>
          <w:szCs w:val="24"/>
          <w:rtl/>
        </w:rPr>
        <w:t xml:space="preserve"> למדנו מ</w:t>
      </w:r>
      <w:r>
        <w:rPr>
          <w:rFonts w:hint="cs"/>
          <w:sz w:val="24"/>
          <w:szCs w:val="24"/>
          <w:rtl/>
        </w:rPr>
        <w:t>'</w:t>
      </w:r>
      <w:r w:rsidRPr="00532BBD">
        <w:rPr>
          <w:sz w:val="24"/>
          <w:szCs w:val="24"/>
          <w:rtl/>
        </w:rPr>
        <w:t>וכפר</w:t>
      </w:r>
      <w:r>
        <w:rPr>
          <w:rFonts w:hint="cs"/>
          <w:sz w:val="24"/>
          <w:szCs w:val="24"/>
          <w:rtl/>
        </w:rPr>
        <w:t>'</w:t>
      </w:r>
      <w:r w:rsidRPr="00532BBD">
        <w:rPr>
          <w:sz w:val="24"/>
          <w:szCs w:val="24"/>
          <w:rtl/>
        </w:rPr>
        <w:t xml:space="preserve"> שבשעה שיביא קרבן יתוודה ויתחנן שימחול לו יוצרנו</w:t>
      </w:r>
      <w:r>
        <w:rPr>
          <w:rFonts w:hint="cs"/>
          <w:sz w:val="24"/>
          <w:szCs w:val="24"/>
          <w:rtl/>
        </w:rPr>
        <w:t>,</w:t>
      </w:r>
      <w:r>
        <w:rPr>
          <w:sz w:val="24"/>
          <w:szCs w:val="24"/>
          <w:rtl/>
        </w:rPr>
        <w:t xml:space="preserve"> דילפינן מכפרת יו</w:t>
      </w:r>
      <w:r>
        <w:rPr>
          <w:rFonts w:hint="cs"/>
          <w:sz w:val="24"/>
          <w:szCs w:val="24"/>
          <w:rtl/>
        </w:rPr>
        <w:t>ם הכיפורים,</w:t>
      </w:r>
      <w:r>
        <w:rPr>
          <w:sz w:val="24"/>
          <w:szCs w:val="24"/>
          <w:rtl/>
        </w:rPr>
        <w:t xml:space="preserve"> דתניא ביומא פ</w:t>
      </w:r>
      <w:r>
        <w:rPr>
          <w:rFonts w:hint="cs"/>
          <w:sz w:val="24"/>
          <w:szCs w:val="24"/>
          <w:rtl/>
        </w:rPr>
        <w:t>רק</w:t>
      </w:r>
      <w:r>
        <w:rPr>
          <w:sz w:val="24"/>
          <w:szCs w:val="24"/>
          <w:rtl/>
        </w:rPr>
        <w:t xml:space="preserve"> אמר להם הממונ</w:t>
      </w:r>
      <w:r>
        <w:rPr>
          <w:rFonts w:hint="cs"/>
          <w:sz w:val="24"/>
          <w:szCs w:val="24"/>
          <w:rtl/>
        </w:rPr>
        <w:t>ה: '</w:t>
      </w:r>
      <w:r w:rsidRPr="00532BBD">
        <w:rPr>
          <w:sz w:val="24"/>
          <w:szCs w:val="24"/>
          <w:rtl/>
        </w:rPr>
        <w:t xml:space="preserve">וכפר </w:t>
      </w:r>
      <w:r>
        <w:rPr>
          <w:sz w:val="24"/>
          <w:szCs w:val="24"/>
          <w:rtl/>
        </w:rPr>
        <w:t>–</w:t>
      </w:r>
      <w:r>
        <w:rPr>
          <w:rFonts w:hint="cs"/>
          <w:sz w:val="24"/>
          <w:szCs w:val="24"/>
          <w:rtl/>
        </w:rPr>
        <w:t xml:space="preserve"> </w:t>
      </w:r>
      <w:r w:rsidRPr="00532BBD">
        <w:rPr>
          <w:sz w:val="24"/>
          <w:szCs w:val="24"/>
          <w:rtl/>
        </w:rPr>
        <w:t>בכפרת דברים הכתוב מדבר</w:t>
      </w:r>
      <w:r>
        <w:rPr>
          <w:rFonts w:hint="cs"/>
          <w:sz w:val="24"/>
          <w:szCs w:val="24"/>
          <w:rtl/>
        </w:rPr>
        <w:t>.</w:t>
      </w:r>
      <w:r w:rsidRPr="00532BBD">
        <w:rPr>
          <w:sz w:val="24"/>
          <w:szCs w:val="24"/>
          <w:rtl/>
        </w:rPr>
        <w:t xml:space="preserve"> אתה אומר בכפרת דברים</w:t>
      </w:r>
      <w:r>
        <w:rPr>
          <w:rFonts w:hint="cs"/>
          <w:sz w:val="24"/>
          <w:szCs w:val="24"/>
          <w:rtl/>
        </w:rPr>
        <w:t>,</w:t>
      </w:r>
      <w:r w:rsidRPr="00532BBD">
        <w:rPr>
          <w:sz w:val="24"/>
          <w:szCs w:val="24"/>
          <w:rtl/>
        </w:rPr>
        <w:t xml:space="preserve"> או אינו אלא וכו'</w:t>
      </w:r>
      <w:r>
        <w:rPr>
          <w:rFonts w:hint="cs"/>
          <w:sz w:val="24"/>
          <w:szCs w:val="24"/>
          <w:rtl/>
        </w:rPr>
        <w:t>,</w:t>
      </w:r>
      <w:r w:rsidRPr="00532BBD">
        <w:rPr>
          <w:sz w:val="24"/>
          <w:szCs w:val="24"/>
          <w:rtl/>
        </w:rPr>
        <w:t xml:space="preserve"> נאמר כאן כפרה ונאמר להלן כפרה</w:t>
      </w:r>
      <w:r>
        <w:rPr>
          <w:rFonts w:hint="cs"/>
          <w:sz w:val="24"/>
          <w:szCs w:val="24"/>
          <w:rtl/>
        </w:rPr>
        <w:t>,</w:t>
      </w:r>
      <w:r w:rsidRPr="00532BBD">
        <w:rPr>
          <w:sz w:val="24"/>
          <w:szCs w:val="24"/>
          <w:rtl/>
        </w:rPr>
        <w:t xml:space="preserve"> מה להלן כפרת דברים אף כאן כפרת דברים</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[יראים סי' תמא]</w:t>
      </w:r>
    </w:p>
    <w:p w:rsidR="00C26E1A" w:rsidRDefault="00C26E1A" w:rsidP="00C26E1A">
      <w:pPr>
        <w:spacing w:before="200" w:line="276" w:lineRule="auto"/>
        <w:ind w:firstLine="266"/>
        <w:rPr>
          <w:sz w:val="24"/>
          <w:szCs w:val="24"/>
          <w:rtl/>
        </w:rPr>
      </w:pPr>
      <w:r>
        <w:rPr>
          <w:rFonts w:hint="cs"/>
          <w:sz w:val="24"/>
          <w:szCs w:val="24"/>
          <w:rtl/>
        </w:rPr>
        <w:t xml:space="preserve">לדברי היראים, חטא מחייב כפרה כפולה </w:t>
      </w:r>
      <w:r>
        <w:rPr>
          <w:sz w:val="24"/>
          <w:szCs w:val="24"/>
          <w:rtl/>
        </w:rPr>
        <w:t>–</w:t>
      </w:r>
      <w:r>
        <w:rPr>
          <w:rFonts w:hint="cs"/>
          <w:sz w:val="24"/>
          <w:szCs w:val="24"/>
          <w:rtl/>
        </w:rPr>
        <w:t xml:space="preserve"> בקרבן ובווידוי פה. נמצא, כי היראים משווה בין ווידוי של שעיר המשתלח לווידוי על הקרבן, אך לשיטתו ווידוי זה אינו דין בקרבן, אלא הוא מהווה חובה בפני עצמה </w:t>
      </w:r>
      <w:r>
        <w:rPr>
          <w:sz w:val="24"/>
          <w:szCs w:val="24"/>
          <w:rtl/>
        </w:rPr>
        <w:t>–</w:t>
      </w:r>
      <w:r>
        <w:rPr>
          <w:rFonts w:hint="cs"/>
          <w:sz w:val="24"/>
          <w:szCs w:val="24"/>
          <w:rtl/>
        </w:rPr>
        <w:t xml:space="preserve"> כפרת דברים הנעשית על ידי הווידוי.</w:t>
      </w:r>
    </w:p>
    <w:p w:rsidR="00C26E1A" w:rsidRDefault="00C26E1A" w:rsidP="00C26E1A">
      <w:pPr>
        <w:spacing w:after="120" w:line="276" w:lineRule="auto"/>
        <w:ind w:firstLine="227"/>
        <w:jc w:val="right"/>
        <w:rPr>
          <w:sz w:val="24"/>
          <w:szCs w:val="24"/>
          <w:u w:val="single"/>
          <w:rtl/>
        </w:rPr>
      </w:pPr>
    </w:p>
    <w:p w:rsidR="00C26E1A" w:rsidRPr="00AD2317" w:rsidRDefault="00C26E1A" w:rsidP="00C26E1A">
      <w:pPr>
        <w:spacing w:after="120" w:line="276" w:lineRule="auto"/>
        <w:ind w:firstLine="227"/>
        <w:jc w:val="right"/>
        <w:rPr>
          <w:rtl/>
        </w:rPr>
      </w:pPr>
      <w:r w:rsidRPr="00AD2317">
        <w:rPr>
          <w:rFonts w:hint="cs"/>
          <w:sz w:val="24"/>
          <w:szCs w:val="24"/>
          <w:u w:val="single"/>
          <w:rtl/>
        </w:rPr>
        <w:t>להערות ולתגובות</w:t>
      </w:r>
      <w:r w:rsidRPr="00AD2317">
        <w:rPr>
          <w:rFonts w:hint="cs"/>
          <w:sz w:val="24"/>
          <w:szCs w:val="24"/>
          <w:rtl/>
        </w:rPr>
        <w:t>: שלמה ליפשיץ</w:t>
      </w:r>
    </w:p>
    <w:p w:rsidR="00C26E1A" w:rsidRDefault="00C26E1A" w:rsidP="00C26E1A">
      <w:pPr>
        <w:spacing w:after="0" w:line="276" w:lineRule="auto"/>
        <w:ind w:firstLine="227"/>
        <w:jc w:val="right"/>
      </w:pPr>
      <w:hyperlink r:id="rId25" w:history="1">
        <w:r w:rsidRPr="00AD2317">
          <w:rPr>
            <w:rStyle w:val="Hyperlink"/>
            <w:sz w:val="24"/>
            <w:szCs w:val="24"/>
          </w:rPr>
          <w:t>lshlomo26@gmail.com</w:t>
        </w:r>
      </w:hyperlink>
    </w:p>
    <w:p w:rsidR="00C26E1A" w:rsidRPr="00782FFD" w:rsidRDefault="00C26E1A" w:rsidP="00782FFD">
      <w:pPr>
        <w:spacing w:after="0" w:line="240" w:lineRule="auto"/>
      </w:pPr>
      <w:r>
        <w:rPr>
          <w:rtl/>
        </w:rPr>
        <w:br w:type="page"/>
      </w:r>
    </w:p>
    <w:p w:rsidR="00C26E1A" w:rsidRDefault="00C26E1A" w:rsidP="00C26E1A">
      <w:pPr>
        <w:keepNext/>
        <w:keepLines/>
        <w:spacing w:before="240" w:after="0"/>
        <w:jc w:val="center"/>
        <w:outlineLvl w:val="0"/>
        <w:rPr>
          <w:rFonts w:asciiTheme="majorHAnsi" w:eastAsiaTheme="majorEastAsia" w:hAnsiTheme="majorHAnsi"/>
          <w:bCs/>
          <w:sz w:val="36"/>
          <w:szCs w:val="36"/>
        </w:rPr>
      </w:pPr>
      <w:bookmarkStart w:id="104" w:name="_Toc76719197"/>
      <w:r>
        <w:rPr>
          <w:rFonts w:asciiTheme="majorHAnsi" w:eastAsiaTheme="majorEastAsia" w:hAnsiTheme="majorHAnsi"/>
          <w:bCs/>
          <w:sz w:val="40"/>
          <w:szCs w:val="40"/>
          <w:rtl/>
        </w:rPr>
        <w:lastRenderedPageBreak/>
        <w:t>יסודות יומא</w:t>
      </w:r>
      <w:bookmarkEnd w:id="104"/>
    </w:p>
    <w:p w:rsidR="00C26E1A" w:rsidRDefault="00C26E1A" w:rsidP="00C26E1A">
      <w:pPr>
        <w:keepNext/>
        <w:keepLines/>
        <w:spacing w:before="240" w:after="0"/>
        <w:jc w:val="center"/>
        <w:outlineLvl w:val="0"/>
        <w:rPr>
          <w:rFonts w:asciiTheme="majorHAnsi" w:eastAsiaTheme="majorEastAsia" w:hAnsiTheme="majorHAnsi"/>
          <w:b/>
          <w:sz w:val="32"/>
          <w:szCs w:val="32"/>
          <w:rtl/>
        </w:rPr>
      </w:pPr>
      <w:bookmarkStart w:id="105" w:name="_Toc76719198"/>
      <w:r>
        <w:rPr>
          <w:rFonts w:asciiTheme="majorHAnsi" w:eastAsiaTheme="majorEastAsia" w:hAnsiTheme="majorHAnsi"/>
          <w:b/>
          <w:sz w:val="32"/>
          <w:szCs w:val="32"/>
          <w:rtl/>
        </w:rPr>
        <w:t xml:space="preserve">שיעור </w:t>
      </w:r>
      <w:r>
        <w:rPr>
          <w:rFonts w:asciiTheme="majorHAnsi" w:eastAsiaTheme="majorEastAsia" w:hAnsiTheme="majorHAnsi" w:hint="cs"/>
          <w:b/>
          <w:sz w:val="32"/>
          <w:szCs w:val="32"/>
          <w:rtl/>
        </w:rPr>
        <w:t>תשעה עשר</w:t>
      </w:r>
      <w:bookmarkEnd w:id="105"/>
    </w:p>
    <w:p w:rsidR="00C26E1A" w:rsidRDefault="00C26E1A" w:rsidP="00C26E1A">
      <w:pPr>
        <w:keepNext/>
        <w:keepLines/>
        <w:spacing w:before="240" w:after="0"/>
        <w:jc w:val="center"/>
        <w:outlineLvl w:val="0"/>
        <w:rPr>
          <w:rFonts w:asciiTheme="majorHAnsi" w:eastAsiaTheme="majorEastAsia" w:hAnsiTheme="majorHAnsi"/>
          <w:bCs/>
          <w:sz w:val="32"/>
          <w:szCs w:val="32"/>
          <w:rtl/>
        </w:rPr>
      </w:pPr>
      <w:bookmarkStart w:id="106" w:name="_Toc76719199"/>
      <w:r>
        <w:rPr>
          <w:rFonts w:asciiTheme="majorHAnsi" w:eastAsiaTheme="majorEastAsia" w:hAnsiTheme="majorHAnsi" w:hint="cs"/>
          <w:bCs/>
          <w:sz w:val="36"/>
          <w:szCs w:val="36"/>
          <w:rtl/>
        </w:rPr>
        <w:t>לשון של זהורית</w:t>
      </w:r>
      <w:bookmarkEnd w:id="106"/>
    </w:p>
    <w:p w:rsidR="00C26E1A" w:rsidRDefault="00C26E1A" w:rsidP="00C26E1A">
      <w:pPr>
        <w:keepNext/>
        <w:keepLines/>
        <w:spacing w:after="0"/>
        <w:jc w:val="center"/>
        <w:outlineLvl w:val="0"/>
        <w:rPr>
          <w:rFonts w:asciiTheme="majorHAnsi" w:eastAsiaTheme="majorEastAsia" w:hAnsiTheme="majorHAnsi"/>
          <w:bCs/>
          <w:sz w:val="32"/>
          <w:szCs w:val="32"/>
          <w:rtl/>
        </w:rPr>
      </w:pPr>
      <w:bookmarkStart w:id="107" w:name="_Toc76719200"/>
      <w:r>
        <w:rPr>
          <w:noProof/>
          <w:rtl/>
        </w:rPr>
        <mc:AlternateContent>
          <mc:Choice Requires="wps">
            <w:drawing>
              <wp:anchor distT="0" distB="0" distL="114300" distR="114300" simplePos="0" relativeHeight="251708416" behindDoc="1" locked="0" layoutInCell="1" allowOverlap="1" wp14:anchorId="3F1288A3" wp14:editId="45109979">
                <wp:simplePos x="0" y="0"/>
                <wp:positionH relativeFrom="margin">
                  <wp:posOffset>-259080</wp:posOffset>
                </wp:positionH>
                <wp:positionV relativeFrom="paragraph">
                  <wp:posOffset>106045</wp:posOffset>
                </wp:positionV>
                <wp:extent cx="5765800" cy="7856220"/>
                <wp:effectExtent l="0" t="0" r="25400" b="11430"/>
                <wp:wrapNone/>
                <wp:docPr id="31" name="מלבן 31"/>
                <wp:cNvGraphicFramePr/>
                <a:graphic xmlns:a="http://schemas.openxmlformats.org/drawingml/2006/main">
                  <a:graphicData uri="http://schemas.microsoft.com/office/word/2010/wordprocessingShape">
                    <wps:wsp>
                      <wps:cNvSpPr/>
                      <wps:spPr>
                        <a:xfrm>
                          <a:off x="0" y="0"/>
                          <a:ext cx="5765800" cy="7856220"/>
                        </a:xfrm>
                        <a:prstGeom prst="rect">
                          <a:avLst/>
                        </a:prstGeom>
                        <a:solidFill>
                          <a:sysClr val="window" lastClr="FFFFFF"/>
                        </a:solidFill>
                        <a:ln w="19050" cap="flat" cmpd="sng" algn="ctr">
                          <a:solidFill>
                            <a:srgbClr val="4472C4"/>
                          </a:solidFill>
                          <a:prstDash val="solid"/>
                          <a:miter lim="800000"/>
                        </a:ln>
                        <a:effectLst/>
                      </wps:spPr>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886EA" id="מלבן 31" o:spid="_x0000_s1026" style="position:absolute;left:0;text-align:left;margin-left:-20.4pt;margin-top:8.35pt;width:454pt;height:618.6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TeiAIAAPsEAAAOAAAAZHJzL2Uyb0RvYy54bWysVMtuGjEU3VfqP1jeNwMUQjLKECEiqkpR&#10;EimpsjYeD2PJr9qGgf5F91X7WfxOjw0hj3ZVlYXxffg+zj13Li43WpG18EFaU9H+SY8SYbitpVlW&#10;9MvD/MMZJSEyUzNljajoVgR6OXn/7qJzpRjY1qpaeIIgJpSdq2gboyuLIvBWaBZOrBMGxsZ6zSJE&#10;vyxqzzpE16oY9HqnRWd97bzlIgRor/ZGOsnxm0bweNs0QUSiKoraYj59PhfpLCYXrFx65lrJD2Ww&#10;f6hCM2mQ9BjqikVGVl7+EUpL7m2wTTzhVhe2aSQXuQd00++96ea+ZU7kXgBOcEeYwv8Ly2/Wd57I&#10;uqIf+5QYpjGj3c/dj9333S8CFfDpXCjhdu/u/EEKuKZmN43X6R9tkE3GdHvEVGwi4VCOxqejsx6g&#10;57CNz0ang0FGvXh+7nyIn4TVJF0q6jG0jCVbX4eIlHB9cknZglWynkulsrANM+XJmmG+oEVtO0oU&#10;CxHKis7zL/WAEK+eKUM60PW8N0qVMRCvUSziqh2gCGZJCVNLMJpHn2t59Tr45eKYdTgcD2bDvyVJ&#10;RV+x0O6ryxGSGyu1jCC9krqigAa/w2tlklVk2h5aT+Dv4U63ha23GJe3ex4Hx+cSSa7R8B3zIC66&#10;wTLGWxyNsmiRK+koaa3/9laX/MAjWCjpsABo++uKeQH8Phsw7Lw/HCJczMJwNMbYiH9pWby0mJWe&#10;WcwAJEJV+Zr8o3rSNt7qR+zqNGWFiRmO3HuAD8Is7hcT287FdJrdsCWOxWtz73gKnvBJsD5sHpl3&#10;B8JEcO3GPi0LK9/wZu+bXho7XUXbyEyqZzxBjyRgwzJRDl+DtMIv5ez1/M2a/AYAAP//AwBQSwME&#10;FAAGAAgAAAAhAGBrCIfhAAAACwEAAA8AAABkcnMvZG93bnJldi54bWxMj81OwzAQhO9IvIO1SNxa&#10;uwHSEuJUFAlBD6D+IM5ubJwIex1itwlvz3KC4+yMZr4tl6N37GT62AaUMJsKYAbroFu0Et72j5MF&#10;sJgUauUCGgnfJsKyOj8rVaHDgFtz2iXLqARjoSQ0KXUF57FujFdxGjqD5H2E3qtEsrdc92qgcu94&#10;JkTOvWqRFhrVmYfG1J+7o5ewXtmv92c72+bebYYVPonXlyCkvLwY7++AJTOmvzD84hM6VMR0CEfU&#10;kTkJk2tB6ImMfA6MAot8ngE70CG7uboFXpX8/w/VDwAAAP//AwBQSwECLQAUAAYACAAAACEAtoM4&#10;kv4AAADhAQAAEwAAAAAAAAAAAAAAAAAAAAAAW0NvbnRlbnRfVHlwZXNdLnhtbFBLAQItABQABgAI&#10;AAAAIQA4/SH/1gAAAJQBAAALAAAAAAAAAAAAAAAAAC8BAABfcmVscy8ucmVsc1BLAQItABQABgAI&#10;AAAAIQDuv7TeiAIAAPsEAAAOAAAAAAAAAAAAAAAAAC4CAABkcnMvZTJvRG9jLnhtbFBLAQItABQA&#10;BgAIAAAAIQBgawiH4QAAAAsBAAAPAAAAAAAAAAAAAAAAAOIEAABkcnMvZG93bnJldi54bWxQSwUG&#10;AAAAAAQABADzAAAA8AUAAAAA&#10;" fillcolor="window" strokecolor="#4472c4" strokeweight="1.5pt">
                <w10:wrap anchorx="margin"/>
              </v:rect>
            </w:pict>
          </mc:Fallback>
        </mc:AlternateContent>
      </w:r>
      <w:bookmarkEnd w:id="107"/>
    </w:p>
    <w:p w:rsidR="00C26E1A" w:rsidRPr="000A0091" w:rsidRDefault="00C26E1A" w:rsidP="00C26E1A">
      <w:pPr>
        <w:jc w:val="center"/>
        <w:rPr>
          <w:b/>
          <w:bCs/>
          <w:sz w:val="24"/>
          <w:szCs w:val="24"/>
          <w:rtl/>
        </w:rPr>
      </w:pPr>
      <w:r>
        <w:rPr>
          <w:b/>
          <w:bCs/>
          <w:sz w:val="24"/>
          <w:szCs w:val="24"/>
          <w:rtl/>
        </w:rPr>
        <w:t>מקורות</w:t>
      </w:r>
    </w:p>
    <w:p w:rsidR="00C26E1A" w:rsidRPr="00822484" w:rsidRDefault="00C26E1A" w:rsidP="00C26E1A">
      <w:pPr>
        <w:rPr>
          <w:sz w:val="24"/>
          <w:szCs w:val="24"/>
          <w:rtl/>
        </w:rPr>
      </w:pPr>
      <w:r w:rsidRPr="00822484">
        <w:rPr>
          <w:rFonts w:hint="cs"/>
          <w:sz w:val="24"/>
          <w:szCs w:val="24"/>
          <w:rtl/>
        </w:rPr>
        <w:t>א.</w:t>
      </w:r>
      <w:r>
        <w:rPr>
          <w:rFonts w:hint="cs"/>
          <w:sz w:val="24"/>
          <w:szCs w:val="24"/>
          <w:rtl/>
        </w:rPr>
        <w:t xml:space="preserve"> </w:t>
      </w:r>
      <w:r w:rsidRPr="00822484">
        <w:rPr>
          <w:rFonts w:hint="cs"/>
          <w:sz w:val="24"/>
          <w:szCs w:val="24"/>
          <w:rtl/>
        </w:rPr>
        <w:t>שבת פו. במשנה</w:t>
      </w:r>
      <w:r w:rsidRPr="00822484">
        <w:rPr>
          <w:sz w:val="24"/>
          <w:szCs w:val="24"/>
        </w:rPr>
        <w:t>;</w:t>
      </w:r>
      <w:r w:rsidRPr="00822484">
        <w:rPr>
          <w:rFonts w:hint="cs"/>
          <w:sz w:val="24"/>
          <w:szCs w:val="24"/>
          <w:rtl/>
        </w:rPr>
        <w:t xml:space="preserve"> סז. "מה היה... כשלג ילבינו"; סח: במשנה</w:t>
      </w:r>
    </w:p>
    <w:p w:rsidR="00C26E1A" w:rsidRDefault="00C26E1A" w:rsidP="00C26E1A">
      <w:pPr>
        <w:rPr>
          <w:sz w:val="24"/>
          <w:szCs w:val="24"/>
          <w:rtl/>
        </w:rPr>
      </w:pPr>
      <w:r>
        <w:rPr>
          <w:rFonts w:hint="cs"/>
          <w:sz w:val="24"/>
          <w:szCs w:val="24"/>
          <w:rtl/>
        </w:rPr>
        <w:t xml:space="preserve">ב. </w:t>
      </w:r>
      <w:r w:rsidRPr="00822484">
        <w:rPr>
          <w:rFonts w:hint="cs"/>
          <w:sz w:val="24"/>
          <w:szCs w:val="24"/>
          <w:rtl/>
        </w:rPr>
        <w:t>מא: מהמשנה עד "לא בעי שיעור"</w:t>
      </w:r>
      <w:r>
        <w:rPr>
          <w:rFonts w:hint="cs"/>
          <w:sz w:val="24"/>
          <w:szCs w:val="24"/>
          <w:rtl/>
        </w:rPr>
        <w:t>; רבנו יהונתן מלוניל שם ד"ה קושר, רש"י שם ד"ה דבעי</w:t>
      </w:r>
    </w:p>
    <w:p w:rsidR="00C26E1A" w:rsidRDefault="00C26E1A" w:rsidP="00C26E1A">
      <w:pPr>
        <w:rPr>
          <w:sz w:val="24"/>
          <w:szCs w:val="24"/>
          <w:rtl/>
        </w:rPr>
      </w:pPr>
      <w:r>
        <w:rPr>
          <w:rFonts w:hint="cs"/>
          <w:sz w:val="24"/>
          <w:szCs w:val="24"/>
          <w:rtl/>
        </w:rPr>
        <w:t>ג. תוספות ישנים מא: ד"ה של; חידושי הגרי"ז זבחים קיג:</w:t>
      </w:r>
    </w:p>
    <w:p w:rsidR="00C26E1A" w:rsidRPr="00822484" w:rsidRDefault="00C26E1A" w:rsidP="00C26E1A">
      <w:pPr>
        <w:rPr>
          <w:sz w:val="24"/>
          <w:szCs w:val="24"/>
          <w:rtl/>
        </w:rPr>
      </w:pPr>
      <w:r>
        <w:rPr>
          <w:rFonts w:hint="cs"/>
          <w:sz w:val="24"/>
          <w:szCs w:val="24"/>
          <w:rtl/>
        </w:rPr>
        <w:t>ד. משנה שקלים פ"ד מ"ב; תוספות ישנים סח. ד"ה חולק; ריבב"ן שקלים פ"ד ה"ב</w:t>
      </w:r>
    </w:p>
    <w:p w:rsidR="00C26E1A" w:rsidRDefault="00C26E1A" w:rsidP="00C26E1A">
      <w:pPr>
        <w:spacing w:line="276" w:lineRule="auto"/>
        <w:rPr>
          <w:sz w:val="24"/>
          <w:szCs w:val="24"/>
          <w:rtl/>
        </w:rPr>
      </w:pPr>
    </w:p>
    <w:p w:rsidR="00C26E1A" w:rsidRPr="002835E9" w:rsidRDefault="00C26E1A" w:rsidP="00C26E1A">
      <w:pPr>
        <w:spacing w:line="276" w:lineRule="auto"/>
        <w:rPr>
          <w:rFonts w:ascii="FrankRuehl" w:hAnsi="FrankRuehl" w:cs="FrankRuehl"/>
          <w:b/>
          <w:bCs/>
          <w:sz w:val="24"/>
          <w:szCs w:val="24"/>
          <w:rtl/>
        </w:rPr>
      </w:pPr>
      <w:r w:rsidRPr="002835E9">
        <w:rPr>
          <w:rFonts w:ascii="FrankRuehl" w:hAnsi="FrankRuehl" w:cs="FrankRuehl"/>
          <w:b/>
          <w:bCs/>
          <w:sz w:val="24"/>
          <w:szCs w:val="24"/>
          <w:rtl/>
        </w:rPr>
        <w:t>רבינו יהונתן מלוניל מא: ד"ה קושר</w:t>
      </w:r>
    </w:p>
    <w:p w:rsidR="00C26E1A" w:rsidRDefault="00C26E1A" w:rsidP="00C26E1A">
      <w:pPr>
        <w:spacing w:line="276" w:lineRule="auto"/>
        <w:rPr>
          <w:rFonts w:ascii="FrankRuehl" w:hAnsi="FrankRuehl" w:cs="FrankRuehl"/>
          <w:sz w:val="24"/>
          <w:szCs w:val="24"/>
          <w:rtl/>
        </w:rPr>
      </w:pPr>
      <w:r w:rsidRPr="002835E9">
        <w:rPr>
          <w:rFonts w:ascii="FrankRuehl" w:hAnsi="FrankRuehl" w:cs="FrankRuehl"/>
          <w:sz w:val="24"/>
          <w:szCs w:val="24"/>
          <w:rtl/>
        </w:rPr>
        <w:t>קושר לשון של זהורית וכו'. ומפרש בגמ' דהכי קאמ', שחולק את האדום לשני חלקים, ונותן חלק אחד עליו בין קרני שעיר המשתלח, והחלק השני כנגד בית השחיטה של שם, וכדי שלא יתערבו זה בזה ולא יוכל עוד להגריל עליהן שמא יתהפך הגורל לכך עושה רושם לשעירים בין קרניהם.</w:t>
      </w:r>
    </w:p>
    <w:p w:rsidR="00782FFD" w:rsidRDefault="00782FFD" w:rsidP="00C26E1A">
      <w:pPr>
        <w:spacing w:line="276" w:lineRule="auto"/>
        <w:rPr>
          <w:rFonts w:ascii="FrankRuehl" w:hAnsi="FrankRuehl" w:cs="FrankRuehl"/>
          <w:b/>
          <w:bCs/>
          <w:sz w:val="24"/>
          <w:szCs w:val="24"/>
          <w:rtl/>
        </w:rPr>
      </w:pPr>
    </w:p>
    <w:p w:rsidR="00C26E1A" w:rsidRPr="002835E9" w:rsidRDefault="00C26E1A" w:rsidP="00C26E1A">
      <w:pPr>
        <w:spacing w:line="276" w:lineRule="auto"/>
        <w:rPr>
          <w:rFonts w:ascii="FrankRuehl" w:hAnsi="FrankRuehl" w:cs="FrankRuehl"/>
          <w:b/>
          <w:bCs/>
          <w:sz w:val="24"/>
          <w:szCs w:val="24"/>
          <w:rtl/>
        </w:rPr>
      </w:pPr>
      <w:r w:rsidRPr="002835E9">
        <w:rPr>
          <w:rFonts w:ascii="FrankRuehl" w:hAnsi="FrankRuehl" w:cs="FrankRuehl"/>
          <w:b/>
          <w:bCs/>
          <w:sz w:val="24"/>
          <w:szCs w:val="24"/>
          <w:rtl/>
        </w:rPr>
        <w:t xml:space="preserve">תוספות ישנים </w:t>
      </w:r>
      <w:r w:rsidRPr="002835E9">
        <w:rPr>
          <w:rFonts w:ascii="FrankRuehl" w:hAnsi="FrankRuehl" w:cs="FrankRuehl" w:hint="cs"/>
          <w:b/>
          <w:bCs/>
          <w:sz w:val="24"/>
          <w:szCs w:val="24"/>
          <w:rtl/>
        </w:rPr>
        <w:t>מא: ד"ה של</w:t>
      </w:r>
    </w:p>
    <w:p w:rsidR="00C26E1A" w:rsidRDefault="00C26E1A" w:rsidP="00C26E1A">
      <w:pPr>
        <w:spacing w:line="276" w:lineRule="auto"/>
        <w:rPr>
          <w:rFonts w:ascii="FrankRuehl" w:hAnsi="FrankRuehl" w:cs="FrankRuehl"/>
          <w:sz w:val="24"/>
          <w:szCs w:val="24"/>
          <w:rtl/>
        </w:rPr>
      </w:pPr>
      <w:r w:rsidRPr="002835E9">
        <w:rPr>
          <w:rFonts w:ascii="FrankRuehl" w:hAnsi="FrankRuehl" w:cs="FrankRuehl"/>
          <w:sz w:val="24"/>
          <w:szCs w:val="24"/>
          <w:rtl/>
        </w:rPr>
        <w:t>פי' חציו בסלע וחציו בין קרניו כדתנן לקמן וכפי' רש"י וא"ת אמאי לא תני שלש ולחשוב לשון של שעיר של שם כדאמרינן לעיל יש לומר שלא היה שם אלא חוט שני בעלמא משום הכירא ואי הוה מפרש דחלוקה היינו שנותנין חציו בשעיר של שם אתי שפיר דלא חשיב לה אלא חד אלא כפי' רש"י תנן לקמן בהדיא</w:t>
      </w:r>
      <w:r>
        <w:rPr>
          <w:rFonts w:ascii="FrankRuehl" w:hAnsi="FrankRuehl" w:cs="FrankRuehl" w:hint="cs"/>
          <w:sz w:val="24"/>
          <w:szCs w:val="24"/>
          <w:rtl/>
        </w:rPr>
        <w:t>.</w:t>
      </w:r>
    </w:p>
    <w:p w:rsidR="00782FFD" w:rsidRDefault="00782FFD" w:rsidP="00C26E1A">
      <w:pPr>
        <w:spacing w:line="276" w:lineRule="auto"/>
        <w:rPr>
          <w:rFonts w:ascii="FrankRuehl" w:hAnsi="FrankRuehl" w:cs="FrankRuehl"/>
          <w:b/>
          <w:bCs/>
          <w:sz w:val="24"/>
          <w:szCs w:val="24"/>
          <w:rtl/>
        </w:rPr>
      </w:pPr>
    </w:p>
    <w:p w:rsidR="00C26E1A" w:rsidRPr="002835E9" w:rsidRDefault="00C26E1A" w:rsidP="00C26E1A">
      <w:pPr>
        <w:spacing w:line="276" w:lineRule="auto"/>
        <w:rPr>
          <w:rFonts w:ascii="FrankRuehl" w:hAnsi="FrankRuehl" w:cs="FrankRuehl"/>
          <w:b/>
          <w:bCs/>
          <w:sz w:val="24"/>
          <w:szCs w:val="24"/>
          <w:rtl/>
        </w:rPr>
      </w:pPr>
      <w:r w:rsidRPr="002835E9">
        <w:rPr>
          <w:rFonts w:ascii="FrankRuehl" w:hAnsi="FrankRuehl" w:cs="FrankRuehl"/>
          <w:b/>
          <w:bCs/>
          <w:sz w:val="24"/>
          <w:szCs w:val="24"/>
          <w:rtl/>
        </w:rPr>
        <w:t>חידושי הגרי"ז זבחים קיג</w:t>
      </w:r>
      <w:r>
        <w:rPr>
          <w:rFonts w:ascii="FrankRuehl" w:hAnsi="FrankRuehl" w:cs="FrankRuehl" w:hint="cs"/>
          <w:b/>
          <w:bCs/>
          <w:sz w:val="24"/>
          <w:szCs w:val="24"/>
          <w:rtl/>
        </w:rPr>
        <w:t>:</w:t>
      </w:r>
    </w:p>
    <w:p w:rsidR="00C26E1A" w:rsidRDefault="00C26E1A" w:rsidP="00C26E1A">
      <w:pPr>
        <w:spacing w:line="276" w:lineRule="auto"/>
        <w:rPr>
          <w:rFonts w:ascii="FrankRuehl" w:hAnsi="FrankRuehl" w:cs="FrankRuehl"/>
          <w:sz w:val="24"/>
          <w:szCs w:val="24"/>
          <w:rtl/>
        </w:rPr>
      </w:pPr>
      <w:r w:rsidRPr="002835E9">
        <w:rPr>
          <w:rFonts w:ascii="FrankRuehl" w:hAnsi="FrankRuehl" w:cs="FrankRuehl"/>
          <w:sz w:val="24"/>
          <w:szCs w:val="24"/>
          <w:rtl/>
        </w:rPr>
        <w:t>והנה בהך דלשון של זהורית מבואר בפ' טרף בקלפי (יומא דף מ"א ע"ב) דהי' קושרו בין קרניו כדי שלא יתערב עם אחרים היינו שעירים אחרים, ושם אמר ר' יצחק ב' לשונות שמעתי אחת של פרה ואחת של שעיר המשתלח אחת צריכה שיעור ואחת אינה צריכה שיעור ולא ידענא הי מינייהו, אר"י ניחזי אנן של שעיר המשתלח דבעי חלוקה בעי שיעור ושל פרה דלא בעי חלוקה לא בעי שיעור, ולהלן שם איתא כי אתא רב דימי אר"י ג' לשונות שמעתי אחת של פרה ואחת של שעיר המשתלח ואחת של מצורע אחת משקל עשרה זוז ואחת משקל ב' סלעים וכו', ואי נימא דכל עיקר דין דלשון של זהורית הוא רק כדי שלא יתערב, מה ענין שיעור שיש בו, דכל השיעורים הרי הם מהלכה, וכן מבואר ברמב"ם בהל' טומאת צרעת (פי"א ה"א) ושני תולעת משקלו שקל וכל השיעורים הלכה ע"כ, ומדברי הגמ' דכייל ללשון זהורית דשעיר המשתלח בהדי מצורע משמע דשיעור הלשון דשעיר המשתלח נמי הלכה, ונראה מזה דעיקר דין דלשון של זהורית הוא חובה לשעיר המשתלח דכך מיקרי שעיר המשתלח עם לשון זהורית, והא דקאמר דלא ליתי לאחלופי קאי רק על הקשירה בין קרניו, אבל עיקר דין לשון זהורית הוא חובה לשעיר המשתלח.</w:t>
      </w:r>
      <w:r>
        <w:rPr>
          <w:rFonts w:ascii="FrankRuehl" w:hAnsi="FrankRuehl" w:cs="FrankRuehl" w:hint="cs"/>
          <w:sz w:val="24"/>
          <w:szCs w:val="24"/>
          <w:rtl/>
        </w:rPr>
        <w:t xml:space="preserve"> </w:t>
      </w:r>
      <w:r w:rsidRPr="002835E9">
        <w:rPr>
          <w:rFonts w:ascii="FrankRuehl" w:hAnsi="FrankRuehl" w:cs="FrankRuehl"/>
          <w:sz w:val="24"/>
          <w:szCs w:val="24"/>
          <w:rtl/>
        </w:rPr>
        <w:t>והנה ביומא (דף ס"ז ע"א) בראשונה היו קושרין לשון של זהורית על פתח האולם מבחוץ וכו' התקינו שיהיו קושרין אותו חציו בסלע חציו בין קרניו, אמר רנב"פ משום ר"א הקפר בראשונה היו קושרין לשון של זהורית על פתח אולם מבפנים וכיון שהגיע שעיר למדבר היה מלבין וידעו שנעשית מצותו שנאמר אם יהיו חטאיכם כשנים כשלג ילבינו ע"כ, הרי דעיקר מצותו הוא לשון של זהורית וכדדרש לה מקרא דכשלג ילבינו ורק דהתקינו אח"כ לקושרו בין קרניו, וע"ז קאמר הטעם בפ' טרף בקלפי דהוא משום שלא יתערב, אבל אה"נ דעיקר דין לשון זהורית הוא חובה לשעיר המשתלח, ומה שהיה מלבין אין הפי' שהי' רק לסימן בעלמא להראות כפרתן של ישראל, רק דעיקרו הוא חובה לשעיר המשתלח, ובמה שנעשית מצותו דשעיר המשתלח הי' מלבין.</w:t>
      </w:r>
      <w:r>
        <w:rPr>
          <w:rFonts w:ascii="FrankRuehl" w:hAnsi="FrankRuehl" w:cs="FrankRuehl" w:hint="cs"/>
          <w:sz w:val="24"/>
          <w:szCs w:val="24"/>
          <w:rtl/>
        </w:rPr>
        <w:t xml:space="preserve"> </w:t>
      </w:r>
      <w:r w:rsidRPr="002835E9">
        <w:rPr>
          <w:rFonts w:ascii="FrankRuehl" w:hAnsi="FrankRuehl" w:cs="FrankRuehl"/>
          <w:sz w:val="24"/>
          <w:szCs w:val="24"/>
          <w:rtl/>
        </w:rPr>
        <w:t>ויותר נראה דהלשון זהורית שייך אף למצות שילוח השעיר, וראיה מהא דהיו קושרין בין קרניו, והרי עוברים משום מחמר.</w:t>
      </w:r>
    </w:p>
    <w:p w:rsidR="00C26E1A" w:rsidRPr="002835E9" w:rsidRDefault="00782FFD" w:rsidP="00C26E1A">
      <w:pPr>
        <w:spacing w:line="276" w:lineRule="auto"/>
        <w:rPr>
          <w:rFonts w:ascii="FrankRuehl" w:hAnsi="FrankRuehl" w:cs="FrankRuehl"/>
          <w:b/>
          <w:bCs/>
          <w:sz w:val="24"/>
          <w:szCs w:val="24"/>
          <w:rtl/>
        </w:rPr>
      </w:pPr>
      <w:r>
        <w:rPr>
          <w:noProof/>
          <w:rtl/>
        </w:rPr>
        <w:lastRenderedPageBreak/>
        <mc:AlternateContent>
          <mc:Choice Requires="wps">
            <w:drawing>
              <wp:anchor distT="0" distB="0" distL="114300" distR="114300" simplePos="0" relativeHeight="251751424" behindDoc="1" locked="0" layoutInCell="1" allowOverlap="1" wp14:anchorId="1D5FFB66" wp14:editId="063C4948">
                <wp:simplePos x="0" y="0"/>
                <wp:positionH relativeFrom="margin">
                  <wp:align>center</wp:align>
                </wp:positionH>
                <wp:positionV relativeFrom="paragraph">
                  <wp:posOffset>-236220</wp:posOffset>
                </wp:positionV>
                <wp:extent cx="5765800" cy="4099560"/>
                <wp:effectExtent l="0" t="0" r="25400" b="15240"/>
                <wp:wrapNone/>
                <wp:docPr id="32" name="מלבן 32"/>
                <wp:cNvGraphicFramePr/>
                <a:graphic xmlns:a="http://schemas.openxmlformats.org/drawingml/2006/main">
                  <a:graphicData uri="http://schemas.microsoft.com/office/word/2010/wordprocessingShape">
                    <wps:wsp>
                      <wps:cNvSpPr/>
                      <wps:spPr>
                        <a:xfrm>
                          <a:off x="0" y="0"/>
                          <a:ext cx="5765800" cy="4099560"/>
                        </a:xfrm>
                        <a:prstGeom prst="rect">
                          <a:avLst/>
                        </a:prstGeom>
                        <a:solidFill>
                          <a:sysClr val="window" lastClr="FFFFFF"/>
                        </a:solidFill>
                        <a:ln w="19050" cap="flat" cmpd="sng" algn="ctr">
                          <a:solidFill>
                            <a:srgbClr val="4472C4"/>
                          </a:solidFill>
                          <a:prstDash val="solid"/>
                          <a:miter lim="800000"/>
                        </a:ln>
                        <a:effectLst/>
                      </wps:spPr>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D3C3C" id="מלבן 32" o:spid="_x0000_s1026" style="position:absolute;left:0;text-align:left;margin-left:0;margin-top:-18.6pt;width:454pt;height:322.8pt;z-index:-251565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jYigIAAPsEAAAOAAAAZHJzL2Uyb0RvYy54bWysVNtuGjEQfa/Uf7D83ixQSALKEiEiqkpR&#10;Eimp8my8XtaSb7UNC/2LvlftZ/E7PfYScmmfqvJgPJ7xzJzjM3txudWKbIQP0pqS9k96lAjDbSXN&#10;qqRfHhYfzikJkZmKKWtESXci0Mvp+3cXrZuIgW2sqoQnSGLCpHUlbWJ0k6IIvBGahRPrhIGztl6z&#10;CNOvisqzFtm1Kga93mnRWl85b7kIAadXnZNOc/66Fjze1nUQkaiSoreYV5/XZVqL6QWbrDxzjeSH&#10;Ntg/dKGZNCh6THXFIiNrL/9IpSX3Ntg6nnCrC1vXkouMAWj6vTdo7hvmRMYCcoI70hT+X1p+s7nz&#10;RFYl/TigxDCNN9r/3P/Yf9//IjgCP60LE4Tduzt/sAK2Cey29jr9AwbZZk53R07FNhKOw9HZ6ei8&#10;B+o5fMPeeDw6zawXz9edD/GTsJqkTUk9Hi1zyTbXIaIkQp9CUrVglawWUqls7MJcebJheF/IorIt&#10;JYqFiMOSLvIvYUCKV9eUIS3kOu6NUmcMwqsVi9hqByqCWVHC1AqK5tHnXl7dDn61PFYdDs8G8+Hf&#10;iqSmr1houu5yhhTGJlpGiF5JXVJQg9/htjLJK7JsD9AT+R3dabe01Q7P5W2n4+D4QqLINQDfMQ/h&#10;Ag2GMd5iqZUFRK6ko6Sx/tvbsxQHHcFDSYsBAOyva+YF+PtsoLBxfzhEupiN4ehsAMO/9Cxfesxa&#10;zy3eoI9xdzxvU3xUT6e1t/oRszpLVeFihqN2R/DBmMduMDHtXMxmOQxT4li8NveOp+SJn0Trw/aR&#10;eXcQTITWbuzTsLDJG910semmsbN1tLXMonrmE/JIBiYsC+XwNUgj/NLOUc/frOlvAAAA//8DAFBL&#10;AwQUAAYACAAAACEALmDWXd4AAAAIAQAADwAAAGRycy9kb3ducmV2LnhtbEyPwU7DMBBE70j8g7VI&#10;3Fq7BYUQsqkoEgIORbQgzm5skgh7HWK3CX/PcoLj7Kxm3pSryTtxtEPsAiEs5gqEpTqYjhqEt9f7&#10;WQ4iJk1Gu0AW4dtGWFWnJ6UuTBhpa4+71AgOoVhohDalvpAy1q31Os5Db4m9jzB4nVgOjTSDHjnc&#10;O7lUKpNed8QNre7tXWvrz93BIzytm6/3x2axzbx7Gdf0oJ43QSGen023NyCSndLfM/ziMzpUzLQP&#10;BzJROAQekhBmF1dLEGxfq5wve4RM5Zcgq1L+H1D9AAAA//8DAFBLAQItABQABgAIAAAAIQC2gziS&#10;/gAAAOEBAAATAAAAAAAAAAAAAAAAAAAAAABbQ29udGVudF9UeXBlc10ueG1sUEsBAi0AFAAGAAgA&#10;AAAhADj9If/WAAAAlAEAAAsAAAAAAAAAAAAAAAAALwEAAF9yZWxzLy5yZWxzUEsBAi0AFAAGAAgA&#10;AAAhAO8q6NiKAgAA+wQAAA4AAAAAAAAAAAAAAAAALgIAAGRycy9lMm9Eb2MueG1sUEsBAi0AFAAG&#10;AAgAAAAhAC5g1l3eAAAACAEAAA8AAAAAAAAAAAAAAAAA5AQAAGRycy9kb3ducmV2LnhtbFBLBQYA&#10;AAAABAAEAPMAAADvBQAAAAA=&#10;" fillcolor="window" strokecolor="#4472c4" strokeweight="1.5pt">
                <w10:wrap anchorx="margin"/>
              </v:rect>
            </w:pict>
          </mc:Fallback>
        </mc:AlternateContent>
      </w:r>
      <w:r w:rsidR="00C26E1A" w:rsidRPr="002835E9">
        <w:rPr>
          <w:rFonts w:ascii="FrankRuehl" w:hAnsi="FrankRuehl" w:cs="FrankRuehl"/>
          <w:b/>
          <w:bCs/>
          <w:sz w:val="24"/>
          <w:szCs w:val="24"/>
          <w:rtl/>
        </w:rPr>
        <w:t>משנה מסכת שקלים פ</w:t>
      </w:r>
      <w:r w:rsidR="00C26E1A">
        <w:rPr>
          <w:rFonts w:ascii="FrankRuehl" w:hAnsi="FrankRuehl" w:cs="FrankRuehl" w:hint="cs"/>
          <w:b/>
          <w:bCs/>
          <w:sz w:val="24"/>
          <w:szCs w:val="24"/>
          <w:rtl/>
        </w:rPr>
        <w:t>"</w:t>
      </w:r>
      <w:r w:rsidR="00C26E1A" w:rsidRPr="002835E9">
        <w:rPr>
          <w:rFonts w:ascii="FrankRuehl" w:hAnsi="FrankRuehl" w:cs="FrankRuehl"/>
          <w:b/>
          <w:bCs/>
          <w:sz w:val="24"/>
          <w:szCs w:val="24"/>
          <w:rtl/>
        </w:rPr>
        <w:t>ד מ</w:t>
      </w:r>
      <w:r w:rsidR="00C26E1A">
        <w:rPr>
          <w:rFonts w:ascii="FrankRuehl" w:hAnsi="FrankRuehl" w:cs="FrankRuehl" w:hint="cs"/>
          <w:b/>
          <w:bCs/>
          <w:sz w:val="24"/>
          <w:szCs w:val="24"/>
          <w:rtl/>
        </w:rPr>
        <w:t>"</w:t>
      </w:r>
      <w:r w:rsidR="00C26E1A" w:rsidRPr="002835E9">
        <w:rPr>
          <w:rFonts w:ascii="FrankRuehl" w:hAnsi="FrankRuehl" w:cs="FrankRuehl"/>
          <w:b/>
          <w:bCs/>
          <w:sz w:val="24"/>
          <w:szCs w:val="24"/>
          <w:rtl/>
        </w:rPr>
        <w:t>ב</w:t>
      </w:r>
    </w:p>
    <w:p w:rsidR="00C26E1A" w:rsidRDefault="00C26E1A" w:rsidP="00C26E1A">
      <w:pPr>
        <w:spacing w:line="276" w:lineRule="auto"/>
        <w:rPr>
          <w:rFonts w:ascii="FrankRuehl" w:hAnsi="FrankRuehl" w:cs="FrankRuehl"/>
          <w:sz w:val="24"/>
          <w:szCs w:val="24"/>
          <w:rtl/>
        </w:rPr>
      </w:pPr>
      <w:r w:rsidRPr="002835E9">
        <w:rPr>
          <w:rFonts w:ascii="FrankRuehl" w:hAnsi="FrankRuehl" w:cs="FrankRuehl"/>
          <w:sz w:val="24"/>
          <w:szCs w:val="24"/>
          <w:rtl/>
        </w:rPr>
        <w:t>פרה ושעיר המשתלח ולשון של זהורית באין מתרומת הלשכה</w:t>
      </w:r>
      <w:r w:rsidR="00782FFD">
        <w:rPr>
          <w:rFonts w:ascii="FrankRuehl" w:hAnsi="FrankRuehl" w:cs="FrankRuehl" w:hint="cs"/>
          <w:sz w:val="24"/>
          <w:szCs w:val="24"/>
          <w:rtl/>
        </w:rPr>
        <w:t>,</w:t>
      </w:r>
      <w:r w:rsidRPr="002835E9">
        <w:rPr>
          <w:rFonts w:ascii="FrankRuehl" w:hAnsi="FrankRuehl" w:cs="FrankRuehl"/>
          <w:sz w:val="24"/>
          <w:szCs w:val="24"/>
          <w:rtl/>
        </w:rPr>
        <w:t xml:space="preserve"> כבש פרה וכבש שעיר המשתלח ולשון שבין קרניו ואמת המים וחומת העיר ומגדלותיה וכל צורכי העיר באין משירי הלשכה</w:t>
      </w:r>
      <w:r w:rsidR="00782FFD">
        <w:rPr>
          <w:rFonts w:ascii="FrankRuehl" w:hAnsi="FrankRuehl" w:cs="FrankRuehl" w:hint="cs"/>
          <w:sz w:val="24"/>
          <w:szCs w:val="24"/>
          <w:rtl/>
        </w:rPr>
        <w:t>.</w:t>
      </w:r>
      <w:r w:rsidRPr="002835E9">
        <w:rPr>
          <w:rFonts w:ascii="FrankRuehl" w:hAnsi="FrankRuehl" w:cs="FrankRuehl"/>
          <w:sz w:val="24"/>
          <w:szCs w:val="24"/>
          <w:rtl/>
        </w:rPr>
        <w:t xml:space="preserve"> אבא שאול אומר</w:t>
      </w:r>
      <w:r w:rsidR="00782FFD">
        <w:rPr>
          <w:rFonts w:ascii="FrankRuehl" w:hAnsi="FrankRuehl" w:cs="FrankRuehl" w:hint="cs"/>
          <w:sz w:val="24"/>
          <w:szCs w:val="24"/>
          <w:rtl/>
        </w:rPr>
        <w:t>:</w:t>
      </w:r>
      <w:r w:rsidRPr="002835E9">
        <w:rPr>
          <w:rFonts w:ascii="FrankRuehl" w:hAnsi="FrankRuehl" w:cs="FrankRuehl"/>
          <w:sz w:val="24"/>
          <w:szCs w:val="24"/>
          <w:rtl/>
        </w:rPr>
        <w:t xml:space="preserve"> כבש פרה כהנים גדולים עושין אותו משל עצמן</w:t>
      </w:r>
      <w:r>
        <w:rPr>
          <w:rFonts w:ascii="FrankRuehl" w:hAnsi="FrankRuehl" w:cs="FrankRuehl" w:hint="cs"/>
          <w:sz w:val="24"/>
          <w:szCs w:val="24"/>
          <w:rtl/>
        </w:rPr>
        <w:t>.</w:t>
      </w:r>
    </w:p>
    <w:p w:rsidR="00782FFD" w:rsidRDefault="00782FFD" w:rsidP="00C26E1A">
      <w:pPr>
        <w:spacing w:line="276" w:lineRule="auto"/>
        <w:rPr>
          <w:rFonts w:ascii="FrankRuehl" w:hAnsi="FrankRuehl" w:cs="FrankRuehl"/>
          <w:sz w:val="24"/>
          <w:szCs w:val="24"/>
          <w:rtl/>
        </w:rPr>
      </w:pPr>
    </w:p>
    <w:p w:rsidR="00C26E1A" w:rsidRPr="002835E9" w:rsidRDefault="00C26E1A" w:rsidP="00C26E1A">
      <w:pPr>
        <w:spacing w:line="276" w:lineRule="auto"/>
        <w:rPr>
          <w:rFonts w:ascii="FrankRuehl" w:hAnsi="FrankRuehl" w:cs="FrankRuehl"/>
          <w:b/>
          <w:bCs/>
          <w:sz w:val="24"/>
          <w:szCs w:val="24"/>
          <w:rtl/>
        </w:rPr>
      </w:pPr>
      <w:r w:rsidRPr="002835E9">
        <w:rPr>
          <w:rFonts w:ascii="FrankRuehl" w:hAnsi="FrankRuehl" w:cs="FrankRuehl"/>
          <w:b/>
          <w:bCs/>
          <w:sz w:val="24"/>
          <w:szCs w:val="24"/>
          <w:rtl/>
        </w:rPr>
        <w:t>תוספות ישנים סח</w:t>
      </w:r>
      <w:r>
        <w:rPr>
          <w:rFonts w:ascii="FrankRuehl" w:hAnsi="FrankRuehl" w:cs="FrankRuehl" w:hint="cs"/>
          <w:b/>
          <w:bCs/>
          <w:sz w:val="24"/>
          <w:szCs w:val="24"/>
          <w:rtl/>
        </w:rPr>
        <w:t>. ד"ה חולק</w:t>
      </w:r>
    </w:p>
    <w:p w:rsidR="00C26E1A" w:rsidRDefault="00C26E1A" w:rsidP="00C26E1A">
      <w:pPr>
        <w:spacing w:line="276" w:lineRule="auto"/>
        <w:rPr>
          <w:rFonts w:ascii="FrankRuehl" w:hAnsi="FrankRuehl" w:cs="FrankRuehl"/>
          <w:sz w:val="24"/>
          <w:szCs w:val="24"/>
          <w:rtl/>
        </w:rPr>
      </w:pPr>
      <w:r w:rsidRPr="002835E9">
        <w:rPr>
          <w:rFonts w:ascii="FrankRuehl" w:hAnsi="FrankRuehl" w:cs="FrankRuehl"/>
          <w:sz w:val="24"/>
          <w:szCs w:val="24"/>
          <w:rtl/>
        </w:rPr>
        <w:t>חולק לשון של זהורית כו'. [ואם תאמר למה ידחה הבאת הלשון חוץ לתחום וכי הוי זה כמו דחיית השעיר בשבת וטומאה ויש לומר] שאין מביאין אותו ביום הכפורים שכבר הביאו אותו מאתמול אי נמי על ראש שעיר מביאין אותו דמחמר כלאחר</w:t>
      </w:r>
      <w:r>
        <w:rPr>
          <w:rFonts w:hint="cs"/>
          <w:rtl/>
        </w:rPr>
        <w:t xml:space="preserve"> </w:t>
      </w:r>
      <w:r w:rsidRPr="002835E9">
        <w:rPr>
          <w:rFonts w:ascii="FrankRuehl" w:hAnsi="FrankRuehl" w:cs="FrankRuehl"/>
          <w:sz w:val="24"/>
          <w:szCs w:val="24"/>
          <w:rtl/>
        </w:rPr>
        <w:t>יד הוא כדאמרינן בפסחים בריש אלו דברים גבי סכין ובמסכת שקלים פרק התרומה (מ"ב) מוכח דהאי לשון של זהורית דהכא אין זה לשון זהורית שהיו קושרין במקדש בראש השעיר המשתלח לעיל בפרק טרף בקלפי (דף מא ב) דקתני פרה ולשון של זהורית שבראש שעיר המשתלח באין מתרומת הלשכה כבש שעיר ולשון שבין קרניו באין משירי הלשכה</w:t>
      </w:r>
      <w:r>
        <w:rPr>
          <w:rFonts w:ascii="FrankRuehl" w:hAnsi="FrankRuehl" w:cs="FrankRuehl" w:hint="cs"/>
          <w:sz w:val="24"/>
          <w:szCs w:val="24"/>
          <w:rtl/>
        </w:rPr>
        <w:t>.</w:t>
      </w:r>
    </w:p>
    <w:p w:rsidR="00782FFD" w:rsidRDefault="00782FFD" w:rsidP="00C26E1A">
      <w:pPr>
        <w:spacing w:line="276" w:lineRule="auto"/>
        <w:rPr>
          <w:rFonts w:ascii="FrankRuehl" w:hAnsi="FrankRuehl" w:cs="FrankRuehl"/>
          <w:sz w:val="24"/>
          <w:szCs w:val="24"/>
          <w:rtl/>
        </w:rPr>
      </w:pPr>
    </w:p>
    <w:p w:rsidR="00C26E1A" w:rsidRPr="002835E9" w:rsidRDefault="00C26E1A" w:rsidP="00C26E1A">
      <w:pPr>
        <w:spacing w:line="276" w:lineRule="auto"/>
        <w:rPr>
          <w:rFonts w:ascii="FrankRuehl" w:hAnsi="FrankRuehl" w:cs="FrankRuehl"/>
          <w:b/>
          <w:bCs/>
          <w:sz w:val="24"/>
          <w:szCs w:val="24"/>
          <w:rtl/>
        </w:rPr>
      </w:pPr>
      <w:r w:rsidRPr="002835E9">
        <w:rPr>
          <w:rFonts w:ascii="FrankRuehl" w:hAnsi="FrankRuehl" w:cs="FrankRuehl" w:hint="cs"/>
          <w:b/>
          <w:bCs/>
          <w:sz w:val="24"/>
          <w:szCs w:val="24"/>
          <w:rtl/>
        </w:rPr>
        <w:t>ריבב"ן שקלים פ"ד ה"ב</w:t>
      </w:r>
    </w:p>
    <w:p w:rsidR="00C26E1A" w:rsidRPr="002835E9" w:rsidRDefault="00C26E1A" w:rsidP="00C26E1A">
      <w:pPr>
        <w:spacing w:line="276" w:lineRule="auto"/>
        <w:rPr>
          <w:rFonts w:ascii="FrankRuehl" w:hAnsi="FrankRuehl" w:cs="FrankRuehl"/>
          <w:sz w:val="24"/>
          <w:szCs w:val="24"/>
          <w:rtl/>
        </w:rPr>
      </w:pPr>
      <w:r w:rsidRPr="002835E9">
        <w:rPr>
          <w:rFonts w:ascii="FrankRuehl" w:hAnsi="FrankRuehl" w:cs="FrankRuehl"/>
          <w:sz w:val="24"/>
          <w:szCs w:val="24"/>
          <w:rtl/>
        </w:rPr>
        <w:t>ולשון</w:t>
      </w:r>
      <w:r w:rsidRPr="002835E9">
        <w:rPr>
          <w:rFonts w:ascii="FrankRuehl" w:hAnsi="FrankRuehl" w:cs="FrankRuehl" w:hint="cs"/>
          <w:sz w:val="24"/>
          <w:szCs w:val="24"/>
          <w:rtl/>
        </w:rPr>
        <w:t xml:space="preserve"> </w:t>
      </w:r>
      <w:r w:rsidRPr="002835E9">
        <w:rPr>
          <w:rFonts w:ascii="FrankRuehl" w:hAnsi="FrankRuehl" w:cs="FrankRuehl"/>
          <w:sz w:val="24"/>
          <w:szCs w:val="24"/>
          <w:rtl/>
        </w:rPr>
        <w:t>של זהורית בעוד שהיה מלבין ונותנין אותו באולם כדאמר ביומא בפ' שני שעירי [דף סז]</w:t>
      </w:r>
      <w:r w:rsidRPr="002835E9">
        <w:rPr>
          <w:rFonts w:ascii="FrankRuehl" w:hAnsi="FrankRuehl" w:cs="FrankRuehl" w:hint="cs"/>
          <w:sz w:val="24"/>
          <w:szCs w:val="24"/>
          <w:rtl/>
        </w:rPr>
        <w:t>...</w:t>
      </w:r>
      <w:r w:rsidRPr="002835E9">
        <w:rPr>
          <w:rFonts w:ascii="FrankRuehl" w:hAnsi="FrankRuehl" w:cs="FrankRuehl"/>
          <w:sz w:val="24"/>
          <w:szCs w:val="24"/>
          <w:rtl/>
        </w:rPr>
        <w:t xml:space="preserve"> ולשון שבין קרניו לאחר שמת שמעון הצדיק שרא</w:t>
      </w:r>
      <w:r w:rsidRPr="002835E9">
        <w:rPr>
          <w:rFonts w:ascii="FrankRuehl" w:hAnsi="FrankRuehl" w:cs="FrankRuehl" w:hint="cs"/>
          <w:sz w:val="24"/>
          <w:szCs w:val="24"/>
          <w:rtl/>
        </w:rPr>
        <w:t>ו</w:t>
      </w:r>
      <w:r w:rsidRPr="002835E9">
        <w:rPr>
          <w:rFonts w:ascii="FrankRuehl" w:hAnsi="FrankRuehl" w:cs="FrankRuehl"/>
          <w:sz w:val="24"/>
          <w:szCs w:val="24"/>
          <w:rtl/>
        </w:rPr>
        <w:t xml:space="preserve"> שלפעמים היה מלבין ופעם לא היה מלבין התקינו שהיו מניחין בין קרניו ובסלע</w:t>
      </w:r>
      <w:r w:rsidRPr="002835E9">
        <w:rPr>
          <w:rFonts w:ascii="FrankRuehl" w:hAnsi="FrankRuehl" w:cs="FrankRuehl" w:hint="cs"/>
          <w:sz w:val="24"/>
          <w:szCs w:val="24"/>
          <w:rtl/>
        </w:rPr>
        <w:t>.</w:t>
      </w:r>
    </w:p>
    <w:p w:rsidR="00C26E1A" w:rsidRDefault="00C26E1A" w:rsidP="00C26E1A">
      <w:pPr>
        <w:tabs>
          <w:tab w:val="left" w:pos="2096"/>
        </w:tabs>
        <w:spacing w:line="276" w:lineRule="auto"/>
        <w:rPr>
          <w:sz w:val="24"/>
          <w:szCs w:val="24"/>
          <w:rtl/>
        </w:rPr>
      </w:pPr>
      <w:r>
        <w:rPr>
          <w:sz w:val="24"/>
          <w:szCs w:val="24"/>
          <w:rtl/>
        </w:rPr>
        <w:tab/>
      </w:r>
    </w:p>
    <w:p w:rsidR="00C26E1A" w:rsidRDefault="00C26E1A" w:rsidP="00C26E1A">
      <w:pPr>
        <w:spacing w:line="276" w:lineRule="auto"/>
        <w:rPr>
          <w:sz w:val="24"/>
          <w:szCs w:val="24"/>
          <w:rtl/>
        </w:rPr>
      </w:pPr>
    </w:p>
    <w:p w:rsidR="00C26E1A" w:rsidRDefault="00C26E1A" w:rsidP="00C26E1A">
      <w:pPr>
        <w:spacing w:line="276" w:lineRule="auto"/>
        <w:rPr>
          <w:sz w:val="24"/>
          <w:szCs w:val="24"/>
          <w:rtl/>
        </w:rPr>
      </w:pPr>
      <w:r>
        <w:rPr>
          <w:rFonts w:hint="cs"/>
          <w:sz w:val="24"/>
          <w:szCs w:val="24"/>
          <w:rtl/>
        </w:rPr>
        <w:t xml:space="preserve">בשיעורים הקודמים עסקנו במעמדו של השעיר המשתלח ובדיני שילוחו. בשיעור הנוכחי נשלים את הדיון בנושא זה, ונעסוק בבירור גדרה של הלשון של זהורית ותפקידה. </w:t>
      </w:r>
    </w:p>
    <w:p w:rsidR="00C26E1A" w:rsidRDefault="00C26E1A" w:rsidP="00C26E1A">
      <w:pPr>
        <w:spacing w:line="276" w:lineRule="auto"/>
        <w:rPr>
          <w:sz w:val="24"/>
          <w:szCs w:val="24"/>
          <w:rtl/>
        </w:rPr>
      </w:pPr>
      <w:r>
        <w:rPr>
          <w:rFonts w:hint="cs"/>
          <w:sz w:val="24"/>
          <w:szCs w:val="24"/>
          <w:rtl/>
        </w:rPr>
        <w:t>על תפקידה של הלשון של זהורית ניתן ללמוד מדברי התנאים. שנינו במשנה במסכת שבת:</w:t>
      </w:r>
    </w:p>
    <w:p w:rsidR="00C26E1A" w:rsidRDefault="00C26E1A" w:rsidP="00C26E1A">
      <w:pPr>
        <w:spacing w:line="276" w:lineRule="auto"/>
        <w:ind w:left="720"/>
        <w:rPr>
          <w:sz w:val="24"/>
          <w:szCs w:val="24"/>
          <w:rtl/>
        </w:rPr>
      </w:pPr>
      <w:r w:rsidRPr="00475664">
        <w:rPr>
          <w:sz w:val="24"/>
          <w:szCs w:val="24"/>
          <w:rtl/>
        </w:rPr>
        <w:t>מנין שקושרין לשון של זהורית בראש שעיר המשתלח</w:t>
      </w:r>
      <w:r>
        <w:rPr>
          <w:rFonts w:hint="cs"/>
          <w:sz w:val="24"/>
          <w:szCs w:val="24"/>
          <w:rtl/>
        </w:rPr>
        <w:t>?</w:t>
      </w:r>
      <w:r w:rsidRPr="00475664">
        <w:rPr>
          <w:sz w:val="24"/>
          <w:szCs w:val="24"/>
          <w:rtl/>
        </w:rPr>
        <w:t xml:space="preserve"> שנאמר </w:t>
      </w:r>
      <w:r>
        <w:rPr>
          <w:rFonts w:hint="cs"/>
          <w:sz w:val="24"/>
          <w:szCs w:val="24"/>
          <w:rtl/>
        </w:rPr>
        <w:t>'</w:t>
      </w:r>
      <w:r w:rsidRPr="00475664">
        <w:rPr>
          <w:sz w:val="24"/>
          <w:szCs w:val="24"/>
          <w:rtl/>
        </w:rPr>
        <w:t>אם יהיו חטאיכם כשנים כשלג ילבינו</w:t>
      </w:r>
      <w:r>
        <w:rPr>
          <w:rFonts w:hint="cs"/>
          <w:sz w:val="24"/>
          <w:szCs w:val="24"/>
          <w:rtl/>
        </w:rPr>
        <w:t>'.</w:t>
      </w:r>
    </w:p>
    <w:p w:rsidR="00C26E1A" w:rsidRPr="00475664" w:rsidRDefault="00C26E1A" w:rsidP="00C26E1A">
      <w:pPr>
        <w:spacing w:line="276" w:lineRule="auto"/>
        <w:ind w:left="720"/>
        <w:jc w:val="right"/>
        <w:rPr>
          <w:sz w:val="20"/>
          <w:szCs w:val="20"/>
          <w:rtl/>
        </w:rPr>
      </w:pPr>
      <w:r>
        <w:rPr>
          <w:rFonts w:hint="cs"/>
          <w:sz w:val="20"/>
          <w:szCs w:val="20"/>
          <w:rtl/>
        </w:rPr>
        <w:t>[שבת פו.]</w:t>
      </w:r>
    </w:p>
    <w:p w:rsidR="00C26E1A" w:rsidRDefault="00C26E1A" w:rsidP="00C26E1A">
      <w:pPr>
        <w:spacing w:line="276" w:lineRule="auto"/>
        <w:rPr>
          <w:sz w:val="24"/>
          <w:szCs w:val="24"/>
          <w:rtl/>
        </w:rPr>
      </w:pPr>
      <w:r>
        <w:rPr>
          <w:rFonts w:hint="cs"/>
          <w:sz w:val="24"/>
          <w:szCs w:val="24"/>
          <w:rtl/>
        </w:rPr>
        <w:t xml:space="preserve">המשנה תומכת את מקור דין לשון של זהורית בדברי הנביא ישעיהו </w:t>
      </w:r>
      <w:r>
        <w:rPr>
          <w:rFonts w:hint="cs"/>
          <w:sz w:val="20"/>
          <w:szCs w:val="20"/>
          <w:rtl/>
        </w:rPr>
        <w:t>[א יח]</w:t>
      </w:r>
      <w:r>
        <w:rPr>
          <w:rFonts w:hint="cs"/>
          <w:sz w:val="24"/>
          <w:szCs w:val="24"/>
          <w:rtl/>
        </w:rPr>
        <w:t>. מכך נראה שקיים קשר בין החטאים המסומלים על ידי צבע השני, ובין קשירת לשון של זהורית בראש השעיר. בברייתא המופיעה בגמרא אנו מוצאים תיאור נרחב יותר בהקשר זה:</w:t>
      </w:r>
    </w:p>
    <w:p w:rsidR="00C26E1A" w:rsidRDefault="00C26E1A" w:rsidP="00C26E1A">
      <w:pPr>
        <w:spacing w:line="276" w:lineRule="auto"/>
        <w:ind w:left="720"/>
        <w:rPr>
          <w:sz w:val="24"/>
          <w:szCs w:val="24"/>
          <w:rtl/>
        </w:rPr>
      </w:pPr>
      <w:r w:rsidRPr="004C54CC">
        <w:rPr>
          <w:sz w:val="24"/>
          <w:szCs w:val="24"/>
          <w:rtl/>
        </w:rPr>
        <w:t>תנו רבנן</w:t>
      </w:r>
      <w:r>
        <w:rPr>
          <w:rFonts w:hint="cs"/>
          <w:sz w:val="24"/>
          <w:szCs w:val="24"/>
          <w:rtl/>
        </w:rPr>
        <w:t>,</w:t>
      </w:r>
      <w:r w:rsidRPr="004C54CC">
        <w:rPr>
          <w:sz w:val="24"/>
          <w:szCs w:val="24"/>
          <w:rtl/>
        </w:rPr>
        <w:t xml:space="preserve"> בראשונה היו קושרין לשון של זהורית על פתח האולם מבחוץ</w:t>
      </w:r>
      <w:r>
        <w:rPr>
          <w:rFonts w:hint="cs"/>
          <w:sz w:val="24"/>
          <w:szCs w:val="24"/>
          <w:rtl/>
        </w:rPr>
        <w:t>,</w:t>
      </w:r>
      <w:r w:rsidRPr="004C54CC">
        <w:rPr>
          <w:sz w:val="24"/>
          <w:szCs w:val="24"/>
          <w:rtl/>
        </w:rPr>
        <w:t xml:space="preserve"> הלבין היו שמחין לא הלבין היו עצבין ומתביישין</w:t>
      </w:r>
      <w:r>
        <w:rPr>
          <w:rFonts w:hint="cs"/>
          <w:sz w:val="24"/>
          <w:szCs w:val="24"/>
          <w:rtl/>
        </w:rPr>
        <w:t>.</w:t>
      </w:r>
      <w:r w:rsidRPr="004C54CC">
        <w:rPr>
          <w:sz w:val="24"/>
          <w:szCs w:val="24"/>
          <w:rtl/>
        </w:rPr>
        <w:t xml:space="preserve"> התקינו שיהיו קושרין על פתח אולם מבפנים</w:t>
      </w:r>
      <w:r>
        <w:rPr>
          <w:rFonts w:hint="cs"/>
          <w:sz w:val="24"/>
          <w:szCs w:val="24"/>
          <w:rtl/>
        </w:rPr>
        <w:t>,</w:t>
      </w:r>
      <w:r w:rsidRPr="004C54CC">
        <w:rPr>
          <w:sz w:val="24"/>
          <w:szCs w:val="24"/>
          <w:rtl/>
        </w:rPr>
        <w:t xml:space="preserve"> ועדיין היו מציצין ורואין</w:t>
      </w:r>
      <w:r>
        <w:rPr>
          <w:rFonts w:hint="cs"/>
          <w:sz w:val="24"/>
          <w:szCs w:val="24"/>
          <w:rtl/>
        </w:rPr>
        <w:t>,</w:t>
      </w:r>
      <w:r w:rsidRPr="004C54CC">
        <w:rPr>
          <w:sz w:val="24"/>
          <w:szCs w:val="24"/>
          <w:rtl/>
        </w:rPr>
        <w:t xml:space="preserve"> הלבין היו שמחין</w:t>
      </w:r>
      <w:r>
        <w:rPr>
          <w:rFonts w:hint="cs"/>
          <w:sz w:val="24"/>
          <w:szCs w:val="24"/>
          <w:rtl/>
        </w:rPr>
        <w:t>,</w:t>
      </w:r>
      <w:r w:rsidRPr="004C54CC">
        <w:rPr>
          <w:sz w:val="24"/>
          <w:szCs w:val="24"/>
          <w:rtl/>
        </w:rPr>
        <w:t xml:space="preserve"> לא הלבין היו עצבין</w:t>
      </w:r>
      <w:r>
        <w:rPr>
          <w:rFonts w:hint="cs"/>
          <w:sz w:val="24"/>
          <w:szCs w:val="24"/>
          <w:rtl/>
        </w:rPr>
        <w:t>.</w:t>
      </w:r>
      <w:r w:rsidRPr="004C54CC">
        <w:rPr>
          <w:sz w:val="24"/>
          <w:szCs w:val="24"/>
          <w:rtl/>
        </w:rPr>
        <w:t xml:space="preserve"> התקינו שיהיו קושרין אותו חציו בסלע וחציו בין קרניו</w:t>
      </w:r>
      <w:r>
        <w:rPr>
          <w:rFonts w:hint="cs"/>
          <w:sz w:val="24"/>
          <w:szCs w:val="24"/>
          <w:rtl/>
        </w:rPr>
        <w:t>.</w:t>
      </w:r>
    </w:p>
    <w:p w:rsidR="00C26E1A" w:rsidRPr="000C58C2" w:rsidRDefault="00C26E1A" w:rsidP="00C26E1A">
      <w:pPr>
        <w:spacing w:line="276" w:lineRule="auto"/>
        <w:jc w:val="right"/>
        <w:rPr>
          <w:sz w:val="20"/>
          <w:szCs w:val="20"/>
          <w:rtl/>
        </w:rPr>
      </w:pPr>
      <w:r>
        <w:rPr>
          <w:rFonts w:hint="cs"/>
          <w:sz w:val="20"/>
          <w:szCs w:val="20"/>
          <w:rtl/>
        </w:rPr>
        <w:t>[סז.]</w:t>
      </w:r>
    </w:p>
    <w:p w:rsidR="00C26E1A" w:rsidRDefault="00C26E1A" w:rsidP="00C26E1A">
      <w:pPr>
        <w:spacing w:line="276" w:lineRule="auto"/>
        <w:rPr>
          <w:sz w:val="24"/>
          <w:szCs w:val="24"/>
          <w:rtl/>
        </w:rPr>
      </w:pPr>
      <w:r>
        <w:rPr>
          <w:rFonts w:hint="cs"/>
          <w:sz w:val="24"/>
          <w:szCs w:val="24"/>
          <w:rtl/>
        </w:rPr>
        <w:t>בדברי הברייתא נאמר במפורש שבזמנים מסוימים הלשון הייתה מלבינה. מהתיאור המופיע בדברי הברייתא עולה שהלבנת הלשון מהווה סימן לכפרה, ומשום כך כאשר הלשון הלבינה "היו שמחין". ברם, מהמשך דברי הגמרא, נראה שתפקידה של הלשון היה שונה:</w:t>
      </w:r>
    </w:p>
    <w:p w:rsidR="00C26E1A" w:rsidRDefault="00C26E1A" w:rsidP="00C26E1A">
      <w:pPr>
        <w:spacing w:line="276" w:lineRule="auto"/>
        <w:ind w:left="720"/>
        <w:rPr>
          <w:sz w:val="24"/>
          <w:szCs w:val="24"/>
          <w:rtl/>
        </w:rPr>
      </w:pPr>
      <w:r w:rsidRPr="004C54CC">
        <w:rPr>
          <w:sz w:val="24"/>
          <w:szCs w:val="24"/>
          <w:rtl/>
        </w:rPr>
        <w:t>אמר רבי נחום בר פפא משום רבי אלעזר הקפר</w:t>
      </w:r>
      <w:r>
        <w:rPr>
          <w:rFonts w:hint="cs"/>
          <w:sz w:val="24"/>
          <w:szCs w:val="24"/>
          <w:rtl/>
        </w:rPr>
        <w:t>:</w:t>
      </w:r>
      <w:r w:rsidRPr="004C54CC">
        <w:rPr>
          <w:sz w:val="24"/>
          <w:szCs w:val="24"/>
          <w:rtl/>
        </w:rPr>
        <w:t xml:space="preserve"> בראשונה היו קושרין לשון של זהורית על פתח אולם מבפנים</w:t>
      </w:r>
      <w:r>
        <w:rPr>
          <w:rFonts w:hint="cs"/>
          <w:sz w:val="24"/>
          <w:szCs w:val="24"/>
          <w:rtl/>
        </w:rPr>
        <w:t>,</w:t>
      </w:r>
      <w:r w:rsidRPr="004C54CC">
        <w:rPr>
          <w:sz w:val="24"/>
          <w:szCs w:val="24"/>
          <w:rtl/>
        </w:rPr>
        <w:t xml:space="preserve"> וכיון שהגיע שעיר למדבר היה מלבין וידעו שנעשית מצותו</w:t>
      </w:r>
      <w:r>
        <w:rPr>
          <w:rFonts w:hint="cs"/>
          <w:sz w:val="24"/>
          <w:szCs w:val="24"/>
          <w:rtl/>
        </w:rPr>
        <w:t>,</w:t>
      </w:r>
      <w:r w:rsidRPr="004C54CC">
        <w:rPr>
          <w:sz w:val="24"/>
          <w:szCs w:val="24"/>
          <w:rtl/>
        </w:rPr>
        <w:t xml:space="preserve"> שנאמר </w:t>
      </w:r>
      <w:r>
        <w:rPr>
          <w:rFonts w:hint="cs"/>
          <w:sz w:val="24"/>
          <w:szCs w:val="24"/>
          <w:rtl/>
        </w:rPr>
        <w:t>'</w:t>
      </w:r>
      <w:r w:rsidRPr="004C54CC">
        <w:rPr>
          <w:sz w:val="24"/>
          <w:szCs w:val="24"/>
          <w:rtl/>
        </w:rPr>
        <w:t>אם יהיו חטאיכם כשנים כשלג ילבינו</w:t>
      </w:r>
      <w:r>
        <w:rPr>
          <w:rFonts w:hint="cs"/>
          <w:sz w:val="24"/>
          <w:szCs w:val="24"/>
          <w:rtl/>
        </w:rPr>
        <w:t>'.</w:t>
      </w:r>
    </w:p>
    <w:p w:rsidR="00C26E1A" w:rsidRPr="00346171" w:rsidRDefault="00C26E1A" w:rsidP="00C26E1A">
      <w:pPr>
        <w:spacing w:line="276" w:lineRule="auto"/>
        <w:ind w:left="720"/>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lastRenderedPageBreak/>
        <w:t>בניגוד לדברי הברייתא לעיל, המתארת ש"שבתחילה היו קושרין לשון של זהורית על פתח האולם מבחוץ", סובר ר' אלעזר הקפר ש"בראשונה</w:t>
      </w:r>
      <w:r>
        <w:rPr>
          <w:rStyle w:val="a7"/>
          <w:sz w:val="24"/>
          <w:szCs w:val="24"/>
          <w:rtl/>
        </w:rPr>
        <w:footnoteReference w:id="161"/>
      </w:r>
      <w:r>
        <w:rPr>
          <w:rFonts w:hint="cs"/>
          <w:sz w:val="24"/>
          <w:szCs w:val="24"/>
          <w:rtl/>
        </w:rPr>
        <w:t xml:space="preserve"> היו קושרין לשון של זהורית על פתח אולם מבפנים". לפי זה, נראה שתפקיד הלשון היה צורך פנים, והיא אינה נועדה כדי להודיע לעם על הכפרה. כיוון זה מתחזק מהמשך דברי ר' אלעזר הקפר שסובר שהלשון הלבינה לאחר שהגיע שעיר למדבר, ובכך ידעו שנעשית מצוותו. וכפי שאומר ר' ישמעאל במשנה:</w:t>
      </w:r>
    </w:p>
    <w:p w:rsidR="00C26E1A" w:rsidRDefault="00C26E1A" w:rsidP="00C26E1A">
      <w:pPr>
        <w:spacing w:line="276" w:lineRule="auto"/>
        <w:ind w:left="720"/>
        <w:rPr>
          <w:sz w:val="24"/>
          <w:szCs w:val="24"/>
          <w:rtl/>
        </w:rPr>
      </w:pPr>
      <w:r w:rsidRPr="00A27300">
        <w:rPr>
          <w:sz w:val="24"/>
          <w:szCs w:val="24"/>
          <w:rtl/>
        </w:rPr>
        <w:t>אמרו לו לכהן גדול הגיע שעיר למדבר</w:t>
      </w:r>
      <w:r>
        <w:rPr>
          <w:rFonts w:hint="cs"/>
          <w:sz w:val="24"/>
          <w:szCs w:val="24"/>
          <w:rtl/>
        </w:rPr>
        <w:t>.</w:t>
      </w:r>
      <w:r w:rsidRPr="00A27300">
        <w:rPr>
          <w:sz w:val="24"/>
          <w:szCs w:val="24"/>
          <w:rtl/>
        </w:rPr>
        <w:t xml:space="preserve"> ומניין היו יודעין שהגיע שעיר למדבר</w:t>
      </w:r>
      <w:r>
        <w:rPr>
          <w:rFonts w:hint="cs"/>
          <w:sz w:val="24"/>
          <w:szCs w:val="24"/>
          <w:rtl/>
        </w:rPr>
        <w:t xml:space="preserve">?... </w:t>
      </w:r>
      <w:r w:rsidRPr="00A27300">
        <w:rPr>
          <w:sz w:val="24"/>
          <w:szCs w:val="24"/>
          <w:rtl/>
        </w:rPr>
        <w:t>רבי ישמעאל אומר</w:t>
      </w:r>
      <w:r>
        <w:rPr>
          <w:rFonts w:hint="cs"/>
          <w:sz w:val="24"/>
          <w:szCs w:val="24"/>
          <w:rtl/>
        </w:rPr>
        <w:t>:</w:t>
      </w:r>
      <w:r w:rsidRPr="00A27300">
        <w:rPr>
          <w:sz w:val="24"/>
          <w:szCs w:val="24"/>
          <w:rtl/>
        </w:rPr>
        <w:t xml:space="preserve"> והלא סימן אחר היה להם</w:t>
      </w:r>
      <w:r>
        <w:rPr>
          <w:rFonts w:hint="cs"/>
          <w:sz w:val="24"/>
          <w:szCs w:val="24"/>
          <w:rtl/>
        </w:rPr>
        <w:t>,</w:t>
      </w:r>
      <w:r w:rsidRPr="00A27300">
        <w:rPr>
          <w:sz w:val="24"/>
          <w:szCs w:val="24"/>
          <w:rtl/>
        </w:rPr>
        <w:t xml:space="preserve"> לשון של זהורית היה קשור על פתחו של היכל וכשהגיע שעיר למדבר היה הלשון מלבין</w:t>
      </w:r>
      <w:r>
        <w:rPr>
          <w:rFonts w:hint="cs"/>
          <w:sz w:val="24"/>
          <w:szCs w:val="24"/>
          <w:rtl/>
        </w:rPr>
        <w:t>,</w:t>
      </w:r>
      <w:r w:rsidRPr="00A27300">
        <w:rPr>
          <w:sz w:val="24"/>
          <w:szCs w:val="24"/>
          <w:rtl/>
        </w:rPr>
        <w:t xml:space="preserve"> שנאמר </w:t>
      </w:r>
      <w:r>
        <w:rPr>
          <w:rFonts w:hint="cs"/>
          <w:sz w:val="24"/>
          <w:szCs w:val="24"/>
          <w:rtl/>
        </w:rPr>
        <w:t>'</w:t>
      </w:r>
      <w:r w:rsidRPr="00A27300">
        <w:rPr>
          <w:sz w:val="24"/>
          <w:szCs w:val="24"/>
          <w:rtl/>
        </w:rPr>
        <w:t>אם יהיו חטאיכם כשנים כשלג ילבינו</w:t>
      </w:r>
      <w:r>
        <w:rPr>
          <w:rFonts w:hint="cs"/>
          <w:sz w:val="24"/>
          <w:szCs w:val="24"/>
          <w:rtl/>
        </w:rPr>
        <w:t>'.</w:t>
      </w:r>
    </w:p>
    <w:p w:rsidR="00C26E1A" w:rsidRPr="00A27300" w:rsidRDefault="00C26E1A" w:rsidP="00C26E1A">
      <w:pPr>
        <w:spacing w:line="276" w:lineRule="auto"/>
        <w:ind w:left="720"/>
        <w:jc w:val="right"/>
        <w:rPr>
          <w:sz w:val="20"/>
          <w:szCs w:val="20"/>
          <w:rtl/>
        </w:rPr>
      </w:pPr>
      <w:r>
        <w:rPr>
          <w:rFonts w:hint="cs"/>
          <w:sz w:val="20"/>
          <w:szCs w:val="20"/>
          <w:rtl/>
        </w:rPr>
        <w:t>[סח:]</w:t>
      </w:r>
    </w:p>
    <w:p w:rsidR="00C26E1A" w:rsidRDefault="00C26E1A" w:rsidP="00C26E1A">
      <w:pPr>
        <w:spacing w:line="276" w:lineRule="auto"/>
        <w:rPr>
          <w:sz w:val="24"/>
          <w:szCs w:val="24"/>
          <w:rtl/>
        </w:rPr>
      </w:pPr>
      <w:r>
        <w:rPr>
          <w:rFonts w:hint="cs"/>
          <w:sz w:val="24"/>
          <w:szCs w:val="24"/>
          <w:rtl/>
        </w:rPr>
        <w:t>רש"י מסביר, שהנחתה של המשנה היא שהכהן אינו רשאי להתחיל בעבודה אחרת עד שידע שהתקיימה מצוות השעיר. התנאים נחלקו בשאלה כיצד ידע הכהן שהוא רשאי להמשיך בעבודתו, ור' ישמעאל סובר שהסימן לכך שהגיע השעיר למדבר הוא הלבנת הלשון שהייתה קשורה בפתחו של ההיכל</w:t>
      </w:r>
      <w:r>
        <w:rPr>
          <w:rStyle w:val="a7"/>
          <w:sz w:val="24"/>
          <w:szCs w:val="24"/>
          <w:rtl/>
        </w:rPr>
        <w:footnoteReference w:id="162"/>
      </w:r>
      <w:r>
        <w:rPr>
          <w:rFonts w:hint="cs"/>
          <w:sz w:val="24"/>
          <w:szCs w:val="24"/>
          <w:rtl/>
        </w:rPr>
        <w:t xml:space="preserve">. </w:t>
      </w:r>
    </w:p>
    <w:p w:rsidR="00C26E1A" w:rsidRDefault="00C26E1A" w:rsidP="00C26E1A">
      <w:pPr>
        <w:spacing w:line="276" w:lineRule="auto"/>
        <w:rPr>
          <w:sz w:val="24"/>
          <w:szCs w:val="24"/>
          <w:rtl/>
        </w:rPr>
      </w:pPr>
      <w:r>
        <w:rPr>
          <w:rFonts w:hint="cs"/>
          <w:sz w:val="24"/>
          <w:szCs w:val="24"/>
          <w:rtl/>
        </w:rPr>
        <w:t>אמנם ייתכן ששתי אפשרויות אלו ביחס לתפקידה של הלשון התקיימו במקביל, והן אינן מלמדות על תפיסות מנוגדות ביחס למשמעותה של הלשון. הלבנת הלשון אכן היוותה סימן לכפרה, וכדברי הנביא "</w:t>
      </w:r>
      <w:r w:rsidRPr="00A27300">
        <w:rPr>
          <w:sz w:val="24"/>
          <w:szCs w:val="24"/>
          <w:rtl/>
        </w:rPr>
        <w:t>אם יהיו חטאיכם כשנים כשלג ילבינו</w:t>
      </w:r>
      <w:r>
        <w:rPr>
          <w:rFonts w:hint="cs"/>
          <w:sz w:val="24"/>
          <w:szCs w:val="24"/>
          <w:rtl/>
        </w:rPr>
        <w:t>", וכפי שמצטט ר' ישמעאל עצמו. בנוסף, מכיוון שהלשון הלבינה בשעה שהגיע השעיר למדבר, ניתן היה להשתמש בה כסימן לכך שהכהן רשאי להמשיך בעבודתו.</w:t>
      </w:r>
    </w:p>
    <w:p w:rsidR="00C26E1A" w:rsidRDefault="00C26E1A" w:rsidP="00C26E1A">
      <w:pPr>
        <w:spacing w:line="276" w:lineRule="auto"/>
        <w:rPr>
          <w:sz w:val="24"/>
          <w:szCs w:val="24"/>
          <w:rtl/>
        </w:rPr>
      </w:pPr>
      <w:r>
        <w:rPr>
          <w:rFonts w:hint="cs"/>
          <w:sz w:val="24"/>
          <w:szCs w:val="24"/>
          <w:rtl/>
        </w:rPr>
        <w:t xml:space="preserve">מדברי הגמרא במקום אחר </w:t>
      </w:r>
      <w:r>
        <w:rPr>
          <w:rFonts w:hint="cs"/>
          <w:sz w:val="20"/>
          <w:szCs w:val="20"/>
          <w:rtl/>
        </w:rPr>
        <w:t>[מא:]</w:t>
      </w:r>
      <w:r>
        <w:rPr>
          <w:rFonts w:hint="cs"/>
          <w:sz w:val="24"/>
          <w:szCs w:val="24"/>
          <w:rtl/>
        </w:rPr>
        <w:t>, עולה שתפקיד הלשון היה שונה בתכלית. נאמר במשנה:</w:t>
      </w:r>
    </w:p>
    <w:p w:rsidR="00C26E1A" w:rsidRDefault="00C26E1A" w:rsidP="00C26E1A">
      <w:pPr>
        <w:spacing w:line="276" w:lineRule="auto"/>
        <w:ind w:left="720"/>
        <w:rPr>
          <w:sz w:val="24"/>
          <w:szCs w:val="24"/>
          <w:rtl/>
        </w:rPr>
      </w:pPr>
      <w:r w:rsidRPr="004C54CC">
        <w:rPr>
          <w:sz w:val="24"/>
          <w:szCs w:val="24"/>
          <w:rtl/>
        </w:rPr>
        <w:t>קשר לשון של זהורית בראש שעיר המשתלח והעמידו כנגד בית שילוחו</w:t>
      </w:r>
      <w:r>
        <w:rPr>
          <w:rFonts w:hint="cs"/>
          <w:sz w:val="24"/>
          <w:szCs w:val="24"/>
          <w:rtl/>
        </w:rPr>
        <w:t>,</w:t>
      </w:r>
      <w:r w:rsidRPr="004C54CC">
        <w:rPr>
          <w:sz w:val="24"/>
          <w:szCs w:val="24"/>
          <w:rtl/>
        </w:rPr>
        <w:t xml:space="preserve"> ולנשחט כנגד בית שחיטתו</w:t>
      </w:r>
      <w:r>
        <w:rPr>
          <w:rFonts w:hint="cs"/>
          <w:sz w:val="24"/>
          <w:szCs w:val="24"/>
          <w:rtl/>
        </w:rPr>
        <w:t>.</w:t>
      </w:r>
    </w:p>
    <w:p w:rsidR="00C26E1A" w:rsidRPr="00B505C4" w:rsidRDefault="00C26E1A" w:rsidP="00C26E1A">
      <w:pPr>
        <w:spacing w:line="276" w:lineRule="auto"/>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t>במשנה מבואר שיש לקשור את הלשון בראש השעיר המשתלח, ולהעמיד את השעיר כנגד בית שחיטתו. בחלק השני של המשנה נאמר "ולנשחט כנגד בית שחיטתו". בעקבות ניסוח המשנה, מתלבטת הגמרא האם כוונת המשנה שיש להעמיד את השעיר הנשחט כנגד בית שחיטתו, או שמא הכוונה היא שיש לקשור את הלשון גם השעיר הנשחט, ומקום הקשירה הוא כנגד בית שחיטתו, כלומר כנגד צווארו. הגמרא פושטת ספק זה מברייתא המובאת על ידי רב יוסף:</w:t>
      </w:r>
    </w:p>
    <w:p w:rsidR="00C26E1A" w:rsidRDefault="00C26E1A" w:rsidP="00C26E1A">
      <w:pPr>
        <w:spacing w:line="276" w:lineRule="auto"/>
        <w:ind w:left="720"/>
        <w:rPr>
          <w:sz w:val="24"/>
          <w:szCs w:val="24"/>
          <w:rtl/>
        </w:rPr>
      </w:pPr>
      <w:r w:rsidRPr="004C54CC">
        <w:rPr>
          <w:sz w:val="24"/>
          <w:szCs w:val="24"/>
          <w:rtl/>
        </w:rPr>
        <w:t>תא שמע</w:t>
      </w:r>
      <w:r>
        <w:rPr>
          <w:rFonts w:hint="cs"/>
          <w:sz w:val="24"/>
          <w:szCs w:val="24"/>
          <w:rtl/>
        </w:rPr>
        <w:t>,</w:t>
      </w:r>
      <w:r w:rsidRPr="004C54CC">
        <w:rPr>
          <w:sz w:val="24"/>
          <w:szCs w:val="24"/>
          <w:rtl/>
        </w:rPr>
        <w:t xml:space="preserve"> דתני רב יוסף</w:t>
      </w:r>
      <w:r>
        <w:rPr>
          <w:rFonts w:hint="cs"/>
          <w:sz w:val="24"/>
          <w:szCs w:val="24"/>
          <w:rtl/>
        </w:rPr>
        <w:t>:</w:t>
      </w:r>
      <w:r w:rsidRPr="004C54CC">
        <w:rPr>
          <w:sz w:val="24"/>
          <w:szCs w:val="24"/>
          <w:rtl/>
        </w:rPr>
        <w:t xml:space="preserve"> קשר לשון של זהורית בראש שעיר המשתלח והעמידו כנגד בית שילוחו ולנשחט כנגד בית שחיטתו</w:t>
      </w:r>
      <w:r>
        <w:rPr>
          <w:rFonts w:hint="cs"/>
          <w:sz w:val="24"/>
          <w:szCs w:val="24"/>
          <w:rtl/>
        </w:rPr>
        <w:t>,</w:t>
      </w:r>
      <w:r w:rsidRPr="004C54CC">
        <w:rPr>
          <w:sz w:val="24"/>
          <w:szCs w:val="24"/>
          <w:rtl/>
        </w:rPr>
        <w:t xml:space="preserve"> </w:t>
      </w:r>
      <w:r w:rsidRPr="009C0926">
        <w:rPr>
          <w:b/>
          <w:bCs/>
          <w:sz w:val="24"/>
          <w:szCs w:val="24"/>
          <w:rtl/>
        </w:rPr>
        <w:t>שלא יתערב זה בזה ולא יתערב באחרים</w:t>
      </w:r>
      <w:r>
        <w:rPr>
          <w:rFonts w:hint="cs"/>
          <w:sz w:val="24"/>
          <w:szCs w:val="24"/>
          <w:rtl/>
        </w:rPr>
        <w:t>.</w:t>
      </w:r>
      <w:r w:rsidRPr="004C54CC">
        <w:rPr>
          <w:sz w:val="24"/>
          <w:szCs w:val="24"/>
          <w:rtl/>
        </w:rPr>
        <w:t xml:space="preserve"> אי אמרת בשלמא אקשירה קאי</w:t>
      </w:r>
      <w:r>
        <w:rPr>
          <w:rFonts w:hint="cs"/>
          <w:sz w:val="24"/>
          <w:szCs w:val="24"/>
          <w:rtl/>
        </w:rPr>
        <w:t>,</w:t>
      </w:r>
      <w:r w:rsidRPr="004C54CC">
        <w:rPr>
          <w:sz w:val="24"/>
          <w:szCs w:val="24"/>
          <w:rtl/>
        </w:rPr>
        <w:t xml:space="preserve"> שפיר</w:t>
      </w:r>
      <w:r>
        <w:rPr>
          <w:rFonts w:hint="cs"/>
          <w:sz w:val="24"/>
          <w:szCs w:val="24"/>
          <w:rtl/>
        </w:rPr>
        <w:t>,</w:t>
      </w:r>
      <w:r w:rsidRPr="004C54CC">
        <w:rPr>
          <w:sz w:val="24"/>
          <w:szCs w:val="24"/>
          <w:rtl/>
        </w:rPr>
        <w:t xml:space="preserve"> אלא אי אמרת אהעמדה קאי</w:t>
      </w:r>
      <w:r>
        <w:rPr>
          <w:rFonts w:hint="cs"/>
          <w:sz w:val="24"/>
          <w:szCs w:val="24"/>
          <w:rtl/>
        </w:rPr>
        <w:t>,</w:t>
      </w:r>
      <w:r w:rsidRPr="004C54CC">
        <w:rPr>
          <w:sz w:val="24"/>
          <w:szCs w:val="24"/>
          <w:rtl/>
        </w:rPr>
        <w:t xml:space="preserve"> נהי דבחבריה לא מיערב</w:t>
      </w:r>
      <w:r>
        <w:rPr>
          <w:rFonts w:hint="cs"/>
          <w:sz w:val="24"/>
          <w:szCs w:val="24"/>
          <w:rtl/>
        </w:rPr>
        <w:t>,</w:t>
      </w:r>
      <w:r w:rsidRPr="004C54CC">
        <w:rPr>
          <w:sz w:val="24"/>
          <w:szCs w:val="24"/>
          <w:rtl/>
        </w:rPr>
        <w:t xml:space="preserve"> דהאי קטיר ביה והאי לא קטיר ביה</w:t>
      </w:r>
      <w:r>
        <w:rPr>
          <w:rFonts w:hint="cs"/>
          <w:sz w:val="24"/>
          <w:szCs w:val="24"/>
          <w:rtl/>
        </w:rPr>
        <w:t>,</w:t>
      </w:r>
      <w:r w:rsidRPr="004C54CC">
        <w:rPr>
          <w:sz w:val="24"/>
          <w:szCs w:val="24"/>
          <w:rtl/>
        </w:rPr>
        <w:t xml:space="preserve"> באחריני מיהת מיערב</w:t>
      </w:r>
      <w:r>
        <w:rPr>
          <w:rFonts w:hint="cs"/>
          <w:sz w:val="24"/>
          <w:szCs w:val="24"/>
          <w:rtl/>
        </w:rPr>
        <w:t>.</w:t>
      </w:r>
      <w:r w:rsidRPr="004C54CC">
        <w:rPr>
          <w:sz w:val="24"/>
          <w:szCs w:val="24"/>
          <w:rtl/>
        </w:rPr>
        <w:t xml:space="preserve"> אלא לאו שמע מינה אקשירה קאי</w:t>
      </w:r>
      <w:r>
        <w:rPr>
          <w:rFonts w:hint="cs"/>
          <w:sz w:val="24"/>
          <w:szCs w:val="24"/>
          <w:rtl/>
        </w:rPr>
        <w:t>,</w:t>
      </w:r>
      <w:r w:rsidRPr="004C54CC">
        <w:rPr>
          <w:sz w:val="24"/>
          <w:szCs w:val="24"/>
          <w:rtl/>
        </w:rPr>
        <w:t xml:space="preserve"> שמע מינה</w:t>
      </w:r>
      <w:r>
        <w:rPr>
          <w:rFonts w:hint="cs"/>
          <w:sz w:val="24"/>
          <w:szCs w:val="24"/>
          <w:rtl/>
        </w:rPr>
        <w:t>.</w:t>
      </w:r>
    </w:p>
    <w:p w:rsidR="00C26E1A" w:rsidRPr="001D5ECE" w:rsidRDefault="00C26E1A" w:rsidP="00C26E1A">
      <w:pPr>
        <w:spacing w:line="276" w:lineRule="auto"/>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t xml:space="preserve">על פי פשט דברי הברייתא, קשירת הלשון נצרכת כדי למנוע בלבול בין שני השעירים, או ביניהם ובין שעירים אחרים הנמצאים במקדש. מכך מסיקה הברייתא שיש צורך לקשור גם את השעיר הנשחט, ובכך למנוע בלבול בינו ובין השעירים האחרים. </w:t>
      </w:r>
    </w:p>
    <w:p w:rsidR="00C26E1A" w:rsidRDefault="00C26E1A" w:rsidP="00C26E1A">
      <w:pPr>
        <w:spacing w:line="276" w:lineRule="auto"/>
        <w:rPr>
          <w:sz w:val="24"/>
          <w:szCs w:val="24"/>
          <w:rtl/>
        </w:rPr>
      </w:pPr>
      <w:r>
        <w:rPr>
          <w:rFonts w:hint="cs"/>
          <w:sz w:val="24"/>
          <w:szCs w:val="24"/>
          <w:rtl/>
        </w:rPr>
        <w:lastRenderedPageBreak/>
        <w:t>לאור זאת, מתבקש לומר שאכן לקשירת הלשון היו שתי משמעויות שונות, והשאלה היא מהו היחס בין משמעויות אלו. ייתכן ששאלה זו קשורה במחלוקת הראשונים בעניין שיעורה של הלשון. נאמר בגמרא:</w:t>
      </w:r>
    </w:p>
    <w:p w:rsidR="00C26E1A" w:rsidRDefault="00C26E1A" w:rsidP="00C26E1A">
      <w:pPr>
        <w:spacing w:line="276" w:lineRule="auto"/>
        <w:ind w:left="720"/>
        <w:rPr>
          <w:sz w:val="24"/>
          <w:szCs w:val="24"/>
          <w:rtl/>
        </w:rPr>
      </w:pPr>
      <w:r w:rsidRPr="004C54CC">
        <w:rPr>
          <w:sz w:val="24"/>
          <w:szCs w:val="24"/>
          <w:rtl/>
        </w:rPr>
        <w:t>אמר רבי יצחק</w:t>
      </w:r>
      <w:r>
        <w:rPr>
          <w:rFonts w:hint="cs"/>
          <w:sz w:val="24"/>
          <w:szCs w:val="24"/>
          <w:rtl/>
        </w:rPr>
        <w:t>:</w:t>
      </w:r>
      <w:r w:rsidRPr="004C54CC">
        <w:rPr>
          <w:sz w:val="24"/>
          <w:szCs w:val="24"/>
          <w:rtl/>
        </w:rPr>
        <w:t xml:space="preserve"> שתי לשונות שמעתי</w:t>
      </w:r>
      <w:r>
        <w:rPr>
          <w:rFonts w:hint="cs"/>
          <w:sz w:val="24"/>
          <w:szCs w:val="24"/>
          <w:rtl/>
        </w:rPr>
        <w:t>,</w:t>
      </w:r>
      <w:r w:rsidRPr="004C54CC">
        <w:rPr>
          <w:sz w:val="24"/>
          <w:szCs w:val="24"/>
          <w:rtl/>
        </w:rPr>
        <w:t xml:space="preserve"> אחת של פרה ואחת של שעיר המשתלח</w:t>
      </w:r>
      <w:r>
        <w:rPr>
          <w:rFonts w:hint="cs"/>
          <w:sz w:val="24"/>
          <w:szCs w:val="24"/>
          <w:rtl/>
        </w:rPr>
        <w:t>,</w:t>
      </w:r>
      <w:r w:rsidRPr="004C54CC">
        <w:rPr>
          <w:sz w:val="24"/>
          <w:szCs w:val="24"/>
          <w:rtl/>
        </w:rPr>
        <w:t xml:space="preserve"> אחת צריכה שיעור ואחת אינה צריכה שיעור ולא ידענא הי מינייהו</w:t>
      </w:r>
      <w:r>
        <w:rPr>
          <w:rFonts w:hint="cs"/>
          <w:sz w:val="24"/>
          <w:szCs w:val="24"/>
          <w:rtl/>
        </w:rPr>
        <w:t>.</w:t>
      </w:r>
      <w:r w:rsidRPr="004C54CC">
        <w:rPr>
          <w:sz w:val="24"/>
          <w:szCs w:val="24"/>
          <w:rtl/>
        </w:rPr>
        <w:t xml:space="preserve"> אמר רב יוסף</w:t>
      </w:r>
      <w:r>
        <w:rPr>
          <w:rFonts w:hint="cs"/>
          <w:sz w:val="24"/>
          <w:szCs w:val="24"/>
          <w:rtl/>
        </w:rPr>
        <w:t>:</w:t>
      </w:r>
      <w:r w:rsidRPr="004C54CC">
        <w:rPr>
          <w:sz w:val="24"/>
          <w:szCs w:val="24"/>
          <w:rtl/>
        </w:rPr>
        <w:t xml:space="preserve"> ניחזי אנן</w:t>
      </w:r>
      <w:r>
        <w:rPr>
          <w:rFonts w:hint="cs"/>
          <w:sz w:val="24"/>
          <w:szCs w:val="24"/>
          <w:rtl/>
        </w:rPr>
        <w:t>,</w:t>
      </w:r>
      <w:r w:rsidRPr="004C54CC">
        <w:rPr>
          <w:sz w:val="24"/>
          <w:szCs w:val="24"/>
          <w:rtl/>
        </w:rPr>
        <w:t xml:space="preserve"> של שעיר המשתלח דבעי חלוקה בעי שיעור</w:t>
      </w:r>
      <w:r>
        <w:rPr>
          <w:rFonts w:hint="cs"/>
          <w:sz w:val="24"/>
          <w:szCs w:val="24"/>
          <w:rtl/>
        </w:rPr>
        <w:t>,</w:t>
      </w:r>
      <w:r w:rsidRPr="004C54CC">
        <w:rPr>
          <w:sz w:val="24"/>
          <w:szCs w:val="24"/>
          <w:rtl/>
        </w:rPr>
        <w:t xml:space="preserve"> ושל פרה דלא בעי חלוקה לא בעי שיעור</w:t>
      </w:r>
      <w:r>
        <w:rPr>
          <w:rFonts w:hint="cs"/>
          <w:sz w:val="24"/>
          <w:szCs w:val="24"/>
          <w:rtl/>
        </w:rPr>
        <w:t>.</w:t>
      </w:r>
    </w:p>
    <w:p w:rsidR="00C26E1A" w:rsidRPr="006B29A0" w:rsidRDefault="00C26E1A" w:rsidP="00C26E1A">
      <w:pPr>
        <w:spacing w:line="276" w:lineRule="auto"/>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t xml:space="preserve">רב יוסף סובר, שהסיבה שלשון של זהורית של שעיר המשתלח צריכה שיעור היא משום שצריך לחלוק אותה. נראה ללמוד מכך שהחלוקה מהווה חלק עקרוני ממצות הלשון, ולכן בכוחה לקבוע את שיעורה. </w:t>
      </w:r>
    </w:p>
    <w:p w:rsidR="00C26E1A" w:rsidRDefault="00C26E1A" w:rsidP="00C26E1A">
      <w:pPr>
        <w:spacing w:line="276" w:lineRule="auto"/>
        <w:rPr>
          <w:sz w:val="24"/>
          <w:szCs w:val="24"/>
          <w:rtl/>
        </w:rPr>
      </w:pPr>
      <w:r>
        <w:rPr>
          <w:rFonts w:hint="cs"/>
          <w:sz w:val="24"/>
          <w:szCs w:val="24"/>
          <w:rtl/>
        </w:rPr>
        <w:t>הראשונים נחלקו  מהי אותה חלוקה. הר"י מלוניל כותב:</w:t>
      </w:r>
    </w:p>
    <w:p w:rsidR="00C26E1A" w:rsidRDefault="00C26E1A" w:rsidP="00C26E1A">
      <w:pPr>
        <w:spacing w:line="276" w:lineRule="auto"/>
        <w:ind w:left="720"/>
        <w:rPr>
          <w:sz w:val="24"/>
          <w:szCs w:val="24"/>
          <w:rtl/>
        </w:rPr>
      </w:pPr>
      <w:r w:rsidRPr="00475664">
        <w:rPr>
          <w:sz w:val="24"/>
          <w:szCs w:val="24"/>
          <w:rtl/>
        </w:rPr>
        <w:t>ומפרש בגמ' דהכי קאמ</w:t>
      </w:r>
      <w:r>
        <w:rPr>
          <w:rFonts w:hint="cs"/>
          <w:sz w:val="24"/>
          <w:szCs w:val="24"/>
          <w:rtl/>
        </w:rPr>
        <w:t>ר</w:t>
      </w:r>
      <w:r w:rsidRPr="00475664">
        <w:rPr>
          <w:sz w:val="24"/>
          <w:szCs w:val="24"/>
          <w:rtl/>
        </w:rPr>
        <w:t>, שחולק את האדום לשני חלקים, ונותן חלק אחד עליו</w:t>
      </w:r>
      <w:r>
        <w:rPr>
          <w:rFonts w:hint="cs"/>
          <w:sz w:val="24"/>
          <w:szCs w:val="24"/>
          <w:rtl/>
        </w:rPr>
        <w:t xml:space="preserve"> </w:t>
      </w:r>
      <w:r w:rsidRPr="00475664">
        <w:rPr>
          <w:sz w:val="24"/>
          <w:szCs w:val="24"/>
          <w:rtl/>
        </w:rPr>
        <w:t>בין קרני שעיר המשתלח, והחלק השני כנגד בית השחיטה של שם, וכדי שלא יתערבו זה בזה ולא יוכל עוד להגריל עליהן שמא יתהפך הגורל לכך עושה רוש</w:t>
      </w:r>
      <w:r>
        <w:rPr>
          <w:rFonts w:hint="cs"/>
          <w:sz w:val="24"/>
          <w:szCs w:val="24"/>
          <w:rtl/>
        </w:rPr>
        <w:t>ם</w:t>
      </w:r>
      <w:r w:rsidRPr="00475664">
        <w:rPr>
          <w:sz w:val="24"/>
          <w:szCs w:val="24"/>
          <w:rtl/>
        </w:rPr>
        <w:t xml:space="preserve"> לשעירים בין קרניהם.</w:t>
      </w:r>
    </w:p>
    <w:p w:rsidR="00C26E1A" w:rsidRPr="00971552" w:rsidRDefault="00C26E1A" w:rsidP="00C26E1A">
      <w:pPr>
        <w:spacing w:line="276" w:lineRule="auto"/>
        <w:jc w:val="right"/>
        <w:rPr>
          <w:sz w:val="20"/>
          <w:szCs w:val="20"/>
          <w:rtl/>
        </w:rPr>
      </w:pPr>
      <w:r>
        <w:rPr>
          <w:rFonts w:hint="cs"/>
          <w:sz w:val="20"/>
          <w:szCs w:val="20"/>
          <w:rtl/>
        </w:rPr>
        <w:t>[רבנו יהונתן מלוניל מא:]</w:t>
      </w:r>
    </w:p>
    <w:p w:rsidR="00C26E1A" w:rsidRDefault="00C26E1A" w:rsidP="00C26E1A">
      <w:pPr>
        <w:spacing w:line="276" w:lineRule="auto"/>
        <w:rPr>
          <w:sz w:val="24"/>
          <w:szCs w:val="24"/>
          <w:rtl/>
        </w:rPr>
      </w:pPr>
      <w:r>
        <w:rPr>
          <w:rFonts w:hint="cs"/>
          <w:sz w:val="24"/>
          <w:szCs w:val="24"/>
          <w:rtl/>
        </w:rPr>
        <w:t xml:space="preserve">מבואר מדברי רבנו יהונתן, שהחלוקה עליה דיבר רב יוסף, היא חלוקת הלשון בין שני השעירים, של שם ושל עזאזל. רש"י </w:t>
      </w:r>
      <w:r>
        <w:rPr>
          <w:rFonts w:hint="cs"/>
          <w:sz w:val="20"/>
          <w:szCs w:val="20"/>
          <w:rtl/>
        </w:rPr>
        <w:t xml:space="preserve">[שם ד"ה דבעי חלוקה] </w:t>
      </w:r>
      <w:r>
        <w:rPr>
          <w:rFonts w:hint="cs"/>
          <w:sz w:val="24"/>
          <w:szCs w:val="24"/>
          <w:rtl/>
        </w:rPr>
        <w:t>סובר שכוונת רב יוסף הייתה לחלוקה אחרת, המוזכרת בדברי המשנה:</w:t>
      </w:r>
    </w:p>
    <w:p w:rsidR="00C26E1A" w:rsidRDefault="00C26E1A" w:rsidP="00C26E1A">
      <w:pPr>
        <w:spacing w:line="276" w:lineRule="auto"/>
        <w:ind w:left="720"/>
        <w:rPr>
          <w:sz w:val="24"/>
          <w:szCs w:val="24"/>
          <w:rtl/>
        </w:rPr>
      </w:pPr>
      <w:r w:rsidRPr="00992B56">
        <w:rPr>
          <w:sz w:val="24"/>
          <w:szCs w:val="24"/>
          <w:rtl/>
        </w:rPr>
        <w:t>מה היה עושה</w:t>
      </w:r>
      <w:r>
        <w:rPr>
          <w:rFonts w:hint="cs"/>
          <w:sz w:val="24"/>
          <w:szCs w:val="24"/>
          <w:rtl/>
        </w:rPr>
        <w:t>?</w:t>
      </w:r>
      <w:r w:rsidRPr="00992B56">
        <w:rPr>
          <w:sz w:val="24"/>
          <w:szCs w:val="24"/>
          <w:rtl/>
        </w:rPr>
        <w:t xml:space="preserve"> חולק לשון של זהורית חציו קשור בסלע וחציו קשור בין שני קרניו</w:t>
      </w:r>
      <w:r>
        <w:rPr>
          <w:rFonts w:hint="cs"/>
          <w:sz w:val="24"/>
          <w:szCs w:val="24"/>
          <w:rtl/>
        </w:rPr>
        <w:t>.</w:t>
      </w:r>
    </w:p>
    <w:p w:rsidR="00C26E1A" w:rsidRPr="00992B56" w:rsidRDefault="00C26E1A" w:rsidP="00C26E1A">
      <w:pPr>
        <w:spacing w:line="276" w:lineRule="auto"/>
        <w:jc w:val="right"/>
        <w:rPr>
          <w:sz w:val="20"/>
          <w:szCs w:val="20"/>
          <w:rtl/>
        </w:rPr>
      </w:pPr>
      <w:r>
        <w:rPr>
          <w:rFonts w:hint="cs"/>
          <w:sz w:val="20"/>
          <w:szCs w:val="20"/>
          <w:rtl/>
        </w:rPr>
        <w:t>[סז.]</w:t>
      </w:r>
    </w:p>
    <w:p w:rsidR="00C26E1A" w:rsidRDefault="00C26E1A" w:rsidP="00C26E1A">
      <w:pPr>
        <w:spacing w:line="276" w:lineRule="auto"/>
        <w:rPr>
          <w:sz w:val="24"/>
          <w:szCs w:val="24"/>
          <w:rtl/>
        </w:rPr>
      </w:pPr>
      <w:r>
        <w:rPr>
          <w:rFonts w:hint="cs"/>
          <w:sz w:val="24"/>
          <w:szCs w:val="24"/>
          <w:rtl/>
        </w:rPr>
        <w:t>הצורך בחלוקה זו של הלשון מבואר בדברי הגמרא:</w:t>
      </w:r>
    </w:p>
    <w:p w:rsidR="00C26E1A" w:rsidRDefault="00C26E1A" w:rsidP="00C26E1A">
      <w:pPr>
        <w:spacing w:line="276" w:lineRule="auto"/>
        <w:ind w:left="720"/>
        <w:rPr>
          <w:sz w:val="24"/>
          <w:szCs w:val="24"/>
          <w:rtl/>
        </w:rPr>
      </w:pPr>
      <w:r w:rsidRPr="004C54CC">
        <w:rPr>
          <w:sz w:val="24"/>
          <w:szCs w:val="24"/>
          <w:rtl/>
        </w:rPr>
        <w:t>ונקטריה כוליה בסלע</w:t>
      </w:r>
      <w:r>
        <w:rPr>
          <w:rFonts w:hint="cs"/>
          <w:sz w:val="24"/>
          <w:szCs w:val="24"/>
          <w:rtl/>
        </w:rPr>
        <w:t>?</w:t>
      </w:r>
      <w:r w:rsidRPr="004C54CC">
        <w:rPr>
          <w:sz w:val="24"/>
          <w:szCs w:val="24"/>
          <w:rtl/>
        </w:rPr>
        <w:t xml:space="preserve"> כיון דמצוה בשעיר</w:t>
      </w:r>
      <w:r>
        <w:rPr>
          <w:rFonts w:hint="cs"/>
          <w:sz w:val="24"/>
          <w:szCs w:val="24"/>
          <w:rtl/>
        </w:rPr>
        <w:t>,</w:t>
      </w:r>
      <w:r w:rsidRPr="004C54CC">
        <w:rPr>
          <w:sz w:val="24"/>
          <w:szCs w:val="24"/>
          <w:rtl/>
        </w:rPr>
        <w:t xml:space="preserve"> דילמא קדים ומלבין ומיתבא דעתיה</w:t>
      </w:r>
      <w:r>
        <w:rPr>
          <w:rFonts w:hint="cs"/>
          <w:sz w:val="24"/>
          <w:szCs w:val="24"/>
          <w:rtl/>
        </w:rPr>
        <w:t>.</w:t>
      </w:r>
      <w:r w:rsidRPr="004C54CC">
        <w:rPr>
          <w:sz w:val="24"/>
          <w:szCs w:val="24"/>
          <w:rtl/>
        </w:rPr>
        <w:t xml:space="preserve"> ונקטריה כוליה בין קרניו</w:t>
      </w:r>
      <w:r>
        <w:rPr>
          <w:rFonts w:hint="cs"/>
          <w:sz w:val="24"/>
          <w:szCs w:val="24"/>
          <w:rtl/>
        </w:rPr>
        <w:t>?</w:t>
      </w:r>
      <w:r w:rsidRPr="004C54CC">
        <w:rPr>
          <w:sz w:val="24"/>
          <w:szCs w:val="24"/>
          <w:rtl/>
        </w:rPr>
        <w:t xml:space="preserve"> זמנין דגמיש ליה לרישיה ולאו אדעתיה</w:t>
      </w:r>
      <w:r>
        <w:rPr>
          <w:rFonts w:hint="cs"/>
          <w:sz w:val="24"/>
          <w:szCs w:val="24"/>
          <w:rtl/>
        </w:rPr>
        <w:t>.</w:t>
      </w:r>
      <w:r w:rsidRPr="004C54CC">
        <w:rPr>
          <w:sz w:val="24"/>
          <w:szCs w:val="24"/>
          <w:rtl/>
        </w:rPr>
        <w:t xml:space="preserve"> </w:t>
      </w:r>
    </w:p>
    <w:p w:rsidR="00C26E1A" w:rsidRPr="00E951CD" w:rsidRDefault="00C26E1A" w:rsidP="00C26E1A">
      <w:pPr>
        <w:spacing w:line="276" w:lineRule="auto"/>
        <w:ind w:left="720"/>
        <w:jc w:val="right"/>
        <w:rPr>
          <w:sz w:val="20"/>
          <w:szCs w:val="20"/>
          <w:rtl/>
        </w:rPr>
      </w:pPr>
      <w:r>
        <w:rPr>
          <w:rFonts w:hint="cs"/>
          <w:sz w:val="20"/>
          <w:szCs w:val="20"/>
          <w:rtl/>
        </w:rPr>
        <w:t>[שם]</w:t>
      </w:r>
    </w:p>
    <w:p w:rsidR="00C26E1A" w:rsidRDefault="00C26E1A" w:rsidP="00C26E1A">
      <w:pPr>
        <w:spacing w:line="276" w:lineRule="auto"/>
        <w:rPr>
          <w:sz w:val="24"/>
          <w:szCs w:val="24"/>
          <w:rtl/>
        </w:rPr>
      </w:pPr>
      <w:r>
        <w:rPr>
          <w:rFonts w:hint="cs"/>
          <w:sz w:val="24"/>
          <w:szCs w:val="24"/>
          <w:rtl/>
        </w:rPr>
        <w:t>הגמרא שוללת את האפשרות לקשור את הלשון כולה בסלע, מחשש שמא הלשון  תלבין לפני דחיית השעיר מן הצוק. יישוב דעתו של האיש העתי אשר ייגרם מההלבנה המוקדמת של הלשון עלול לגרום לכך שלא תושלם מצוות השעיר בדחייתו מן הצוק. מאידך, לא ניתן לקשור את הלשון כולה בקרני השעיר, מחשש שמא לא ניתן יהיה לזהות את הלבנת הלשון לאחר נפילת השעיר</w:t>
      </w:r>
      <w:r>
        <w:rPr>
          <w:rStyle w:val="a7"/>
          <w:sz w:val="24"/>
          <w:szCs w:val="24"/>
          <w:rtl/>
        </w:rPr>
        <w:footnoteReference w:id="163"/>
      </w:r>
      <w:r>
        <w:rPr>
          <w:rFonts w:hint="cs"/>
          <w:sz w:val="24"/>
          <w:szCs w:val="24"/>
          <w:rtl/>
        </w:rPr>
        <w:t xml:space="preserve">. נמצא, שמטרת חלוקת הלשון כפולה: להבטיח שדחיית השעיר מן הצוק תושלם, ושניתן יהיה לזהות את הלבנת הלשון. </w:t>
      </w:r>
    </w:p>
    <w:p w:rsidR="00C26E1A" w:rsidRDefault="00C26E1A" w:rsidP="00C26E1A">
      <w:pPr>
        <w:spacing w:line="276" w:lineRule="auto"/>
        <w:rPr>
          <w:sz w:val="24"/>
          <w:szCs w:val="24"/>
          <w:rtl/>
        </w:rPr>
      </w:pPr>
      <w:r>
        <w:rPr>
          <w:rFonts w:hint="cs"/>
          <w:sz w:val="24"/>
          <w:szCs w:val="24"/>
          <w:rtl/>
        </w:rPr>
        <w:t xml:space="preserve">על ההבחנה דלעיל, כי מכך שהחלוקה קובעת את שיעור הלשון עולה שיש שיעור בלשון, יש ללמוד מדברי הראשונים על מחלוקת בתפקידה העיקרי של הלשון. לפי רבנו יהונתן, החלוקה עליה דיבר רב יוסף היא חלוקת הלשון בין השעיר הנשחט לשעיר המשתלח. לדבריו, תפקידה המרכזי של הלשון הוא יצירת ההבחנה בין שני השעירים וביניהם ובין שאר השעירים במקדש, ואילו הלבנת הלשון המהווה סימן לכפרה הינה צורך נלווה ואינה מעיקר העבודה. לעומת זאת, לדברי רש"י, תפקידה המרכזי של הלשון הוא ההלבנה וההכרה בהלבנת הלשון הנעשית על ידי האיש העתי. בהתאם לכך, לשיטתו החלוקה נדרשת מטעם זה, ואילו התועלת שבהבדלה בין שני השעירים היא משנית בלבד. </w:t>
      </w:r>
    </w:p>
    <w:p w:rsidR="00C26E1A" w:rsidRDefault="00C26E1A" w:rsidP="00C26E1A">
      <w:pPr>
        <w:spacing w:line="276" w:lineRule="auto"/>
        <w:rPr>
          <w:sz w:val="24"/>
          <w:szCs w:val="24"/>
          <w:rtl/>
        </w:rPr>
      </w:pPr>
      <w:r>
        <w:rPr>
          <w:rFonts w:hint="cs"/>
          <w:sz w:val="24"/>
          <w:szCs w:val="24"/>
          <w:rtl/>
        </w:rPr>
        <w:t>ביטוי לתפיסה זו ניתן למצוא בדברי התוספות ישנים:</w:t>
      </w:r>
    </w:p>
    <w:p w:rsidR="00C26E1A" w:rsidRDefault="00C26E1A" w:rsidP="00C26E1A">
      <w:pPr>
        <w:spacing w:line="276" w:lineRule="auto"/>
        <w:ind w:left="720"/>
        <w:rPr>
          <w:sz w:val="24"/>
          <w:szCs w:val="24"/>
          <w:rtl/>
        </w:rPr>
      </w:pPr>
      <w:r w:rsidRPr="00FF5908">
        <w:rPr>
          <w:sz w:val="24"/>
          <w:szCs w:val="24"/>
          <w:rtl/>
        </w:rPr>
        <w:lastRenderedPageBreak/>
        <w:t>וא</w:t>
      </w:r>
      <w:r>
        <w:rPr>
          <w:rFonts w:hint="cs"/>
          <w:sz w:val="24"/>
          <w:szCs w:val="24"/>
          <w:rtl/>
        </w:rPr>
        <w:t>ם תאמר,</w:t>
      </w:r>
      <w:r w:rsidRPr="00FF5908">
        <w:rPr>
          <w:sz w:val="24"/>
          <w:szCs w:val="24"/>
          <w:rtl/>
        </w:rPr>
        <w:t xml:space="preserve"> אמאי לא תני שלש</w:t>
      </w:r>
      <w:r>
        <w:rPr>
          <w:rFonts w:hint="cs"/>
          <w:sz w:val="24"/>
          <w:szCs w:val="24"/>
          <w:rtl/>
        </w:rPr>
        <w:t>,</w:t>
      </w:r>
      <w:r w:rsidRPr="00FF5908">
        <w:rPr>
          <w:sz w:val="24"/>
          <w:szCs w:val="24"/>
          <w:rtl/>
        </w:rPr>
        <w:t xml:space="preserve"> ולחשוב לשון של שעיר של שם</w:t>
      </w:r>
      <w:r>
        <w:rPr>
          <w:rFonts w:hint="cs"/>
          <w:sz w:val="24"/>
          <w:szCs w:val="24"/>
          <w:rtl/>
        </w:rPr>
        <w:t>,</w:t>
      </w:r>
      <w:r w:rsidRPr="00FF5908">
        <w:rPr>
          <w:sz w:val="24"/>
          <w:szCs w:val="24"/>
          <w:rtl/>
        </w:rPr>
        <w:t xml:space="preserve"> כדאמרינן לעיל</w:t>
      </w:r>
      <w:r>
        <w:rPr>
          <w:rFonts w:hint="cs"/>
          <w:sz w:val="24"/>
          <w:szCs w:val="24"/>
          <w:rtl/>
        </w:rPr>
        <w:t>.</w:t>
      </w:r>
      <w:r w:rsidRPr="00FF5908">
        <w:rPr>
          <w:sz w:val="24"/>
          <w:szCs w:val="24"/>
          <w:rtl/>
        </w:rPr>
        <w:t xml:space="preserve"> יש לומר</w:t>
      </w:r>
      <w:r>
        <w:rPr>
          <w:rFonts w:hint="cs"/>
          <w:sz w:val="24"/>
          <w:szCs w:val="24"/>
          <w:rtl/>
        </w:rPr>
        <w:t>,</w:t>
      </w:r>
      <w:r w:rsidRPr="00FF5908">
        <w:rPr>
          <w:sz w:val="24"/>
          <w:szCs w:val="24"/>
          <w:rtl/>
        </w:rPr>
        <w:t xml:space="preserve"> שלא היה שם אלא </w:t>
      </w:r>
      <w:r w:rsidRPr="00F610E7">
        <w:rPr>
          <w:b/>
          <w:bCs/>
          <w:sz w:val="24"/>
          <w:szCs w:val="24"/>
          <w:rtl/>
        </w:rPr>
        <w:t>חוט שני בעלמא משום הכירא</w:t>
      </w:r>
      <w:r>
        <w:rPr>
          <w:rFonts w:hint="cs"/>
          <w:sz w:val="24"/>
          <w:szCs w:val="24"/>
          <w:rtl/>
        </w:rPr>
        <w:t>.</w:t>
      </w:r>
    </w:p>
    <w:p w:rsidR="00C26E1A" w:rsidRPr="00A47D4C" w:rsidRDefault="00C26E1A" w:rsidP="00C26E1A">
      <w:pPr>
        <w:spacing w:line="276" w:lineRule="auto"/>
        <w:jc w:val="right"/>
        <w:rPr>
          <w:sz w:val="20"/>
          <w:szCs w:val="20"/>
          <w:rtl/>
        </w:rPr>
      </w:pPr>
      <w:r>
        <w:rPr>
          <w:rFonts w:hint="cs"/>
          <w:sz w:val="20"/>
          <w:szCs w:val="20"/>
          <w:rtl/>
        </w:rPr>
        <w:t>[תוספות ישנים מא: ד"ה של]</w:t>
      </w:r>
    </w:p>
    <w:p w:rsidR="00C26E1A" w:rsidRDefault="00C26E1A" w:rsidP="00C26E1A">
      <w:pPr>
        <w:spacing w:line="276" w:lineRule="auto"/>
        <w:rPr>
          <w:sz w:val="24"/>
          <w:szCs w:val="24"/>
          <w:rtl/>
        </w:rPr>
      </w:pPr>
      <w:r>
        <w:rPr>
          <w:rFonts w:hint="cs"/>
          <w:sz w:val="24"/>
          <w:szCs w:val="24"/>
          <w:rtl/>
        </w:rPr>
        <w:t xml:space="preserve">התוספות ישנים מקשים מדוע ציינה הגמרא רק שתי לשונות </w:t>
      </w:r>
      <w:r>
        <w:rPr>
          <w:sz w:val="24"/>
          <w:szCs w:val="24"/>
          <w:rtl/>
        </w:rPr>
        <w:t>–</w:t>
      </w:r>
      <w:r>
        <w:rPr>
          <w:rFonts w:hint="cs"/>
          <w:sz w:val="24"/>
          <w:szCs w:val="24"/>
          <w:rtl/>
        </w:rPr>
        <w:t xml:space="preserve"> לשון של פרה ולשון של שעיר המשתלח, ולא ציינה את הלשון של השעיר הפנימי הנשחט. התוספות ישנים עונים, שהסיבה לכך היא משום שלמעשה הסימון של השעיר הנשחט לא היה על ידי לשון של זהורית אלא על ידי חוט שני. אם כן, ייתכן שכל הדיון בדברי הגמרא בעניין הבחנת השעירים אינו נוגע כלל ללשון של זהורית עצמה. הגמרא עוסקת בשאלה מדוע יש צורך לקשור את השעיר הנשחט כנגד בית שחיטתו, ומלמדת שזה בכדי שהשעיר הנשחט לא יתערב בשעיר המשתלח, ולא בשאר השעירים במקדש. </w:t>
      </w:r>
    </w:p>
    <w:p w:rsidR="00C26E1A" w:rsidRDefault="00C26E1A" w:rsidP="00C26E1A">
      <w:pPr>
        <w:spacing w:line="276" w:lineRule="auto"/>
        <w:rPr>
          <w:sz w:val="24"/>
          <w:szCs w:val="24"/>
          <w:rtl/>
        </w:rPr>
      </w:pPr>
      <w:r>
        <w:rPr>
          <w:rFonts w:hint="cs"/>
          <w:sz w:val="24"/>
          <w:szCs w:val="24"/>
          <w:rtl/>
        </w:rPr>
        <w:t>מדברי ר' חיים עולה הבחנה דומה בין תפקיד הלשון כמבחינה בין השעירים, ובין תפקידה כחלק ממצות השעיר המשתלח:</w:t>
      </w:r>
    </w:p>
    <w:p w:rsidR="00C26E1A" w:rsidRDefault="00C26E1A" w:rsidP="00C26E1A">
      <w:pPr>
        <w:spacing w:line="276" w:lineRule="auto"/>
        <w:ind w:left="720"/>
        <w:rPr>
          <w:sz w:val="24"/>
          <w:szCs w:val="24"/>
          <w:rtl/>
        </w:rPr>
      </w:pPr>
      <w:r w:rsidRPr="00A05D41">
        <w:rPr>
          <w:sz w:val="24"/>
          <w:szCs w:val="24"/>
          <w:rtl/>
        </w:rPr>
        <w:t>ואי נימא דכל עיקר דין דלשון של זהורית הוא רק כדי שלא יתערב, מה ענין שיעור שיש בו, דכל השיעורים הרי הם מהלכה, וכן מבואר ברמב"ם בהל' טומאת צרעת (פי"א ה"א) ושני תולעת משקלו שקל וכל השיעורים הלכה ע"כ, ומדברי הגמ' דכייל ללשון זהורית דשעיר המשתלח בהדי מצורע משמע דשיעור הלשון דשעיר המשתלח נמי הלכה</w:t>
      </w:r>
      <w:r>
        <w:rPr>
          <w:rFonts w:hint="cs"/>
          <w:sz w:val="24"/>
          <w:szCs w:val="24"/>
          <w:rtl/>
        </w:rPr>
        <w:t>.</w:t>
      </w:r>
      <w:r w:rsidRPr="00A05D41">
        <w:rPr>
          <w:sz w:val="24"/>
          <w:szCs w:val="24"/>
          <w:rtl/>
        </w:rPr>
        <w:t xml:space="preserve"> ונראה מזה דעיקר דין דלשון של זהורית הוא חובה לשעיר המשתלח דכך מיקרי שעיר המשתלח עם לשון זהורית, והא דקאמר דלא ליתי לאחלופי קאי רק על הקשירה בין קרניו, אבל עיקר דין לשון זהורית הוא חובה לשעיר המשתלח</w:t>
      </w:r>
      <w:r>
        <w:rPr>
          <w:rFonts w:hint="cs"/>
          <w:sz w:val="24"/>
          <w:szCs w:val="24"/>
          <w:rtl/>
        </w:rPr>
        <w:t>...</w:t>
      </w:r>
      <w:r w:rsidRPr="00187794">
        <w:rPr>
          <w:sz w:val="24"/>
          <w:szCs w:val="24"/>
          <w:rtl/>
        </w:rPr>
        <w:t xml:space="preserve"> </w:t>
      </w:r>
      <w:r w:rsidRPr="00A05D41">
        <w:rPr>
          <w:sz w:val="24"/>
          <w:szCs w:val="24"/>
          <w:rtl/>
        </w:rPr>
        <w:t>ומה שהיה מלבין אין הפי</w:t>
      </w:r>
      <w:r>
        <w:rPr>
          <w:rFonts w:hint="cs"/>
          <w:sz w:val="24"/>
          <w:szCs w:val="24"/>
          <w:rtl/>
        </w:rPr>
        <w:t xml:space="preserve">רוש </w:t>
      </w:r>
      <w:r w:rsidRPr="00A05D41">
        <w:rPr>
          <w:sz w:val="24"/>
          <w:szCs w:val="24"/>
          <w:rtl/>
        </w:rPr>
        <w:t>שהי</w:t>
      </w:r>
      <w:r>
        <w:rPr>
          <w:rFonts w:hint="cs"/>
          <w:sz w:val="24"/>
          <w:szCs w:val="24"/>
          <w:rtl/>
        </w:rPr>
        <w:t>ה</w:t>
      </w:r>
      <w:r w:rsidRPr="00A05D41">
        <w:rPr>
          <w:sz w:val="24"/>
          <w:szCs w:val="24"/>
          <w:rtl/>
        </w:rPr>
        <w:t xml:space="preserve"> רק לסימן בעלמא להראות כפרתן של ישראל, רק דעיקרו הוא חובה לשעיר המשתלח, ובמה שנעשית מצותו דשעיר המשתלח הי</w:t>
      </w:r>
      <w:r>
        <w:rPr>
          <w:rFonts w:hint="cs"/>
          <w:sz w:val="24"/>
          <w:szCs w:val="24"/>
          <w:rtl/>
        </w:rPr>
        <w:t>ה</w:t>
      </w:r>
      <w:r w:rsidRPr="00A05D41">
        <w:rPr>
          <w:sz w:val="24"/>
          <w:szCs w:val="24"/>
          <w:rtl/>
        </w:rPr>
        <w:t xml:space="preserve"> מלבין.</w:t>
      </w:r>
    </w:p>
    <w:p w:rsidR="00C26E1A" w:rsidRPr="003A3522" w:rsidRDefault="00C26E1A" w:rsidP="00C26E1A">
      <w:pPr>
        <w:spacing w:line="276" w:lineRule="auto"/>
        <w:ind w:left="720"/>
        <w:jc w:val="right"/>
        <w:rPr>
          <w:sz w:val="20"/>
          <w:szCs w:val="20"/>
          <w:rtl/>
        </w:rPr>
      </w:pPr>
      <w:r>
        <w:rPr>
          <w:rFonts w:hint="cs"/>
          <w:sz w:val="20"/>
          <w:szCs w:val="20"/>
          <w:rtl/>
        </w:rPr>
        <w:t>[גרי"ז זבחים קיג:]</w:t>
      </w:r>
    </w:p>
    <w:p w:rsidR="00C26E1A" w:rsidRDefault="00C26E1A" w:rsidP="00C26E1A">
      <w:pPr>
        <w:spacing w:line="276" w:lineRule="auto"/>
        <w:rPr>
          <w:sz w:val="24"/>
          <w:szCs w:val="24"/>
          <w:rtl/>
        </w:rPr>
      </w:pPr>
      <w:r>
        <w:rPr>
          <w:rFonts w:hint="cs"/>
          <w:sz w:val="24"/>
          <w:szCs w:val="24"/>
          <w:rtl/>
        </w:rPr>
        <w:t>ר' חיים מתקשה להבין מהי המשמעות לשיעור בלשון של זהורית, אם מבינים שתפקידה הלשון הוא למנוע את הערבוב בין השעירים. לכן מסיק ר' חיים שהלשון היא חלק מהגדרת השעיר המשתלח. לדבריו, הלבנת הלשון אינה סימן בעלמא לכך שהתכפרו העוונות. עיקרה תפקיד הלשון הוא קיום מצוות השעיר, אלא שההלבנה נעשית בחלק שבו מתקיימת מצוות השעיר</w:t>
      </w:r>
      <w:r>
        <w:rPr>
          <w:rStyle w:val="a7"/>
          <w:sz w:val="24"/>
          <w:szCs w:val="24"/>
          <w:rtl/>
        </w:rPr>
        <w:footnoteReference w:id="164"/>
      </w:r>
      <w:r>
        <w:rPr>
          <w:rFonts w:hint="cs"/>
          <w:sz w:val="24"/>
          <w:szCs w:val="24"/>
          <w:rtl/>
        </w:rPr>
        <w:t>.</w:t>
      </w:r>
    </w:p>
    <w:p w:rsidR="00C26E1A" w:rsidRDefault="00C26E1A" w:rsidP="00C26E1A">
      <w:pPr>
        <w:spacing w:line="276" w:lineRule="auto"/>
        <w:rPr>
          <w:sz w:val="24"/>
          <w:szCs w:val="24"/>
          <w:rtl/>
        </w:rPr>
      </w:pPr>
      <w:r>
        <w:rPr>
          <w:rFonts w:hint="cs"/>
          <w:sz w:val="24"/>
          <w:szCs w:val="24"/>
          <w:rtl/>
        </w:rPr>
        <w:t>מכל מקום, ר' חיים לא מבאר מהי בדיוק אותה מצוות השעיר המתקיימת על ידי הלשון. בכדי להשלים נקודה זו, נציין לדבריו של הרב אורי רדמן:</w:t>
      </w:r>
    </w:p>
    <w:p w:rsidR="00C26E1A" w:rsidRDefault="00C26E1A" w:rsidP="00C26E1A">
      <w:pPr>
        <w:spacing w:line="276" w:lineRule="auto"/>
        <w:ind w:left="720"/>
        <w:rPr>
          <w:sz w:val="24"/>
          <w:szCs w:val="24"/>
          <w:rtl/>
        </w:rPr>
      </w:pPr>
      <w:r>
        <w:rPr>
          <w:rFonts w:hint="cs"/>
          <w:sz w:val="24"/>
          <w:szCs w:val="24"/>
          <w:rtl/>
        </w:rPr>
        <w:t>ההלכה המוזכרת במשנה "קשר לשון של זהורית בראש השעיר המשתלח" באה כהמשך להלכה הקודמת "נתנן על שני השעירים ואומר לה' חטאת". כלומר, אף לאחר תוצאות ההגרלה וקביעת תפקיד לכל שעיר ושעיר עדיין יש צורך באמירה וייחוד השעיר הנשחט לתפקידו, אם כן נראה שהקשירה בראש השעיר המשתלח נובעת מאותו צורך של ייחוד השעיר השני לתפקידו כשעיר המשתלח והשלמתו לתפקידו, והשעיר מהווה שעיר המשתלח כאשר לשון זהורית קשורה לו.</w:t>
      </w:r>
    </w:p>
    <w:p w:rsidR="00C26E1A" w:rsidRPr="00DC0DEA" w:rsidRDefault="00C26E1A" w:rsidP="00C26E1A">
      <w:pPr>
        <w:spacing w:line="276" w:lineRule="auto"/>
        <w:ind w:left="720"/>
        <w:jc w:val="right"/>
        <w:rPr>
          <w:sz w:val="20"/>
          <w:szCs w:val="20"/>
          <w:rtl/>
        </w:rPr>
      </w:pPr>
      <w:r>
        <w:rPr>
          <w:rFonts w:hint="cs"/>
          <w:sz w:val="20"/>
          <w:szCs w:val="20"/>
          <w:rtl/>
        </w:rPr>
        <w:t>[מעלין בקדש כו עמ' 127]</w:t>
      </w:r>
    </w:p>
    <w:p w:rsidR="00C26E1A" w:rsidRDefault="00C26E1A" w:rsidP="00C26E1A">
      <w:pPr>
        <w:spacing w:line="276" w:lineRule="auto"/>
        <w:rPr>
          <w:sz w:val="24"/>
          <w:szCs w:val="24"/>
          <w:rtl/>
        </w:rPr>
      </w:pPr>
      <w:r>
        <w:rPr>
          <w:rFonts w:hint="cs"/>
          <w:sz w:val="24"/>
          <w:szCs w:val="24"/>
          <w:rtl/>
        </w:rPr>
        <w:t>למעשה, ניתן לומר שעולה כאן אפשרות שלישית לתפקידה של הלשון. לדברי הרב אורי רדמן, הלשון משלימה את תהליך ייחודו של השעיר כשעיר המשתלח, והפרדתו מהשעיר הנשחט</w:t>
      </w:r>
      <w:r>
        <w:rPr>
          <w:rStyle w:val="a7"/>
          <w:sz w:val="24"/>
          <w:szCs w:val="24"/>
          <w:rtl/>
        </w:rPr>
        <w:footnoteReference w:id="165"/>
      </w:r>
      <w:r>
        <w:rPr>
          <w:rFonts w:hint="cs"/>
          <w:sz w:val="24"/>
          <w:szCs w:val="24"/>
          <w:rtl/>
        </w:rPr>
        <w:t xml:space="preserve">.  </w:t>
      </w:r>
    </w:p>
    <w:p w:rsidR="00C26E1A" w:rsidRDefault="00C26E1A" w:rsidP="00C26E1A">
      <w:pPr>
        <w:spacing w:line="276" w:lineRule="auto"/>
        <w:rPr>
          <w:sz w:val="24"/>
          <w:szCs w:val="24"/>
          <w:rtl/>
        </w:rPr>
      </w:pPr>
    </w:p>
    <w:p w:rsidR="00C26E1A" w:rsidRDefault="00C26E1A" w:rsidP="00C26E1A">
      <w:pPr>
        <w:spacing w:line="276" w:lineRule="auto"/>
        <w:rPr>
          <w:sz w:val="24"/>
          <w:szCs w:val="24"/>
          <w:rtl/>
        </w:rPr>
      </w:pPr>
      <w:r>
        <w:rPr>
          <w:rFonts w:hint="cs"/>
          <w:sz w:val="24"/>
          <w:szCs w:val="24"/>
          <w:rtl/>
        </w:rPr>
        <w:lastRenderedPageBreak/>
        <w:t>עד כה הנחנו שכחלק ממצוות השעיר המשתלח נלקחה לשון אחת של זהורית, וללשון זו היו מספר תפקידים ומשמעויות. ברם, מדברי חלק מהראשונים נראה שבפועל היו נלקחות שתי לשונות של זהורית. עמדה זו מבוססת על דברי המשנה במסכת שקלים</w:t>
      </w:r>
      <w:r>
        <w:rPr>
          <w:rStyle w:val="a7"/>
          <w:sz w:val="24"/>
          <w:szCs w:val="24"/>
          <w:rtl/>
        </w:rPr>
        <w:footnoteReference w:id="166"/>
      </w:r>
      <w:r>
        <w:rPr>
          <w:rFonts w:hint="cs"/>
          <w:sz w:val="24"/>
          <w:szCs w:val="24"/>
          <w:rtl/>
        </w:rPr>
        <w:t>:</w:t>
      </w:r>
    </w:p>
    <w:p w:rsidR="00C26E1A" w:rsidRDefault="00C26E1A" w:rsidP="00C26E1A">
      <w:pPr>
        <w:spacing w:line="276" w:lineRule="auto"/>
        <w:ind w:left="720"/>
        <w:rPr>
          <w:sz w:val="24"/>
          <w:szCs w:val="24"/>
          <w:rtl/>
        </w:rPr>
      </w:pPr>
      <w:r w:rsidRPr="004C54CC">
        <w:rPr>
          <w:sz w:val="24"/>
          <w:szCs w:val="24"/>
          <w:rtl/>
        </w:rPr>
        <w:t>פרה ושעיר המשתלח ולשון של זהורית באין מתרומת הלשכה</w:t>
      </w:r>
      <w:r>
        <w:rPr>
          <w:rFonts w:hint="cs"/>
          <w:sz w:val="24"/>
          <w:szCs w:val="24"/>
          <w:rtl/>
        </w:rPr>
        <w:t>.</w:t>
      </w:r>
      <w:r w:rsidRPr="004C54CC">
        <w:rPr>
          <w:sz w:val="24"/>
          <w:szCs w:val="24"/>
          <w:rtl/>
        </w:rPr>
        <w:t xml:space="preserve"> כבש פרה וכבש שעיר המשתלח ולשון שבין קרניו ואמת המים וחומת העיר ומגדלותיה וכל צורכי העיר באין משירי הלשכה</w:t>
      </w:r>
      <w:r>
        <w:rPr>
          <w:rFonts w:hint="cs"/>
          <w:sz w:val="24"/>
          <w:szCs w:val="24"/>
          <w:rtl/>
        </w:rPr>
        <w:t>.</w:t>
      </w:r>
      <w:r w:rsidRPr="004C54CC">
        <w:rPr>
          <w:sz w:val="24"/>
          <w:szCs w:val="24"/>
          <w:rtl/>
        </w:rPr>
        <w:t xml:space="preserve"> אבא שאול אומר</w:t>
      </w:r>
      <w:r>
        <w:rPr>
          <w:rFonts w:hint="cs"/>
          <w:sz w:val="24"/>
          <w:szCs w:val="24"/>
          <w:rtl/>
        </w:rPr>
        <w:t>:</w:t>
      </w:r>
      <w:r w:rsidRPr="004C54CC">
        <w:rPr>
          <w:sz w:val="24"/>
          <w:szCs w:val="24"/>
          <w:rtl/>
        </w:rPr>
        <w:t xml:space="preserve"> כבש פרה כהנים גדולים עושין אותו משל עצמן</w:t>
      </w:r>
      <w:r>
        <w:rPr>
          <w:rFonts w:hint="cs"/>
          <w:sz w:val="24"/>
          <w:szCs w:val="24"/>
          <w:rtl/>
        </w:rPr>
        <w:t>.</w:t>
      </w:r>
    </w:p>
    <w:p w:rsidR="00C26E1A" w:rsidRPr="00812587" w:rsidRDefault="00C26E1A" w:rsidP="00C26E1A">
      <w:pPr>
        <w:spacing w:line="276" w:lineRule="auto"/>
        <w:ind w:left="720"/>
        <w:jc w:val="right"/>
        <w:rPr>
          <w:sz w:val="20"/>
          <w:szCs w:val="20"/>
          <w:rtl/>
        </w:rPr>
      </w:pPr>
      <w:r>
        <w:rPr>
          <w:rFonts w:hint="cs"/>
          <w:sz w:val="20"/>
          <w:szCs w:val="20"/>
          <w:rtl/>
        </w:rPr>
        <w:t>[שקלים פ"ד מ"ב]</w:t>
      </w:r>
    </w:p>
    <w:p w:rsidR="00C26E1A" w:rsidRDefault="00C26E1A" w:rsidP="00C26E1A">
      <w:pPr>
        <w:spacing w:line="276" w:lineRule="auto"/>
        <w:rPr>
          <w:sz w:val="24"/>
          <w:szCs w:val="24"/>
          <w:rtl/>
        </w:rPr>
      </w:pPr>
      <w:r>
        <w:rPr>
          <w:rFonts w:hint="cs"/>
          <w:sz w:val="24"/>
          <w:szCs w:val="24"/>
          <w:rtl/>
        </w:rPr>
        <w:t>ברישא של המשנה מבואר שלשון של זהורית נלקחה מתרומת הלשכה, ובסיפא נאמר ש"לשון שבין קרניו" נלקחה משיירי הלשכה. על פי דברי המשנה, כתבו התוספות ישנים:</w:t>
      </w:r>
    </w:p>
    <w:p w:rsidR="00C26E1A" w:rsidRDefault="00C26E1A" w:rsidP="00C26E1A">
      <w:pPr>
        <w:spacing w:line="276" w:lineRule="auto"/>
        <w:ind w:left="720"/>
        <w:rPr>
          <w:sz w:val="24"/>
          <w:szCs w:val="24"/>
          <w:rtl/>
        </w:rPr>
      </w:pPr>
      <w:r w:rsidRPr="0008368F">
        <w:rPr>
          <w:sz w:val="24"/>
          <w:szCs w:val="24"/>
          <w:rtl/>
        </w:rPr>
        <w:t>ובמסכת שקלים פרק התרומה (מ"ב) מוכח דהאי לשון של זהורית דהכא אין זה לשון זהורית שהיו קושרין במקדש בראש השעיר המשתלח לעיל בפרק טרף בקלפי</w:t>
      </w:r>
      <w:r>
        <w:rPr>
          <w:rFonts w:hint="cs"/>
          <w:sz w:val="24"/>
          <w:szCs w:val="24"/>
          <w:rtl/>
        </w:rPr>
        <w:t>,</w:t>
      </w:r>
      <w:r w:rsidRPr="0008368F">
        <w:rPr>
          <w:sz w:val="24"/>
          <w:szCs w:val="24"/>
          <w:rtl/>
        </w:rPr>
        <w:t xml:space="preserve"> דקתני </w:t>
      </w:r>
      <w:r>
        <w:rPr>
          <w:rFonts w:hint="cs"/>
          <w:sz w:val="24"/>
          <w:szCs w:val="24"/>
          <w:rtl/>
        </w:rPr>
        <w:t>'</w:t>
      </w:r>
      <w:r w:rsidRPr="0008368F">
        <w:rPr>
          <w:sz w:val="24"/>
          <w:szCs w:val="24"/>
          <w:rtl/>
        </w:rPr>
        <w:t>פרה ולשון של זהורית שבראש שעיר המשתלח באין מתרומת הלשכה</w:t>
      </w:r>
      <w:r>
        <w:rPr>
          <w:rFonts w:hint="cs"/>
          <w:sz w:val="24"/>
          <w:szCs w:val="24"/>
          <w:rtl/>
        </w:rPr>
        <w:t>,</w:t>
      </w:r>
      <w:r w:rsidRPr="0008368F">
        <w:rPr>
          <w:sz w:val="24"/>
          <w:szCs w:val="24"/>
          <w:rtl/>
        </w:rPr>
        <w:t xml:space="preserve"> כבש שעיר ולשון שבין קרניו באין משירי הלשכה</w:t>
      </w:r>
      <w:r>
        <w:rPr>
          <w:rFonts w:hint="cs"/>
          <w:sz w:val="24"/>
          <w:szCs w:val="24"/>
          <w:rtl/>
        </w:rPr>
        <w:t>'.</w:t>
      </w:r>
    </w:p>
    <w:p w:rsidR="00C26E1A" w:rsidRPr="00AE2AF1" w:rsidRDefault="00C26E1A" w:rsidP="00C26E1A">
      <w:pPr>
        <w:spacing w:line="276" w:lineRule="auto"/>
        <w:ind w:left="720"/>
        <w:jc w:val="right"/>
        <w:rPr>
          <w:sz w:val="20"/>
          <w:szCs w:val="20"/>
          <w:rtl/>
        </w:rPr>
      </w:pPr>
      <w:r>
        <w:rPr>
          <w:rFonts w:hint="cs"/>
          <w:sz w:val="20"/>
          <w:szCs w:val="20"/>
          <w:rtl/>
        </w:rPr>
        <w:t>[תוספות ישנים סח. ד"ה חולק]</w:t>
      </w:r>
    </w:p>
    <w:p w:rsidR="00C26E1A" w:rsidRDefault="00C26E1A" w:rsidP="00C26E1A">
      <w:pPr>
        <w:spacing w:line="276" w:lineRule="auto"/>
        <w:rPr>
          <w:sz w:val="24"/>
          <w:szCs w:val="24"/>
          <w:rtl/>
        </w:rPr>
      </w:pPr>
      <w:r>
        <w:rPr>
          <w:rFonts w:hint="cs"/>
          <w:sz w:val="24"/>
          <w:szCs w:val="24"/>
          <w:rtl/>
        </w:rPr>
        <w:t>מדברי התוספות ישנים עולה שיש להבחין בין שתי לשונות אשר להן תפקידים שונים. הלשון הראשונה, זו שנקשרת בראש השעיר מיד לאחר ההגרלה, נלקחת מתרומת הלשכה. הלשון השנייה, הנקשרת בסלע ובקרני השעיר, נלקחת משיירי הלשכה. לפי זה, נראה שתפקיד הלשון הראשונה הוא השלמת ייחודו של השעיר כשעיר המשתלח</w:t>
      </w:r>
      <w:r>
        <w:rPr>
          <w:rStyle w:val="a7"/>
          <w:sz w:val="24"/>
          <w:szCs w:val="24"/>
          <w:rtl/>
        </w:rPr>
        <w:footnoteReference w:id="167"/>
      </w:r>
      <w:r>
        <w:rPr>
          <w:rFonts w:hint="cs"/>
          <w:sz w:val="24"/>
          <w:szCs w:val="24"/>
          <w:rtl/>
        </w:rPr>
        <w:t xml:space="preserve">, וצורך זה הינו חלק ממצוות השעיר עצמו. לעומת זאת, תפקיד הלשון השנייה הוא סימן בלבד לכפרת העוונות, ולכן, היא אינה נלקחת מתרומת הלשכה, אלא משיירי הלשכה בלבד. </w:t>
      </w:r>
    </w:p>
    <w:p w:rsidR="00C26E1A" w:rsidRDefault="00C26E1A" w:rsidP="00C26E1A">
      <w:pPr>
        <w:spacing w:line="276" w:lineRule="auto"/>
        <w:rPr>
          <w:sz w:val="24"/>
          <w:szCs w:val="24"/>
          <w:rtl/>
        </w:rPr>
      </w:pPr>
      <w:r>
        <w:rPr>
          <w:rFonts w:hint="cs"/>
          <w:sz w:val="24"/>
          <w:szCs w:val="24"/>
          <w:rtl/>
        </w:rPr>
        <w:t>פירוש נוסף למשנה זו ניתן למצוא בדברי הריבב"ן:</w:t>
      </w:r>
    </w:p>
    <w:p w:rsidR="00C26E1A" w:rsidRDefault="00C26E1A" w:rsidP="00C26E1A">
      <w:pPr>
        <w:spacing w:line="276" w:lineRule="auto"/>
        <w:ind w:left="720"/>
        <w:rPr>
          <w:sz w:val="24"/>
          <w:szCs w:val="24"/>
          <w:rtl/>
        </w:rPr>
      </w:pPr>
      <w:r w:rsidRPr="009A009B">
        <w:rPr>
          <w:sz w:val="24"/>
          <w:szCs w:val="24"/>
          <w:rtl/>
        </w:rPr>
        <w:t>ולשון</w:t>
      </w:r>
      <w:r>
        <w:rPr>
          <w:rFonts w:hint="cs"/>
          <w:sz w:val="24"/>
          <w:szCs w:val="24"/>
          <w:rtl/>
        </w:rPr>
        <w:t xml:space="preserve"> </w:t>
      </w:r>
      <w:r w:rsidRPr="009A009B">
        <w:rPr>
          <w:sz w:val="24"/>
          <w:szCs w:val="24"/>
          <w:rtl/>
        </w:rPr>
        <w:t>של זהורית בעוד שהיה מלבין ונותנין אותו באולם</w:t>
      </w:r>
      <w:r>
        <w:rPr>
          <w:rFonts w:hint="cs"/>
          <w:sz w:val="24"/>
          <w:szCs w:val="24"/>
          <w:rtl/>
        </w:rPr>
        <w:t>,</w:t>
      </w:r>
      <w:r w:rsidRPr="009A009B">
        <w:rPr>
          <w:sz w:val="24"/>
          <w:szCs w:val="24"/>
          <w:rtl/>
        </w:rPr>
        <w:t xml:space="preserve"> כדאמר ביומא בפ</w:t>
      </w:r>
      <w:r>
        <w:rPr>
          <w:rFonts w:hint="cs"/>
          <w:sz w:val="24"/>
          <w:szCs w:val="24"/>
          <w:rtl/>
        </w:rPr>
        <w:t>רק</w:t>
      </w:r>
      <w:r w:rsidRPr="009A009B">
        <w:rPr>
          <w:sz w:val="24"/>
          <w:szCs w:val="24"/>
          <w:rtl/>
        </w:rPr>
        <w:t xml:space="preserve"> שני שעירי</w:t>
      </w:r>
      <w:r>
        <w:rPr>
          <w:rFonts w:hint="cs"/>
          <w:sz w:val="24"/>
          <w:szCs w:val="24"/>
          <w:rtl/>
        </w:rPr>
        <w:t>...</w:t>
      </w:r>
      <w:r w:rsidRPr="009A009B">
        <w:rPr>
          <w:sz w:val="24"/>
          <w:szCs w:val="24"/>
          <w:rtl/>
        </w:rPr>
        <w:t xml:space="preserve"> ולשון שבין קרניו לאחר שמת שמעון הצדיק שרא</w:t>
      </w:r>
      <w:r>
        <w:rPr>
          <w:rFonts w:hint="cs"/>
          <w:sz w:val="24"/>
          <w:szCs w:val="24"/>
          <w:rtl/>
        </w:rPr>
        <w:t>ו</w:t>
      </w:r>
      <w:r w:rsidRPr="009A009B">
        <w:rPr>
          <w:sz w:val="24"/>
          <w:szCs w:val="24"/>
          <w:rtl/>
        </w:rPr>
        <w:t xml:space="preserve"> שלפעמים היה מלבין ופעם לא היה מלבין התקינו שהיו מניחין בין קרניו ובסלע</w:t>
      </w:r>
      <w:r>
        <w:rPr>
          <w:rFonts w:hint="cs"/>
          <w:sz w:val="24"/>
          <w:szCs w:val="24"/>
          <w:rtl/>
        </w:rPr>
        <w:t>.</w:t>
      </w:r>
    </w:p>
    <w:p w:rsidR="00C26E1A" w:rsidRPr="00D876C5" w:rsidRDefault="00C26E1A" w:rsidP="00C26E1A">
      <w:pPr>
        <w:spacing w:line="276" w:lineRule="auto"/>
        <w:ind w:left="720"/>
        <w:jc w:val="right"/>
        <w:rPr>
          <w:sz w:val="20"/>
          <w:szCs w:val="20"/>
          <w:rtl/>
        </w:rPr>
      </w:pPr>
      <w:r>
        <w:rPr>
          <w:rFonts w:hint="cs"/>
          <w:sz w:val="20"/>
          <w:szCs w:val="20"/>
          <w:rtl/>
        </w:rPr>
        <w:t>[ריבב"ן שקלים פ"ד ה"ב]</w:t>
      </w:r>
    </w:p>
    <w:p w:rsidR="00C26E1A" w:rsidRDefault="00C26E1A" w:rsidP="00C26E1A">
      <w:pPr>
        <w:spacing w:line="276" w:lineRule="auto"/>
        <w:rPr>
          <w:sz w:val="24"/>
          <w:szCs w:val="24"/>
          <w:rtl/>
        </w:rPr>
      </w:pPr>
      <w:r>
        <w:rPr>
          <w:rFonts w:hint="cs"/>
          <w:sz w:val="24"/>
          <w:szCs w:val="24"/>
          <w:rtl/>
        </w:rPr>
        <w:t xml:space="preserve">לדברי הריבב"ן, המשנה עוסקת בלשונות שנהגו בשתי תקופות שונות. נראה שדבריו מתאימים לאופן בו ביארנו את דברי ר' אלעזר הקפר בתחילת השיעור. בתחילה, כאשר הלשון הייתה מלבינה באופן קבוע, הייתה לה תרומה מעשית לעבודת היום </w:t>
      </w:r>
      <w:r>
        <w:rPr>
          <w:sz w:val="24"/>
          <w:szCs w:val="24"/>
          <w:rtl/>
        </w:rPr>
        <w:t>–</w:t>
      </w:r>
      <w:r>
        <w:rPr>
          <w:rFonts w:hint="cs"/>
          <w:sz w:val="24"/>
          <w:szCs w:val="24"/>
          <w:rtl/>
        </w:rPr>
        <w:t xml:space="preserve"> סימן לכך שהכהן רשאי להמשיך בעבודתו. לכן, בשלב זה ניתן היה לקחת את הלשון מתרומת הלשכה. בשלב מאוחר יותר, כאשר הלשון הפסיקה להלבין באופן קבוע, לא ניתן היה להשתמש בה כסימן להשלמת מצוות השעיר, ולכן משמעות הלשון נותרה כסימן לכפרה בלבד, ומשום כך היא נקלחה משיירי הלשכה</w:t>
      </w:r>
      <w:r>
        <w:rPr>
          <w:rStyle w:val="a7"/>
          <w:sz w:val="24"/>
          <w:szCs w:val="24"/>
          <w:rtl/>
        </w:rPr>
        <w:footnoteReference w:id="168"/>
      </w:r>
      <w:r>
        <w:rPr>
          <w:rFonts w:hint="cs"/>
          <w:sz w:val="24"/>
          <w:szCs w:val="24"/>
          <w:rtl/>
        </w:rPr>
        <w:t>.</w:t>
      </w:r>
    </w:p>
    <w:p w:rsidR="00C26E1A" w:rsidRDefault="00C26E1A" w:rsidP="00C26E1A">
      <w:pPr>
        <w:spacing w:line="276" w:lineRule="auto"/>
        <w:rPr>
          <w:sz w:val="24"/>
          <w:szCs w:val="24"/>
          <w:rtl/>
        </w:rPr>
      </w:pPr>
    </w:p>
    <w:p w:rsidR="00C26E1A" w:rsidRDefault="00C26E1A" w:rsidP="00C26E1A">
      <w:pPr>
        <w:spacing w:line="276" w:lineRule="auto"/>
        <w:rPr>
          <w:sz w:val="24"/>
          <w:szCs w:val="24"/>
          <w:rtl/>
        </w:rPr>
      </w:pPr>
      <w:r>
        <w:rPr>
          <w:sz w:val="24"/>
          <w:szCs w:val="24"/>
          <w:rtl/>
        </w:rPr>
        <w:t xml:space="preserve">בשיעור הבא נעסוק בעז"ה </w:t>
      </w:r>
      <w:r>
        <w:rPr>
          <w:rFonts w:hint="cs"/>
          <w:sz w:val="24"/>
          <w:szCs w:val="24"/>
          <w:rtl/>
        </w:rPr>
        <w:t>בדין קריאת התורה של כהן הגדול.</w:t>
      </w:r>
    </w:p>
    <w:p w:rsidR="00C26E1A" w:rsidRDefault="00C26E1A" w:rsidP="00C26E1A">
      <w:pPr>
        <w:spacing w:line="276" w:lineRule="auto"/>
        <w:ind w:firstLine="266"/>
        <w:jc w:val="right"/>
        <w:rPr>
          <w:sz w:val="24"/>
          <w:szCs w:val="24"/>
          <w:rtl/>
        </w:rPr>
      </w:pPr>
      <w:r>
        <w:rPr>
          <w:sz w:val="24"/>
          <w:szCs w:val="24"/>
          <w:u w:val="single"/>
          <w:rtl/>
        </w:rPr>
        <w:t>להערות ולתגובות</w:t>
      </w:r>
      <w:r>
        <w:rPr>
          <w:sz w:val="24"/>
          <w:szCs w:val="24"/>
          <w:rtl/>
        </w:rPr>
        <w:t>: איציק וולטרס</w:t>
      </w:r>
    </w:p>
    <w:p w:rsidR="00C26E1A" w:rsidRPr="00782FFD" w:rsidRDefault="00C26E1A" w:rsidP="00782FFD">
      <w:pPr>
        <w:spacing w:line="276" w:lineRule="auto"/>
        <w:ind w:firstLine="227"/>
        <w:jc w:val="right"/>
        <w:rPr>
          <w:rtl/>
        </w:rPr>
      </w:pPr>
      <w:hyperlink r:id="rId26" w:history="1">
        <w:r>
          <w:rPr>
            <w:rStyle w:val="Hyperlink"/>
            <w:sz w:val="24"/>
            <w:szCs w:val="24"/>
          </w:rPr>
          <w:t>Itzikw7@gmail.com</w:t>
        </w:r>
      </w:hyperlink>
    </w:p>
    <w:p w:rsidR="00C26E1A" w:rsidRPr="004417FA" w:rsidRDefault="00C26E1A" w:rsidP="00C26E1A">
      <w:pPr>
        <w:keepNext/>
        <w:keepLines/>
        <w:spacing w:before="240" w:after="0" w:line="276" w:lineRule="auto"/>
        <w:jc w:val="center"/>
        <w:outlineLvl w:val="0"/>
        <w:rPr>
          <w:rFonts w:asciiTheme="majorHAnsi" w:eastAsiaTheme="majorEastAsia" w:hAnsiTheme="majorHAnsi"/>
          <w:bCs/>
          <w:sz w:val="36"/>
          <w:szCs w:val="36"/>
          <w:rtl/>
        </w:rPr>
      </w:pPr>
      <w:bookmarkStart w:id="108" w:name="_Toc76719201"/>
      <w:r w:rsidRPr="004417FA">
        <w:rPr>
          <w:rFonts w:asciiTheme="majorHAnsi" w:eastAsiaTheme="majorEastAsia" w:hAnsiTheme="majorHAnsi" w:hint="cs"/>
          <w:bCs/>
          <w:sz w:val="40"/>
          <w:szCs w:val="40"/>
          <w:rtl/>
        </w:rPr>
        <w:lastRenderedPageBreak/>
        <w:t>יסודות יומא</w:t>
      </w:r>
      <w:bookmarkEnd w:id="108"/>
    </w:p>
    <w:p w:rsidR="00C26E1A" w:rsidRPr="004417FA" w:rsidRDefault="00C26E1A" w:rsidP="00C26E1A">
      <w:pPr>
        <w:keepNext/>
        <w:keepLines/>
        <w:spacing w:before="240" w:after="0" w:line="276" w:lineRule="auto"/>
        <w:jc w:val="center"/>
        <w:outlineLvl w:val="0"/>
        <w:rPr>
          <w:rFonts w:asciiTheme="majorHAnsi" w:eastAsiaTheme="majorEastAsia" w:hAnsiTheme="majorHAnsi"/>
          <w:b/>
          <w:sz w:val="32"/>
          <w:szCs w:val="32"/>
          <w:rtl/>
        </w:rPr>
      </w:pPr>
      <w:bookmarkStart w:id="109" w:name="_Toc76719202"/>
      <w:r w:rsidRPr="004417FA">
        <w:rPr>
          <w:rFonts w:asciiTheme="majorHAnsi" w:eastAsiaTheme="majorEastAsia" w:hAnsiTheme="majorHAnsi" w:hint="cs"/>
          <w:b/>
          <w:sz w:val="32"/>
          <w:szCs w:val="32"/>
          <w:rtl/>
        </w:rPr>
        <w:t>שיעור עשרים</w:t>
      </w:r>
      <w:bookmarkEnd w:id="109"/>
    </w:p>
    <w:p w:rsidR="00C26E1A" w:rsidRPr="004417FA" w:rsidRDefault="00C26E1A" w:rsidP="00C26E1A">
      <w:pPr>
        <w:keepNext/>
        <w:keepLines/>
        <w:spacing w:before="240" w:after="0" w:line="276" w:lineRule="auto"/>
        <w:jc w:val="center"/>
        <w:outlineLvl w:val="0"/>
        <w:rPr>
          <w:rFonts w:asciiTheme="majorHAnsi" w:eastAsiaTheme="majorEastAsia" w:hAnsiTheme="majorHAnsi"/>
          <w:bCs/>
          <w:sz w:val="32"/>
          <w:szCs w:val="32"/>
          <w:rtl/>
        </w:rPr>
      </w:pPr>
      <w:bookmarkStart w:id="110" w:name="_Toc76719203"/>
      <w:r w:rsidRPr="004417FA">
        <w:rPr>
          <w:rFonts w:asciiTheme="majorHAnsi" w:eastAsiaTheme="majorEastAsia" w:hAnsiTheme="majorHAnsi" w:hint="cs"/>
          <w:bCs/>
          <w:sz w:val="36"/>
          <w:szCs w:val="36"/>
          <w:rtl/>
        </w:rPr>
        <w:t xml:space="preserve">קריאת </w:t>
      </w:r>
      <w:r>
        <w:rPr>
          <w:rFonts w:asciiTheme="majorHAnsi" w:eastAsiaTheme="majorEastAsia" w:hAnsiTheme="majorHAnsi" w:hint="cs"/>
          <w:bCs/>
          <w:sz w:val="36"/>
          <w:szCs w:val="36"/>
          <w:rtl/>
        </w:rPr>
        <w:t>הכהן הגדול בתורה</w:t>
      </w:r>
      <w:bookmarkEnd w:id="110"/>
    </w:p>
    <w:p w:rsidR="00C26E1A" w:rsidRPr="004417FA" w:rsidRDefault="00C26E1A" w:rsidP="00C26E1A">
      <w:pPr>
        <w:spacing w:line="276" w:lineRule="auto"/>
        <w:rPr>
          <w:rtl/>
        </w:rPr>
      </w:pPr>
      <w:r w:rsidRPr="004417FA">
        <w:rPr>
          <w:noProof/>
          <w:highlight w:val="green"/>
          <w:rtl/>
        </w:rPr>
        <mc:AlternateContent>
          <mc:Choice Requires="wps">
            <w:drawing>
              <wp:anchor distT="0" distB="0" distL="114300" distR="114300" simplePos="0" relativeHeight="251711488" behindDoc="1" locked="0" layoutInCell="1" allowOverlap="1" wp14:anchorId="72F35C79" wp14:editId="7D2F90DA">
                <wp:simplePos x="0" y="0"/>
                <wp:positionH relativeFrom="column">
                  <wp:posOffset>-182880</wp:posOffset>
                </wp:positionH>
                <wp:positionV relativeFrom="paragraph">
                  <wp:posOffset>156210</wp:posOffset>
                </wp:positionV>
                <wp:extent cx="5765800" cy="7254240"/>
                <wp:effectExtent l="0" t="0" r="25400" b="22860"/>
                <wp:wrapNone/>
                <wp:docPr id="33" name="מלבן 33"/>
                <wp:cNvGraphicFramePr/>
                <a:graphic xmlns:a="http://schemas.openxmlformats.org/drawingml/2006/main">
                  <a:graphicData uri="http://schemas.microsoft.com/office/word/2010/wordprocessingShape">
                    <wps:wsp>
                      <wps:cNvSpPr/>
                      <wps:spPr>
                        <a:xfrm>
                          <a:off x="0" y="0"/>
                          <a:ext cx="5765800" cy="72542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75EE4" id="מלבן 33" o:spid="_x0000_s1026" style="position:absolute;left:0;text-align:left;margin-left:-14.4pt;margin-top:12.3pt;width:454pt;height:571.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uDiQIAAAMFAAAOAAAAZHJzL2Uyb0RvYy54bWysVMtuGjEU3VfqP1jeNwNkCMkoQ4SIqCpF&#10;CVJSZW08HhjJr9qGgf5F91X7WfxOj82EPJpVVRbG9+H7OPfcubzaKkk2wvnG6JL2T3qUCM1N1ehl&#10;Sb8+zD6dU+ID0xWTRouS7oSnV+OPHy5bW4iBWRlZCUcQRPuitSVdhWCLLPN8JRTzJ8YKDWNtnGIB&#10;oltmlWMtoiuZDXq9s6w1rrLOcOE9tNcHIx2n+HUteLiray8CkSVFbSGdLp2LeGbjS1YsHbOrhndl&#10;sH+oQrFGI+kx1DULjKxd81co1XBnvKnDCTcqM3XdcJF6QDf93ptu7lfMitQLwPH2CJP/f2H57Wbu&#10;SFOV9PSUEs0UZrT/tf+5/7H/TaACPq31Bdzu7dx1ksc1NrutnYr/aINsE6a7I6ZiGwiHcjg6G573&#10;AD2HbTQY5oM8oZ49P7fOh8/CKBIvJXUYWsKSbW58QEq4PrnEbN7Ippo1UiZh56fSkQ3DfEGLyrSU&#10;SOYDlCWdpV/sASFePZOatKDrRW8YK2MgXi1ZwFVZQOH1khIml2A0Dy7V8uq1d8vFMWuejwbT/L0k&#10;sehr5leH6lKE6MYK1QSQXjaqpIAGv+611NEqEm271iP4B7jjbWGqHcblzIHH3vJZgyQ3aHjOHIiL&#10;brCM4Q5HLQ1aNN2NkpVx39/TR3/wCVZKWiwC2v+2Zk4Axy8aTLvo55gYCUnIh6MBBPfSsnhp0Ws1&#10;NZhFH2tvebpG/yCftLUz6hE7O4lZYWKaI/cB6E6YhsOCYuu5mEySG7bFsnCj7y2PwSNOEd6H7SNz&#10;tiNOAOduzdPSsOINfw6+8aU2k3UwdZPI9YwraBIFbFoiTPdViKv8Uk5ez9+u8R8AAAD//wMAUEsD&#10;BBQABgAIAAAAIQD96bug4AAAAAsBAAAPAAAAZHJzL2Rvd25yZXYueG1sTI/BTsMwEETvSPyDtUjc&#10;WjsRSkOIU1EkBByoaEGc3dg4EfY6xG4T/p7lBMfVPM28rdezd+xkxtgHlJAtBTCDbdA9Wglvr/eL&#10;ElhMCrVyAY2EbxNh3Zyf1arSYcKdOe2TZVSCsVISupSGivPYdsaruAyDQco+wuhVonO0XI9qonLv&#10;eC5Ewb3qkRY6NZi7zrSf+6OX8LSxX++PNtsV3r1MG3wQ2+cgpLy8mG9vgCUzpz8YfvVJHRpyOoQj&#10;6sichEVeknqSkF8VwAgoV9c5sAORWbESwJua//+h+QEAAP//AwBQSwECLQAUAAYACAAAACEAtoM4&#10;kv4AAADhAQAAEwAAAAAAAAAAAAAAAAAAAAAAW0NvbnRlbnRfVHlwZXNdLnhtbFBLAQItABQABgAI&#10;AAAAIQA4/SH/1gAAAJQBAAALAAAAAAAAAAAAAAAAAC8BAABfcmVscy8ucmVsc1BLAQItABQABgAI&#10;AAAAIQCpXDuDiQIAAAMFAAAOAAAAAAAAAAAAAAAAAC4CAABkcnMvZTJvRG9jLnhtbFBLAQItABQA&#10;BgAIAAAAIQD96bug4AAAAAsBAAAPAAAAAAAAAAAAAAAAAOMEAABkcnMvZG93bnJldi54bWxQSwUG&#10;AAAAAAQABADzAAAA8AUAAAAA&#10;" fillcolor="window" strokecolor="#4472c4" strokeweight="1.5pt"/>
            </w:pict>
          </mc:Fallback>
        </mc:AlternateContent>
      </w:r>
    </w:p>
    <w:p w:rsidR="00C26E1A" w:rsidRPr="0096540D" w:rsidRDefault="00C26E1A" w:rsidP="00C26E1A">
      <w:pPr>
        <w:spacing w:line="276" w:lineRule="auto"/>
        <w:jc w:val="center"/>
        <w:rPr>
          <w:b/>
          <w:bCs/>
          <w:sz w:val="24"/>
          <w:szCs w:val="24"/>
          <w:rtl/>
        </w:rPr>
      </w:pPr>
      <w:r w:rsidRPr="0096540D">
        <w:rPr>
          <w:rFonts w:hint="cs"/>
          <w:b/>
          <w:bCs/>
          <w:sz w:val="24"/>
          <w:szCs w:val="24"/>
          <w:rtl/>
        </w:rPr>
        <w:t>מקורות</w:t>
      </w:r>
    </w:p>
    <w:p w:rsidR="00C26E1A" w:rsidRDefault="00C26E1A" w:rsidP="00C26E1A">
      <w:pPr>
        <w:spacing w:line="276" w:lineRule="auto"/>
        <w:rPr>
          <w:sz w:val="24"/>
          <w:szCs w:val="24"/>
          <w:rtl/>
        </w:rPr>
      </w:pPr>
      <w:r w:rsidRPr="0096540D">
        <w:rPr>
          <w:rFonts w:hint="cs"/>
          <w:sz w:val="24"/>
          <w:szCs w:val="24"/>
          <w:rtl/>
        </w:rPr>
        <w:t>א.</w:t>
      </w:r>
      <w:r>
        <w:rPr>
          <w:rFonts w:hint="cs"/>
          <w:sz w:val="24"/>
          <w:szCs w:val="24"/>
          <w:rtl/>
        </w:rPr>
        <w:t xml:space="preserve"> משנה סח: "בא לו כהן גדול..."</w:t>
      </w:r>
    </w:p>
    <w:p w:rsidR="00C26E1A" w:rsidRDefault="00C26E1A" w:rsidP="00C26E1A">
      <w:pPr>
        <w:spacing w:line="276" w:lineRule="auto"/>
        <w:rPr>
          <w:sz w:val="24"/>
          <w:szCs w:val="24"/>
          <w:rtl/>
        </w:rPr>
      </w:pPr>
      <w:r>
        <w:rPr>
          <w:rFonts w:hint="cs"/>
          <w:sz w:val="24"/>
          <w:szCs w:val="24"/>
          <w:rtl/>
        </w:rPr>
        <w:t>ב. ירושלמי פ"ז ה"א "מניין לקריאת... מיכן לקריאת הפרשה"</w:t>
      </w:r>
    </w:p>
    <w:p w:rsidR="00C26E1A" w:rsidRDefault="00C26E1A" w:rsidP="00C26E1A">
      <w:pPr>
        <w:spacing w:line="276" w:lineRule="auto"/>
        <w:rPr>
          <w:sz w:val="24"/>
          <w:szCs w:val="24"/>
          <w:rtl/>
        </w:rPr>
      </w:pPr>
      <w:r>
        <w:rPr>
          <w:rFonts w:hint="cs"/>
          <w:sz w:val="24"/>
          <w:szCs w:val="24"/>
          <w:rtl/>
        </w:rPr>
        <w:t>ג. רש"י סח: ד"ה בא לקרות; שפת אמת, שם; מאירי שם, ד"ה אמר המאירי</w:t>
      </w:r>
    </w:p>
    <w:p w:rsidR="00C26E1A" w:rsidRDefault="00C26E1A" w:rsidP="00C26E1A">
      <w:pPr>
        <w:spacing w:line="276" w:lineRule="auto"/>
        <w:rPr>
          <w:sz w:val="24"/>
          <w:szCs w:val="24"/>
          <w:rtl/>
        </w:rPr>
      </w:pPr>
      <w:r>
        <w:rPr>
          <w:rFonts w:hint="cs"/>
          <w:sz w:val="24"/>
          <w:szCs w:val="24"/>
          <w:rtl/>
        </w:rPr>
        <w:t>ד. תוס' הרא"ש סח: ד"ה בא לו; תוס' רבנו פרץ שם, ד"ה ובעשור; תוס' ישנים ע. ד"ה ובעשור</w:t>
      </w:r>
    </w:p>
    <w:p w:rsidR="00C26E1A" w:rsidRDefault="00C26E1A" w:rsidP="00C26E1A">
      <w:pPr>
        <w:spacing w:line="276" w:lineRule="auto"/>
        <w:rPr>
          <w:sz w:val="24"/>
          <w:szCs w:val="24"/>
          <w:rtl/>
        </w:rPr>
      </w:pPr>
      <w:r>
        <w:rPr>
          <w:rFonts w:hint="cs"/>
          <w:sz w:val="24"/>
          <w:szCs w:val="24"/>
          <w:rtl/>
        </w:rPr>
        <w:t>ה. מאירי תענית כו: ד"ה הגיע</w:t>
      </w:r>
    </w:p>
    <w:p w:rsidR="00C26E1A" w:rsidRPr="0096540D" w:rsidRDefault="00C26E1A" w:rsidP="00C26E1A">
      <w:pPr>
        <w:spacing w:line="276" w:lineRule="auto"/>
        <w:rPr>
          <w:sz w:val="24"/>
          <w:szCs w:val="24"/>
          <w:rtl/>
        </w:rPr>
      </w:pPr>
      <w:r>
        <w:rPr>
          <w:rFonts w:hint="cs"/>
          <w:sz w:val="24"/>
          <w:szCs w:val="24"/>
          <w:rtl/>
        </w:rPr>
        <w:t>ו. גבורת ארי סח: ד"ה וכהן גדול</w:t>
      </w:r>
    </w:p>
    <w:p w:rsidR="00C26E1A" w:rsidRPr="0096540D" w:rsidRDefault="00C26E1A" w:rsidP="00C26E1A">
      <w:pPr>
        <w:spacing w:line="276" w:lineRule="auto"/>
        <w:rPr>
          <w:sz w:val="24"/>
          <w:szCs w:val="24"/>
          <w:rtl/>
        </w:rPr>
      </w:pPr>
    </w:p>
    <w:p w:rsidR="00C26E1A" w:rsidRDefault="00C26E1A" w:rsidP="00C26E1A">
      <w:pPr>
        <w:spacing w:line="276" w:lineRule="auto"/>
        <w:rPr>
          <w:rFonts w:ascii="FrankRuehl" w:hAnsi="FrankRuehl" w:cs="FrankRuehl"/>
          <w:b/>
          <w:bCs/>
          <w:sz w:val="24"/>
          <w:szCs w:val="24"/>
          <w:rtl/>
        </w:rPr>
      </w:pPr>
      <w:r w:rsidRPr="0096540D">
        <w:rPr>
          <w:rFonts w:ascii="FrankRuehl" w:hAnsi="FrankRuehl" w:cs="FrankRuehl" w:hint="cs"/>
          <w:b/>
          <w:bCs/>
          <w:sz w:val="24"/>
          <w:szCs w:val="24"/>
          <w:rtl/>
        </w:rPr>
        <w:t>ירושלמי יומא פ"ז ה"א</w:t>
      </w:r>
    </w:p>
    <w:p w:rsidR="00C26E1A" w:rsidRDefault="00C26E1A" w:rsidP="00C26E1A">
      <w:pPr>
        <w:spacing w:line="276" w:lineRule="auto"/>
        <w:rPr>
          <w:rFonts w:ascii="FrankRuehl" w:hAnsi="FrankRuehl" w:cs="FrankRuehl"/>
          <w:sz w:val="24"/>
          <w:szCs w:val="24"/>
          <w:rtl/>
        </w:rPr>
      </w:pPr>
      <w:r w:rsidRPr="0096540D">
        <w:rPr>
          <w:rFonts w:ascii="FrankRuehl" w:hAnsi="FrankRuehl" w:cs="FrankRuehl"/>
          <w:sz w:val="24"/>
          <w:szCs w:val="24"/>
          <w:rtl/>
        </w:rPr>
        <w:t>מניין לקריאת הפרשה</w:t>
      </w:r>
      <w:r>
        <w:rPr>
          <w:rFonts w:ascii="FrankRuehl" w:hAnsi="FrankRuehl" w:cs="FrankRuehl" w:hint="cs"/>
          <w:sz w:val="24"/>
          <w:szCs w:val="24"/>
          <w:rtl/>
        </w:rPr>
        <w:t>?</w:t>
      </w:r>
      <w:r w:rsidRPr="0096540D">
        <w:rPr>
          <w:rFonts w:ascii="FrankRuehl" w:hAnsi="FrankRuehl" w:cs="FrankRuehl"/>
          <w:sz w:val="24"/>
          <w:szCs w:val="24"/>
          <w:rtl/>
        </w:rPr>
        <w:t xml:space="preserve"> ר</w:t>
      </w:r>
      <w:r>
        <w:rPr>
          <w:rFonts w:ascii="FrankRuehl" w:hAnsi="FrankRuehl" w:cs="FrankRuehl"/>
          <w:sz w:val="24"/>
          <w:szCs w:val="24"/>
          <w:rtl/>
        </w:rPr>
        <w:t>' אידי בשם ר' יצחק</w:t>
      </w:r>
      <w:r>
        <w:rPr>
          <w:rFonts w:ascii="FrankRuehl" w:hAnsi="FrankRuehl" w:cs="FrankRuehl" w:hint="cs"/>
          <w:sz w:val="24"/>
          <w:szCs w:val="24"/>
          <w:rtl/>
        </w:rPr>
        <w:t>:</w:t>
      </w:r>
      <w:r w:rsidRPr="0096540D">
        <w:rPr>
          <w:rFonts w:ascii="FrankRuehl" w:hAnsi="FrankRuehl" w:cs="FrankRuehl"/>
          <w:sz w:val="24"/>
          <w:szCs w:val="24"/>
          <w:rtl/>
        </w:rPr>
        <w:t xml:space="preserve"> </w:t>
      </w:r>
      <w:r>
        <w:rPr>
          <w:rFonts w:ascii="FrankRuehl" w:hAnsi="FrankRuehl" w:cs="FrankRuehl" w:hint="cs"/>
          <w:sz w:val="24"/>
          <w:szCs w:val="24"/>
          <w:rtl/>
        </w:rPr>
        <w:t>'</w:t>
      </w:r>
      <w:r w:rsidRPr="0096540D">
        <w:rPr>
          <w:rFonts w:ascii="FrankRuehl" w:hAnsi="FrankRuehl" w:cs="FrankRuehl"/>
          <w:sz w:val="24"/>
          <w:szCs w:val="24"/>
          <w:rtl/>
        </w:rPr>
        <w:t>ויעש</w:t>
      </w:r>
      <w:r>
        <w:rPr>
          <w:rFonts w:ascii="FrankRuehl" w:hAnsi="FrankRuehl" w:cs="FrankRuehl" w:hint="cs"/>
          <w:sz w:val="24"/>
          <w:szCs w:val="24"/>
          <w:rtl/>
        </w:rPr>
        <w:t>',</w:t>
      </w:r>
      <w:r>
        <w:rPr>
          <w:rFonts w:ascii="FrankRuehl" w:hAnsi="FrankRuehl" w:cs="FrankRuehl"/>
          <w:sz w:val="24"/>
          <w:szCs w:val="24"/>
          <w:rtl/>
        </w:rPr>
        <w:t xml:space="preserve"> מה ת</w:t>
      </w:r>
      <w:r>
        <w:rPr>
          <w:rFonts w:ascii="FrankRuehl" w:hAnsi="FrankRuehl" w:cs="FrankRuehl" w:hint="cs"/>
          <w:sz w:val="24"/>
          <w:szCs w:val="24"/>
          <w:rtl/>
        </w:rPr>
        <w:t>למוד לומר</w:t>
      </w:r>
      <w:r w:rsidRPr="0096540D">
        <w:rPr>
          <w:rFonts w:ascii="FrankRuehl" w:hAnsi="FrankRuehl" w:cs="FrankRuehl"/>
          <w:sz w:val="24"/>
          <w:szCs w:val="24"/>
          <w:rtl/>
        </w:rPr>
        <w:t xml:space="preserve"> </w:t>
      </w:r>
      <w:r>
        <w:rPr>
          <w:rFonts w:ascii="FrankRuehl" w:hAnsi="FrankRuehl" w:cs="FrankRuehl" w:hint="cs"/>
          <w:sz w:val="24"/>
          <w:szCs w:val="24"/>
          <w:rtl/>
        </w:rPr>
        <w:t>'</w:t>
      </w:r>
      <w:r w:rsidRPr="0096540D">
        <w:rPr>
          <w:rFonts w:ascii="FrankRuehl" w:hAnsi="FrankRuehl" w:cs="FrankRuehl"/>
          <w:sz w:val="24"/>
          <w:szCs w:val="24"/>
          <w:rtl/>
        </w:rPr>
        <w:t>כאשר צוה ה' את משה</w:t>
      </w:r>
      <w:r>
        <w:rPr>
          <w:rFonts w:ascii="FrankRuehl" w:hAnsi="FrankRuehl" w:cs="FrankRuehl" w:hint="cs"/>
          <w:sz w:val="24"/>
          <w:szCs w:val="24"/>
          <w:rtl/>
        </w:rPr>
        <w:t>'?</w:t>
      </w:r>
      <w:r w:rsidRPr="0096540D">
        <w:rPr>
          <w:rFonts w:ascii="FrankRuehl" w:hAnsi="FrankRuehl" w:cs="FrankRuehl"/>
          <w:sz w:val="24"/>
          <w:szCs w:val="24"/>
          <w:rtl/>
        </w:rPr>
        <w:t xml:space="preserve"> מיכן לקריאת הפרשה</w:t>
      </w:r>
      <w:r>
        <w:rPr>
          <w:rFonts w:ascii="FrankRuehl" w:hAnsi="FrankRuehl" w:cs="FrankRuehl" w:hint="cs"/>
          <w:sz w:val="24"/>
          <w:szCs w:val="24"/>
          <w:rtl/>
        </w:rPr>
        <w:t>.</w:t>
      </w:r>
    </w:p>
    <w:p w:rsidR="00C26E1A" w:rsidRDefault="00C26E1A" w:rsidP="00C26E1A">
      <w:pPr>
        <w:spacing w:line="276" w:lineRule="auto"/>
        <w:rPr>
          <w:rFonts w:ascii="FrankRuehl" w:hAnsi="FrankRuehl" w:cs="FrankRuehl"/>
          <w:sz w:val="24"/>
          <w:szCs w:val="24"/>
          <w:rtl/>
        </w:rPr>
      </w:pPr>
    </w:p>
    <w:p w:rsidR="00C26E1A"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שפת אמת סח: ברש"י ד"ה בא</w:t>
      </w:r>
    </w:p>
    <w:p w:rsidR="00C26E1A" w:rsidRDefault="00C26E1A" w:rsidP="00C26E1A">
      <w:pPr>
        <w:spacing w:line="276" w:lineRule="auto"/>
        <w:rPr>
          <w:rFonts w:ascii="FrankRuehl" w:hAnsi="FrankRuehl" w:cs="FrankRuehl"/>
          <w:sz w:val="24"/>
          <w:szCs w:val="24"/>
          <w:rtl/>
        </w:rPr>
      </w:pPr>
      <w:r w:rsidRPr="0096540D">
        <w:rPr>
          <w:rFonts w:ascii="FrankRuehl" w:hAnsi="FrankRuehl" w:cs="FrankRuehl"/>
          <w:sz w:val="24"/>
          <w:szCs w:val="24"/>
          <w:rtl/>
        </w:rPr>
        <w:t>ברש"י ד"ה בא לקרות הפרשה דילפינן ממילואים כו' והוא דבר חידוש דהא ליכא שום קריאה מן התורה [כמ"ש התוס' במגילה (י"ז ב) דליכא קריאה מה"ת לבד פ' זכור] וכל הקריאות הם תקנת עזרא, גם קשה דאיך ילפינן ממילואים דכמו שהי' שם קריאה כמו כן ביוה"כ דא"כ נאמר ג"כ שכל הדברים שנהגו בימי המילואים ינהגו ביוה"כ, [וכן הקשה בס' גבורת ארי דלא ילפי' ממילואים אלא פרישה שבעה משום דכתי' לעשות לכפר ע"ש]</w:t>
      </w:r>
      <w:r>
        <w:rPr>
          <w:rFonts w:ascii="FrankRuehl" w:hAnsi="FrankRuehl" w:cs="FrankRuehl" w:hint="cs"/>
          <w:sz w:val="24"/>
          <w:szCs w:val="24"/>
          <w:rtl/>
        </w:rPr>
        <w:t>.</w:t>
      </w:r>
    </w:p>
    <w:p w:rsidR="00C26E1A" w:rsidRDefault="00C26E1A" w:rsidP="00C26E1A">
      <w:pPr>
        <w:spacing w:line="276" w:lineRule="auto"/>
        <w:rPr>
          <w:rFonts w:ascii="FrankRuehl" w:hAnsi="FrankRuehl" w:cs="FrankRuehl"/>
          <w:sz w:val="24"/>
          <w:szCs w:val="24"/>
          <w:rtl/>
        </w:rPr>
      </w:pPr>
    </w:p>
    <w:p w:rsidR="00C26E1A"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מאירי סח: ד"ה אמר המאירי</w:t>
      </w:r>
    </w:p>
    <w:p w:rsidR="00C26E1A" w:rsidRDefault="00C26E1A" w:rsidP="00C26E1A">
      <w:pPr>
        <w:spacing w:line="276" w:lineRule="auto"/>
        <w:rPr>
          <w:rFonts w:ascii="FrankRuehl" w:hAnsi="FrankRuehl" w:cs="FrankRuehl"/>
          <w:sz w:val="24"/>
          <w:szCs w:val="24"/>
          <w:rtl/>
        </w:rPr>
      </w:pPr>
      <w:r w:rsidRPr="00514CC3">
        <w:rPr>
          <w:rFonts w:ascii="FrankRuehl" w:hAnsi="FrankRuehl" w:cs="FrankRuehl"/>
          <w:sz w:val="24"/>
          <w:szCs w:val="24"/>
          <w:rtl/>
        </w:rPr>
        <w:t>וקריאה זו יש אומרים שהיא מעכבת</w:t>
      </w:r>
      <w:r>
        <w:rPr>
          <w:rFonts w:ascii="FrankRuehl" w:hAnsi="FrankRuehl" w:cs="FrankRuehl" w:hint="cs"/>
          <w:sz w:val="24"/>
          <w:szCs w:val="24"/>
          <w:rtl/>
        </w:rPr>
        <w:t>,</w:t>
      </w:r>
      <w:r w:rsidRPr="00514CC3">
        <w:rPr>
          <w:rFonts w:ascii="FrankRuehl" w:hAnsi="FrankRuehl" w:cs="FrankRuehl"/>
          <w:sz w:val="24"/>
          <w:szCs w:val="24"/>
          <w:rtl/>
        </w:rPr>
        <w:t xml:space="preserve"> </w:t>
      </w:r>
      <w:r>
        <w:rPr>
          <w:rFonts w:ascii="FrankRuehl" w:hAnsi="FrankRuehl" w:cs="FrankRuehl"/>
          <w:sz w:val="24"/>
          <w:szCs w:val="24"/>
          <w:rtl/>
        </w:rPr>
        <w:t xml:space="preserve">וכעין מה שאמרו בפרק ראשון </w:t>
      </w:r>
      <w:r w:rsidRPr="00514CC3">
        <w:rPr>
          <w:rFonts w:ascii="FrankRuehl" w:hAnsi="FrankRuehl" w:cs="FrankRuehl"/>
          <w:sz w:val="24"/>
          <w:szCs w:val="24"/>
          <w:rtl/>
        </w:rPr>
        <w:t>לענין פרשת מלואים שמקראה שנצטוה לספר הענין לישראל מעכבת</w:t>
      </w:r>
      <w:r>
        <w:rPr>
          <w:rFonts w:ascii="FrankRuehl" w:hAnsi="FrankRuehl" w:cs="FrankRuehl" w:hint="cs"/>
          <w:sz w:val="24"/>
          <w:szCs w:val="24"/>
          <w:rtl/>
        </w:rPr>
        <w:t>.</w:t>
      </w:r>
      <w:r w:rsidRPr="00514CC3">
        <w:rPr>
          <w:rFonts w:ascii="FrankRuehl" w:hAnsi="FrankRuehl" w:cs="FrankRuehl"/>
          <w:sz w:val="24"/>
          <w:szCs w:val="24"/>
          <w:rtl/>
        </w:rPr>
        <w:t xml:space="preserve"> וממה שאמרו כאן </w:t>
      </w:r>
      <w:r>
        <w:rPr>
          <w:rFonts w:ascii="FrankRuehl" w:hAnsi="FrankRuehl" w:cs="FrankRuehl" w:hint="cs"/>
          <w:sz w:val="24"/>
          <w:szCs w:val="24"/>
          <w:rtl/>
        </w:rPr>
        <w:t>'</w:t>
      </w:r>
      <w:r w:rsidRPr="00514CC3">
        <w:rPr>
          <w:rFonts w:ascii="FrankRuehl" w:hAnsi="FrankRuehl" w:cs="FrankRuehl"/>
          <w:sz w:val="24"/>
          <w:szCs w:val="24"/>
          <w:rtl/>
        </w:rPr>
        <w:t>שאני קריאה דצורך עבודה היא</w:t>
      </w:r>
      <w:r>
        <w:rPr>
          <w:rFonts w:ascii="FrankRuehl" w:hAnsi="FrankRuehl" w:cs="FrankRuehl" w:hint="cs"/>
          <w:sz w:val="24"/>
          <w:szCs w:val="24"/>
          <w:rtl/>
        </w:rPr>
        <w:t>'</w:t>
      </w:r>
      <w:r w:rsidRPr="00514CC3">
        <w:rPr>
          <w:rFonts w:ascii="FrankRuehl" w:hAnsi="FrankRuehl" w:cs="FrankRuehl"/>
          <w:sz w:val="24"/>
          <w:szCs w:val="24"/>
          <w:rtl/>
        </w:rPr>
        <w:t xml:space="preserve"> ומתוך </w:t>
      </w:r>
      <w:r>
        <w:rPr>
          <w:rFonts w:ascii="FrankRuehl" w:hAnsi="FrankRuehl" w:cs="FrankRuehl"/>
          <w:sz w:val="24"/>
          <w:szCs w:val="24"/>
          <w:rtl/>
        </w:rPr>
        <w:t>כך הותרה בה לבישת בגדי כהונה</w:t>
      </w:r>
      <w:r>
        <w:rPr>
          <w:rFonts w:ascii="FrankRuehl" w:hAnsi="FrankRuehl" w:cs="FrankRuehl" w:hint="cs"/>
          <w:sz w:val="24"/>
          <w:szCs w:val="24"/>
          <w:rtl/>
        </w:rPr>
        <w:t>,</w:t>
      </w:r>
      <w:r>
        <w:rPr>
          <w:rFonts w:ascii="FrankRuehl" w:hAnsi="FrankRuehl" w:cs="FrankRuehl"/>
          <w:sz w:val="24"/>
          <w:szCs w:val="24"/>
          <w:rtl/>
        </w:rPr>
        <w:t xml:space="preserve"> </w:t>
      </w:r>
      <w:r w:rsidRPr="00514CC3">
        <w:rPr>
          <w:rFonts w:ascii="FrankRuehl" w:hAnsi="FrankRuehl" w:cs="FrankRuehl"/>
          <w:sz w:val="24"/>
          <w:szCs w:val="24"/>
          <w:rtl/>
        </w:rPr>
        <w:t>אין הדברים נראין לעכב אלא שסדר הענין היה כן</w:t>
      </w:r>
      <w:r>
        <w:rPr>
          <w:rFonts w:ascii="FrankRuehl" w:hAnsi="FrankRuehl" w:cs="FrankRuehl" w:hint="cs"/>
          <w:sz w:val="24"/>
          <w:szCs w:val="24"/>
          <w:rtl/>
        </w:rPr>
        <w:t>.</w:t>
      </w:r>
      <w:r w:rsidRPr="00514CC3">
        <w:rPr>
          <w:rFonts w:ascii="FrankRuehl" w:hAnsi="FrankRuehl" w:cs="FrankRuehl"/>
          <w:sz w:val="24"/>
          <w:szCs w:val="24"/>
          <w:rtl/>
        </w:rPr>
        <w:t xml:space="preserve"> ומה שאמרו דצורך עבודה היא</w:t>
      </w:r>
      <w:r>
        <w:rPr>
          <w:rFonts w:ascii="FrankRuehl" w:hAnsi="FrankRuehl" w:cs="FrankRuehl" w:hint="cs"/>
          <w:sz w:val="24"/>
          <w:szCs w:val="24"/>
          <w:rtl/>
        </w:rPr>
        <w:t>,</w:t>
      </w:r>
      <w:r w:rsidRPr="00514CC3">
        <w:rPr>
          <w:rFonts w:ascii="FrankRuehl" w:hAnsi="FrankRuehl" w:cs="FrankRuehl"/>
          <w:sz w:val="24"/>
          <w:szCs w:val="24"/>
          <w:rtl/>
        </w:rPr>
        <w:t xml:space="preserve"> פירושו שמאחר שהותקנה בתוך העבודה הרי היא כעבודה להתיר בה לבישת בגדי כהונה</w:t>
      </w:r>
      <w:r>
        <w:rPr>
          <w:rFonts w:ascii="FrankRuehl" w:hAnsi="FrankRuehl" w:cs="FrankRuehl" w:hint="cs"/>
          <w:sz w:val="24"/>
          <w:szCs w:val="24"/>
          <w:rtl/>
        </w:rPr>
        <w:t>,</w:t>
      </w:r>
      <w:r w:rsidRPr="00514CC3">
        <w:rPr>
          <w:rFonts w:ascii="FrankRuehl" w:hAnsi="FrankRuehl" w:cs="FrankRuehl"/>
          <w:sz w:val="24"/>
          <w:szCs w:val="24"/>
          <w:rtl/>
        </w:rPr>
        <w:t xml:space="preserve"> הא שלא לצורך שום דבר שבעבודה שמא לא הותרה לבישת בגדי כהונה אף במקדש</w:t>
      </w:r>
      <w:r>
        <w:rPr>
          <w:rFonts w:ascii="FrankRuehl" w:hAnsi="FrankRuehl" w:cs="FrankRuehl" w:hint="cs"/>
          <w:sz w:val="24"/>
          <w:szCs w:val="24"/>
          <w:rtl/>
        </w:rPr>
        <w:t>.</w:t>
      </w:r>
    </w:p>
    <w:p w:rsidR="00C26E1A" w:rsidRDefault="00C26E1A" w:rsidP="00C26E1A">
      <w:pPr>
        <w:spacing w:line="276" w:lineRule="auto"/>
        <w:rPr>
          <w:rFonts w:ascii="FrankRuehl" w:hAnsi="FrankRuehl" w:cs="FrankRuehl"/>
          <w:sz w:val="24"/>
          <w:szCs w:val="24"/>
          <w:rtl/>
        </w:rPr>
      </w:pPr>
    </w:p>
    <w:p w:rsidR="00C26E1A"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תוס' הרא"ש סח: ד"ה בא לו</w:t>
      </w:r>
    </w:p>
    <w:p w:rsidR="00C26E1A" w:rsidRDefault="00C26E1A" w:rsidP="00C26E1A">
      <w:pPr>
        <w:spacing w:line="276" w:lineRule="auto"/>
        <w:rPr>
          <w:rFonts w:ascii="FrankRuehl" w:hAnsi="FrankRuehl" w:cs="FrankRuehl"/>
          <w:sz w:val="24"/>
          <w:szCs w:val="24"/>
          <w:rtl/>
        </w:rPr>
      </w:pPr>
      <w:r w:rsidRPr="00514CC3">
        <w:rPr>
          <w:rFonts w:ascii="FrankRuehl" w:hAnsi="FrankRuehl" w:cs="FrankRuehl"/>
          <w:sz w:val="24"/>
          <w:szCs w:val="24"/>
          <w:rtl/>
        </w:rPr>
        <w:t>בא לו כהן גדול לקרות וכו'. אחר שעשה עיקר עבודות של כפרת היום קורא בפרשה להודיע שעשה העבודות כסדר המקראות ומתפלל שתתקבל עבודתו ומברך על המחילה וכל סדר הברכות. ירושלמי</w:t>
      </w:r>
      <w:r>
        <w:rPr>
          <w:rFonts w:ascii="FrankRuehl" w:hAnsi="FrankRuehl" w:cs="FrankRuehl" w:hint="cs"/>
          <w:sz w:val="24"/>
          <w:szCs w:val="24"/>
          <w:rtl/>
        </w:rPr>
        <w:t>,</w:t>
      </w:r>
      <w:r w:rsidRPr="00514CC3">
        <w:rPr>
          <w:rFonts w:ascii="FrankRuehl" w:hAnsi="FrankRuehl" w:cs="FrankRuehl"/>
          <w:sz w:val="24"/>
          <w:szCs w:val="24"/>
          <w:rtl/>
        </w:rPr>
        <w:t xml:space="preserve"> מנין למקרא פרשה ר' אידי בשם ר' יוחנן ויעש מה ת"ל ויעש כאשר צוה ה' מכאן לקריאת הפרשה</w:t>
      </w:r>
      <w:r>
        <w:rPr>
          <w:rFonts w:ascii="FrankRuehl" w:hAnsi="FrankRuehl" w:cs="FrankRuehl" w:hint="cs"/>
          <w:sz w:val="24"/>
          <w:szCs w:val="24"/>
          <w:rtl/>
        </w:rPr>
        <w:t>.</w:t>
      </w:r>
      <w:r w:rsidRPr="00514CC3">
        <w:rPr>
          <w:rFonts w:ascii="FrankRuehl" w:hAnsi="FrankRuehl" w:cs="FrankRuehl"/>
          <w:sz w:val="24"/>
          <w:szCs w:val="24"/>
          <w:rtl/>
        </w:rPr>
        <w:t xml:space="preserve"> פי'</w:t>
      </w:r>
      <w:r>
        <w:rPr>
          <w:rFonts w:ascii="FrankRuehl" w:hAnsi="FrankRuehl" w:cs="FrankRuehl" w:hint="cs"/>
          <w:sz w:val="24"/>
          <w:szCs w:val="24"/>
          <w:rtl/>
        </w:rPr>
        <w:t>,</w:t>
      </w:r>
      <w:r w:rsidRPr="00514CC3">
        <w:rPr>
          <w:rFonts w:ascii="FrankRuehl" w:hAnsi="FrankRuehl" w:cs="FrankRuehl"/>
          <w:sz w:val="24"/>
          <w:szCs w:val="24"/>
          <w:rtl/>
        </w:rPr>
        <w:t xml:space="preserve"> להודיע שעשה כאשר צוה ה'.</w:t>
      </w:r>
    </w:p>
    <w:p w:rsidR="00C26E1A" w:rsidRDefault="00C26E1A" w:rsidP="00C26E1A">
      <w:pPr>
        <w:spacing w:line="276" w:lineRule="auto"/>
        <w:rPr>
          <w:rFonts w:ascii="FrankRuehl" w:hAnsi="FrankRuehl" w:cs="FrankRuehl"/>
          <w:sz w:val="24"/>
          <w:szCs w:val="24"/>
          <w:rtl/>
        </w:rPr>
      </w:pPr>
    </w:p>
    <w:p w:rsidR="00782FFD" w:rsidRDefault="00782FFD" w:rsidP="00C26E1A">
      <w:pPr>
        <w:spacing w:line="276" w:lineRule="auto"/>
        <w:rPr>
          <w:rFonts w:ascii="FrankRuehl" w:hAnsi="FrankRuehl" w:cs="FrankRuehl"/>
          <w:b/>
          <w:bCs/>
          <w:sz w:val="24"/>
          <w:szCs w:val="24"/>
          <w:rtl/>
        </w:rPr>
      </w:pPr>
    </w:p>
    <w:p w:rsidR="00C26E1A" w:rsidRDefault="00C26E1A" w:rsidP="00C26E1A">
      <w:pPr>
        <w:spacing w:line="276" w:lineRule="auto"/>
        <w:rPr>
          <w:rFonts w:ascii="FrankRuehl" w:hAnsi="FrankRuehl" w:cs="FrankRuehl"/>
          <w:b/>
          <w:bCs/>
          <w:sz w:val="24"/>
          <w:szCs w:val="24"/>
          <w:rtl/>
        </w:rPr>
      </w:pPr>
      <w:r w:rsidRPr="004417FA">
        <w:rPr>
          <w:noProof/>
          <w:highlight w:val="green"/>
          <w:rtl/>
        </w:rPr>
        <w:lastRenderedPageBreak/>
        <mc:AlternateContent>
          <mc:Choice Requires="wps">
            <w:drawing>
              <wp:anchor distT="0" distB="0" distL="114300" distR="114300" simplePos="0" relativeHeight="251712512" behindDoc="1" locked="0" layoutInCell="1" allowOverlap="1" wp14:anchorId="24D507FD" wp14:editId="1BA03414">
                <wp:simplePos x="0" y="0"/>
                <wp:positionH relativeFrom="column">
                  <wp:posOffset>-236220</wp:posOffset>
                </wp:positionH>
                <wp:positionV relativeFrom="paragraph">
                  <wp:posOffset>-243840</wp:posOffset>
                </wp:positionV>
                <wp:extent cx="5765800" cy="4968240"/>
                <wp:effectExtent l="0" t="0" r="25400" b="22860"/>
                <wp:wrapNone/>
                <wp:docPr id="34" name="מלבן 34"/>
                <wp:cNvGraphicFramePr/>
                <a:graphic xmlns:a="http://schemas.openxmlformats.org/drawingml/2006/main">
                  <a:graphicData uri="http://schemas.microsoft.com/office/word/2010/wordprocessingShape">
                    <wps:wsp>
                      <wps:cNvSpPr/>
                      <wps:spPr>
                        <a:xfrm>
                          <a:off x="0" y="0"/>
                          <a:ext cx="5765800" cy="49682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92DE4" id="מלבן 34" o:spid="_x0000_s1026" style="position:absolute;left:0;text-align:left;margin-left:-18.6pt;margin-top:-19.2pt;width:454pt;height:391.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BxigIAAAMFAAAOAAAAZHJzL2Uyb0RvYy54bWysVMtu2zAQvBfoPxC8N7JdOQ8jcmA4cFEg&#10;SAwkRc40RVkC+CpJW3b/ovei/Sz/ToeU4jzaU1EfaC53ubsznNXl1U5JshXON0YXdHgyoERobspG&#10;rwv65WHx4ZwSH5gumTRaFHQvPL2avn932dqJGJnayFI4giTaT1pb0DoEO8kyz2uhmD8xVmg4K+MU&#10;CzDdOisda5FdyWw0GJxmrXGldYYL73F63TnpNOWvKsHDXVV5EYgsKHoLaXVpXcU1m16yydoxWze8&#10;b4P9QxeKNRpFj6muWWBk45o/UqmGO+NNFU64UZmpqoaLhAFohoM3aO5rZkXCAnK8PdLk/19afrtd&#10;OtKUBf2YU6KZwhsdfh5+HL4ffhEcgZ/W+gnC7u3S9ZbHNoLdVU7Ff8Agu8Tp/sip2AXCcTg+Ox2f&#10;D0A9hy+/OD0f5Yn17Pm6dT58EkaRuCmow6MlLtn2xgeUROhTSKzmjWzKRSNlMvZ+Lh3ZMrwvZFGa&#10;lhLJfMBhQRfpFzEgxatrUpMWcr0YjGNnDMKrJAvYKgsqvF5TwuQaiubBpV5e3fZuvTpWzfOz0TwR&#10;9bZIbPqa+brrLmXo9KaaANHLRhUU1ODXtyh1hCSSbHvokfyO7rhbmXKP53Km07G3fNGgyA0AL5mD&#10;cIEGwxjusFTSAKLpd5TUxn3723mMh57gpaTFIAD+1w1zAjx+1lDaxTDHi5GQjHx8NoLhXnpWLz16&#10;o+YGbzHE2FuetjE+yKfTyhn1iJmdxapwMc1RuyO6N+ahG1BMPRezWQrDtFgWbvS95TF55CnS+7B7&#10;ZM72wgnQ3K15Gho2eaOfLjbe1Ga2CaZqkrieeYVMooFJS4LpvwpxlF/aKer52zX9DQAA//8DAFBL&#10;AwQUAAYACAAAACEA6V9vN+AAAAALAQAADwAAAGRycy9kb3ducmV2LnhtbEyPwU7DMAyG70i8Q2Qk&#10;bluyUa1VaToxJAQcmNhAnLPGpBWJU5psLW9PdoKbLX/6/f3VenKWnXAInScJi7kAhtR43ZGR8P72&#10;MCuAhahIK+sJJfxggHV9eVGpUvuRdnjaR8NSCIVSSWhj7EvOQ9OiU2Hue6R0+/SDUzGtg+F6UGMK&#10;d5YvhVhxpzpKH1rV432Lzdf+6CQ8b8z3x5NZ7FbOvo4behTbFy+kvL6a7m6BRZziHwxn/aQOdXI6&#10;+CPpwKyE2U2+TOh5KDJgiShykcocJORZJoDXFf/fof4FAAD//wMAUEsBAi0AFAAGAAgAAAAhALaD&#10;OJL+AAAA4QEAABMAAAAAAAAAAAAAAAAAAAAAAFtDb250ZW50X1R5cGVzXS54bWxQSwECLQAUAAYA&#10;CAAAACEAOP0h/9YAAACUAQAACwAAAAAAAAAAAAAAAAAvAQAAX3JlbHMvLnJlbHNQSwECLQAUAAYA&#10;CAAAACEAMS2AcYoCAAADBQAADgAAAAAAAAAAAAAAAAAuAgAAZHJzL2Uyb0RvYy54bWxQSwECLQAU&#10;AAYACAAAACEA6V9vN+AAAAALAQAADwAAAAAAAAAAAAAAAADkBAAAZHJzL2Rvd25yZXYueG1sUEsF&#10;BgAAAAAEAAQA8wAAAPEFAAAAAA==&#10;" fillcolor="window" strokecolor="#4472c4" strokeweight="1.5pt"/>
            </w:pict>
          </mc:Fallback>
        </mc:AlternateContent>
      </w:r>
      <w:r>
        <w:rPr>
          <w:rFonts w:ascii="FrankRuehl" w:hAnsi="FrankRuehl" w:cs="FrankRuehl" w:hint="cs"/>
          <w:b/>
          <w:bCs/>
          <w:sz w:val="24"/>
          <w:szCs w:val="24"/>
          <w:rtl/>
        </w:rPr>
        <w:t>תוס' רבנו פרץ סח: ד"ה ובעשור</w:t>
      </w:r>
    </w:p>
    <w:p w:rsidR="00C26E1A" w:rsidRDefault="00C26E1A" w:rsidP="00C26E1A">
      <w:pPr>
        <w:spacing w:line="276" w:lineRule="auto"/>
        <w:rPr>
          <w:rFonts w:ascii="FrankRuehl" w:hAnsi="FrankRuehl" w:cs="FrankRuehl"/>
          <w:sz w:val="24"/>
          <w:szCs w:val="24"/>
          <w:rtl/>
        </w:rPr>
      </w:pPr>
      <w:r>
        <w:rPr>
          <w:rFonts w:ascii="FrankRuehl" w:hAnsi="FrankRuehl" w:cs="FrankRuehl" w:hint="cs"/>
          <w:sz w:val="24"/>
          <w:szCs w:val="24"/>
          <w:rtl/>
        </w:rPr>
        <w:t>ובעשור שבחומש הפקודים קורא על פה - תימה, דאמרינן בגיטין דברים שבכתב אי אתה רשאי לאומרם על פה, והכי איתא בירושלמי. ואומר ר"י, דהואיל ואינו מגיד אלא עבודת היום יכול לקרות בעל פה... ועוד יש לומר, כיון שאינה חובה לקרות פרשה זו, דאין זו רק תקנת עזרא, הילכך אין לחוש אם קוראה על פה.</w:t>
      </w:r>
    </w:p>
    <w:p w:rsidR="00C26E1A" w:rsidRDefault="00C26E1A" w:rsidP="00C26E1A">
      <w:pPr>
        <w:spacing w:line="276" w:lineRule="auto"/>
        <w:rPr>
          <w:rFonts w:ascii="FrankRuehl" w:hAnsi="FrankRuehl" w:cs="FrankRuehl"/>
          <w:sz w:val="24"/>
          <w:szCs w:val="24"/>
          <w:rtl/>
        </w:rPr>
      </w:pPr>
    </w:p>
    <w:p w:rsidR="00C26E1A"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מאירי תענית כו: ד"ה הגיע</w:t>
      </w:r>
    </w:p>
    <w:p w:rsidR="00C26E1A" w:rsidRDefault="00C26E1A" w:rsidP="00C26E1A">
      <w:pPr>
        <w:spacing w:line="276" w:lineRule="auto"/>
        <w:rPr>
          <w:rFonts w:ascii="FrankRuehl" w:hAnsi="FrankRuehl" w:cs="FrankRuehl"/>
          <w:sz w:val="24"/>
          <w:szCs w:val="24"/>
          <w:rtl/>
        </w:rPr>
      </w:pPr>
      <w:r w:rsidRPr="00514CC3">
        <w:rPr>
          <w:rFonts w:ascii="FrankRuehl" w:hAnsi="FrankRuehl" w:cs="FrankRuehl"/>
          <w:sz w:val="24"/>
          <w:szCs w:val="24"/>
          <w:rtl/>
        </w:rPr>
        <w:t>שאין יחיד קורא על פה דברי תורה בצבור</w:t>
      </w:r>
      <w:r>
        <w:rPr>
          <w:rFonts w:ascii="FrankRuehl" w:hAnsi="FrankRuehl" w:cs="FrankRuehl" w:hint="cs"/>
          <w:sz w:val="24"/>
          <w:szCs w:val="24"/>
          <w:rtl/>
        </w:rPr>
        <w:t>.</w:t>
      </w:r>
      <w:r w:rsidRPr="00514CC3">
        <w:rPr>
          <w:rFonts w:ascii="FrankRuehl" w:hAnsi="FrankRuehl" w:cs="FrankRuehl"/>
          <w:sz w:val="24"/>
          <w:szCs w:val="24"/>
          <w:rtl/>
        </w:rPr>
        <w:t xml:space="preserve"> ואף על פי שכהן גדול קורא אך בעשור ביום הכפרים על פה</w:t>
      </w:r>
      <w:r>
        <w:rPr>
          <w:rFonts w:ascii="FrankRuehl" w:hAnsi="FrankRuehl" w:cs="FrankRuehl" w:hint="cs"/>
          <w:sz w:val="24"/>
          <w:szCs w:val="24"/>
          <w:rtl/>
        </w:rPr>
        <w:t>,</w:t>
      </w:r>
      <w:r w:rsidRPr="00514CC3">
        <w:rPr>
          <w:rFonts w:ascii="FrankRuehl" w:hAnsi="FrankRuehl" w:cs="FrankRuehl"/>
          <w:sz w:val="24"/>
          <w:szCs w:val="24"/>
          <w:rtl/>
        </w:rPr>
        <w:t xml:space="preserve"> זו אין הצבור מצווין בכך</w:t>
      </w:r>
      <w:r>
        <w:rPr>
          <w:rFonts w:ascii="FrankRuehl" w:hAnsi="FrankRuehl" w:cs="FrankRuehl" w:hint="cs"/>
          <w:sz w:val="24"/>
          <w:szCs w:val="24"/>
          <w:rtl/>
        </w:rPr>
        <w:t>.</w:t>
      </w:r>
    </w:p>
    <w:p w:rsidR="00C26E1A" w:rsidRDefault="00C26E1A" w:rsidP="00C26E1A">
      <w:pPr>
        <w:spacing w:line="276" w:lineRule="auto"/>
        <w:rPr>
          <w:rFonts w:ascii="FrankRuehl" w:hAnsi="FrankRuehl" w:cs="FrankRuehl"/>
          <w:sz w:val="24"/>
          <w:szCs w:val="24"/>
          <w:rtl/>
        </w:rPr>
      </w:pPr>
    </w:p>
    <w:p w:rsidR="00C26E1A" w:rsidRDefault="00C26E1A" w:rsidP="00C26E1A">
      <w:pPr>
        <w:spacing w:line="276" w:lineRule="auto"/>
        <w:rPr>
          <w:rFonts w:ascii="FrankRuehl" w:hAnsi="FrankRuehl" w:cs="FrankRuehl"/>
          <w:b/>
          <w:bCs/>
          <w:sz w:val="24"/>
          <w:szCs w:val="24"/>
          <w:rtl/>
        </w:rPr>
      </w:pPr>
      <w:r>
        <w:rPr>
          <w:rFonts w:ascii="FrankRuehl" w:hAnsi="FrankRuehl" w:cs="FrankRuehl" w:hint="cs"/>
          <w:b/>
          <w:bCs/>
          <w:sz w:val="24"/>
          <w:szCs w:val="24"/>
          <w:rtl/>
        </w:rPr>
        <w:t>גבורת ארי סח: ד"ה וכהן גדול</w:t>
      </w:r>
    </w:p>
    <w:p w:rsidR="00C26E1A" w:rsidRPr="00514CC3" w:rsidRDefault="00C26E1A" w:rsidP="00C26E1A">
      <w:pPr>
        <w:spacing w:line="276" w:lineRule="auto"/>
        <w:rPr>
          <w:rFonts w:ascii="FrankRuehl" w:hAnsi="FrankRuehl" w:cs="FrankRuehl"/>
          <w:sz w:val="24"/>
          <w:szCs w:val="24"/>
          <w:rtl/>
        </w:rPr>
      </w:pPr>
      <w:r w:rsidRPr="00514CC3">
        <w:rPr>
          <w:rFonts w:ascii="FrankRuehl" w:hAnsi="FrankRuehl" w:cs="FrankRuehl"/>
          <w:sz w:val="24"/>
          <w:szCs w:val="24"/>
          <w:rtl/>
        </w:rPr>
        <w:t>וכהן גדול עומד ומקבל וקורא אחרי מות. קשה לי</w:t>
      </w:r>
      <w:r>
        <w:rPr>
          <w:rFonts w:ascii="FrankRuehl" w:hAnsi="FrankRuehl" w:cs="FrankRuehl" w:hint="cs"/>
          <w:sz w:val="24"/>
          <w:szCs w:val="24"/>
          <w:rtl/>
        </w:rPr>
        <w:t>,</w:t>
      </w:r>
      <w:r w:rsidRPr="00514CC3">
        <w:rPr>
          <w:rFonts w:ascii="FrankRuehl" w:hAnsi="FrankRuehl" w:cs="FrankRuehl"/>
          <w:sz w:val="24"/>
          <w:szCs w:val="24"/>
          <w:rtl/>
        </w:rPr>
        <w:t xml:space="preserve"> מדלא קאמר וכהן גדול עומד ומקבל ומברך על התורה לפניה כדרך דתני דמברך לאחריה על התורה אלמא אין צריך לברך ברכת התורה לפניה</w:t>
      </w:r>
      <w:r>
        <w:rPr>
          <w:rFonts w:ascii="FrankRuehl" w:hAnsi="FrankRuehl" w:cs="FrankRuehl" w:hint="cs"/>
          <w:sz w:val="24"/>
          <w:szCs w:val="24"/>
          <w:rtl/>
        </w:rPr>
        <w:t>,</w:t>
      </w:r>
      <w:r w:rsidRPr="00514CC3">
        <w:rPr>
          <w:rFonts w:ascii="FrankRuehl" w:hAnsi="FrankRuehl" w:cs="FrankRuehl"/>
          <w:sz w:val="24"/>
          <w:szCs w:val="24"/>
          <w:rtl/>
        </w:rPr>
        <w:t xml:space="preserve"> ואמאי</w:t>
      </w:r>
      <w:r>
        <w:rPr>
          <w:rFonts w:ascii="FrankRuehl" w:hAnsi="FrankRuehl" w:cs="FrankRuehl" w:hint="cs"/>
          <w:sz w:val="24"/>
          <w:szCs w:val="24"/>
          <w:rtl/>
        </w:rPr>
        <w:t>,</w:t>
      </w:r>
      <w:r w:rsidRPr="00514CC3">
        <w:rPr>
          <w:rFonts w:ascii="FrankRuehl" w:hAnsi="FrankRuehl" w:cs="FrankRuehl"/>
          <w:sz w:val="24"/>
          <w:szCs w:val="24"/>
          <w:rtl/>
        </w:rPr>
        <w:t xml:space="preserve"> מאי שנא לאחריה דמברך כדרך שמברכין בציבור ולפניה אין מברך.</w:t>
      </w:r>
      <w:r>
        <w:rPr>
          <w:rFonts w:ascii="FrankRuehl" w:hAnsi="FrankRuehl" w:cs="FrankRuehl" w:hint="cs"/>
          <w:sz w:val="24"/>
          <w:szCs w:val="24"/>
          <w:rtl/>
        </w:rPr>
        <w:t>...</w:t>
      </w:r>
      <w:r w:rsidRPr="00514CC3">
        <w:rPr>
          <w:rFonts w:ascii="FrankRuehl" w:hAnsi="FrankRuehl" w:cs="FrankRuehl"/>
          <w:sz w:val="24"/>
          <w:szCs w:val="24"/>
          <w:rtl/>
        </w:rPr>
        <w:t xml:space="preserve"> והיה נראה לי כיון דקריאה זו של כהן גדול אינו חובת ציבור כקריאת ספר תורה בשבת ויום טוב ושאר ימים שקורין בספר תורה מתקנת נביאים דחובת ציבור הוי והכל חייבים בה</w:t>
      </w:r>
      <w:r>
        <w:rPr>
          <w:rFonts w:ascii="FrankRuehl" w:hAnsi="FrankRuehl" w:cs="FrankRuehl" w:hint="cs"/>
          <w:sz w:val="24"/>
          <w:szCs w:val="24"/>
          <w:rtl/>
        </w:rPr>
        <w:t>,</w:t>
      </w:r>
      <w:r w:rsidRPr="00514CC3">
        <w:rPr>
          <w:rFonts w:ascii="FrankRuehl" w:hAnsi="FrankRuehl" w:cs="FrankRuehl"/>
          <w:sz w:val="24"/>
          <w:szCs w:val="24"/>
          <w:rtl/>
        </w:rPr>
        <w:t xml:space="preserve"> מה שאין כן קריאה זו דכהן גדול אינו אלא חובתו לבד דרמי רחמנא עליה קריאת הפרשה ואין הציבור חייבים בשמיעתה</w:t>
      </w:r>
      <w:r>
        <w:rPr>
          <w:rFonts w:ascii="FrankRuehl" w:hAnsi="FrankRuehl" w:cs="FrankRuehl" w:hint="cs"/>
          <w:sz w:val="24"/>
          <w:szCs w:val="24"/>
          <w:rtl/>
        </w:rPr>
        <w:t>,</w:t>
      </w:r>
      <w:r w:rsidRPr="00514CC3">
        <w:rPr>
          <w:rFonts w:ascii="FrankRuehl" w:hAnsi="FrankRuehl" w:cs="FrankRuehl"/>
          <w:sz w:val="24"/>
          <w:szCs w:val="24"/>
          <w:rtl/>
        </w:rPr>
        <w:t xml:space="preserve"> וכדתני סיפא</w:t>
      </w:r>
      <w:r>
        <w:rPr>
          <w:rFonts w:ascii="FrankRuehl" w:hAnsi="FrankRuehl" w:cs="FrankRuehl" w:hint="cs"/>
          <w:sz w:val="24"/>
          <w:szCs w:val="24"/>
          <w:rtl/>
        </w:rPr>
        <w:t>:</w:t>
      </w:r>
      <w:r w:rsidRPr="00514CC3">
        <w:rPr>
          <w:rFonts w:ascii="FrankRuehl" w:hAnsi="FrankRuehl" w:cs="FrankRuehl"/>
          <w:sz w:val="24"/>
          <w:szCs w:val="24"/>
          <w:rtl/>
        </w:rPr>
        <w:t xml:space="preserve"> </w:t>
      </w:r>
      <w:r>
        <w:rPr>
          <w:rFonts w:ascii="FrankRuehl" w:hAnsi="FrankRuehl" w:cs="FrankRuehl" w:hint="cs"/>
          <w:sz w:val="24"/>
          <w:szCs w:val="24"/>
          <w:rtl/>
        </w:rPr>
        <w:t>'</w:t>
      </w:r>
      <w:r w:rsidRPr="00514CC3">
        <w:rPr>
          <w:rFonts w:ascii="FrankRuehl" w:hAnsi="FrankRuehl" w:cs="FrankRuehl"/>
          <w:sz w:val="24"/>
          <w:szCs w:val="24"/>
          <w:rtl/>
        </w:rPr>
        <w:t>הרואה כהן גדול כשהוא קורא אינו רואה פר ושעיר הנשרפים כו' ולא מפני שאינו רשאי</w:t>
      </w:r>
      <w:r>
        <w:rPr>
          <w:rFonts w:ascii="FrankRuehl" w:hAnsi="FrankRuehl" w:cs="FrankRuehl" w:hint="cs"/>
          <w:sz w:val="24"/>
          <w:szCs w:val="24"/>
          <w:rtl/>
        </w:rPr>
        <w:t>'</w:t>
      </w:r>
      <w:r w:rsidRPr="00514CC3">
        <w:rPr>
          <w:rFonts w:ascii="FrankRuehl" w:hAnsi="FrankRuehl" w:cs="FrankRuehl"/>
          <w:sz w:val="24"/>
          <w:szCs w:val="24"/>
          <w:rtl/>
        </w:rPr>
        <w:t xml:space="preserve"> וכו'</w:t>
      </w:r>
      <w:r>
        <w:rPr>
          <w:rFonts w:ascii="FrankRuehl" w:hAnsi="FrankRuehl" w:cs="FrankRuehl" w:hint="cs"/>
          <w:sz w:val="24"/>
          <w:szCs w:val="24"/>
          <w:rtl/>
        </w:rPr>
        <w:t>,</w:t>
      </w:r>
      <w:r w:rsidRPr="00514CC3">
        <w:rPr>
          <w:rFonts w:ascii="FrankRuehl" w:hAnsi="FrankRuehl" w:cs="FrankRuehl"/>
          <w:sz w:val="24"/>
          <w:szCs w:val="24"/>
          <w:rtl/>
        </w:rPr>
        <w:t xml:space="preserve"> ומשמע דהאי לא מפני שאינו רשאי ארישא דהרואה כהן גדול כשהוא קורא נמי קאי דרשאי להניחו ולצאת</w:t>
      </w:r>
      <w:r>
        <w:rPr>
          <w:rFonts w:ascii="FrankRuehl" w:hAnsi="FrankRuehl" w:cs="FrankRuehl" w:hint="cs"/>
          <w:sz w:val="24"/>
          <w:szCs w:val="24"/>
          <w:rtl/>
        </w:rPr>
        <w:t>,</w:t>
      </w:r>
      <w:r w:rsidRPr="00514CC3">
        <w:rPr>
          <w:rFonts w:ascii="FrankRuehl" w:hAnsi="FrankRuehl" w:cs="FrankRuehl"/>
          <w:sz w:val="24"/>
          <w:szCs w:val="24"/>
          <w:rtl/>
        </w:rPr>
        <w:t xml:space="preserve"> אלמא אין קריאה זו אלא חובת כהן גדול לבד</w:t>
      </w:r>
      <w:r>
        <w:rPr>
          <w:rFonts w:ascii="FrankRuehl" w:hAnsi="FrankRuehl" w:cs="FrankRuehl" w:hint="cs"/>
          <w:sz w:val="24"/>
          <w:szCs w:val="24"/>
          <w:rtl/>
        </w:rPr>
        <w:t>,</w:t>
      </w:r>
      <w:r w:rsidRPr="00514CC3">
        <w:rPr>
          <w:rFonts w:ascii="FrankRuehl" w:hAnsi="FrankRuehl" w:cs="FrankRuehl"/>
          <w:sz w:val="24"/>
          <w:szCs w:val="24"/>
          <w:rtl/>
        </w:rPr>
        <w:t xml:space="preserve"> משום הכי לא תקנו ברכה לפניה כדרך שתקנו בקריאת ציבור וסגי ליה בברכת התורה שבירך שחרית כמו כל אדם. מיהו הואיל ומכל מקום קריאה זו חשובה יותר מתלמוד תורה דשאר כל יחיד דרמי רחמנא עליה קריאת פרשה זו לפיכך עדיפא משאר ת"ת דיחיד ומברך לאחריה הואיל ואכתי לא בירך אותה כלל עד השתא</w:t>
      </w:r>
      <w:r>
        <w:rPr>
          <w:rFonts w:ascii="FrankRuehl" w:hAnsi="FrankRuehl" w:cs="FrankRuehl" w:hint="cs"/>
          <w:sz w:val="24"/>
          <w:szCs w:val="24"/>
          <w:rtl/>
        </w:rPr>
        <w:t>,</w:t>
      </w:r>
      <w:r w:rsidRPr="00514CC3">
        <w:rPr>
          <w:rFonts w:ascii="FrankRuehl" w:hAnsi="FrankRuehl" w:cs="FrankRuehl"/>
          <w:sz w:val="24"/>
          <w:szCs w:val="24"/>
          <w:rtl/>
        </w:rPr>
        <w:t xml:space="preserve"> מה שאין כאן לפניה דכבר בירך אותה תו לא צריך דלא חשיב כל כך</w:t>
      </w:r>
      <w:r>
        <w:rPr>
          <w:rFonts w:ascii="FrankRuehl" w:hAnsi="FrankRuehl" w:cs="FrankRuehl" w:hint="cs"/>
          <w:sz w:val="24"/>
          <w:szCs w:val="24"/>
          <w:rtl/>
        </w:rPr>
        <w:t>.</w:t>
      </w:r>
    </w:p>
    <w:p w:rsidR="00C26E1A" w:rsidRDefault="00C26E1A" w:rsidP="00C26E1A">
      <w:pPr>
        <w:spacing w:line="276" w:lineRule="auto"/>
        <w:rPr>
          <w:rFonts w:ascii="FrankRuehl" w:hAnsi="FrankRuehl" w:cs="FrankRuehl"/>
          <w:sz w:val="24"/>
          <w:szCs w:val="24"/>
          <w:rtl/>
        </w:rPr>
      </w:pPr>
    </w:p>
    <w:p w:rsidR="00C26E1A" w:rsidRPr="00514CC3" w:rsidRDefault="00C26E1A" w:rsidP="00C26E1A">
      <w:pPr>
        <w:spacing w:line="276" w:lineRule="auto"/>
        <w:rPr>
          <w:rFonts w:ascii="FrankRuehl" w:hAnsi="FrankRuehl" w:cs="FrankRuehl"/>
          <w:sz w:val="24"/>
          <w:szCs w:val="24"/>
          <w:rtl/>
        </w:rPr>
      </w:pPr>
    </w:p>
    <w:p w:rsidR="00C26E1A" w:rsidRDefault="00C26E1A" w:rsidP="00C26E1A">
      <w:pPr>
        <w:spacing w:before="200" w:line="276" w:lineRule="auto"/>
        <w:ind w:firstLine="227"/>
        <w:rPr>
          <w:sz w:val="24"/>
          <w:szCs w:val="24"/>
          <w:rtl/>
        </w:rPr>
      </w:pPr>
      <w:r>
        <w:rPr>
          <w:rFonts w:hint="cs"/>
          <w:sz w:val="24"/>
          <w:szCs w:val="24"/>
          <w:rtl/>
        </w:rPr>
        <w:t xml:space="preserve">המשנה מלמדת כי לאחר שילוח השעיר לעזאזל, הכהן הגדול היה קורא בתורה: </w:t>
      </w:r>
    </w:p>
    <w:p w:rsidR="00C26E1A" w:rsidRDefault="00C26E1A" w:rsidP="00C26E1A">
      <w:pPr>
        <w:spacing w:before="200" w:line="276" w:lineRule="auto"/>
        <w:ind w:left="720"/>
        <w:rPr>
          <w:sz w:val="24"/>
          <w:szCs w:val="24"/>
          <w:rtl/>
        </w:rPr>
      </w:pPr>
      <w:r w:rsidRPr="004417FA">
        <w:rPr>
          <w:sz w:val="24"/>
          <w:szCs w:val="24"/>
          <w:rtl/>
        </w:rPr>
        <w:t>בא לו כהן גדול לקרות</w:t>
      </w:r>
      <w:r>
        <w:rPr>
          <w:rFonts w:hint="cs"/>
          <w:sz w:val="24"/>
          <w:szCs w:val="24"/>
          <w:rtl/>
        </w:rPr>
        <w:t>,</w:t>
      </w:r>
      <w:r w:rsidRPr="004417FA">
        <w:rPr>
          <w:sz w:val="24"/>
          <w:szCs w:val="24"/>
          <w:rtl/>
        </w:rPr>
        <w:t xml:space="preserve"> אם רצה לקרות בבגדי בוץ קורא</w:t>
      </w:r>
      <w:r>
        <w:rPr>
          <w:rFonts w:hint="cs"/>
          <w:sz w:val="24"/>
          <w:szCs w:val="24"/>
          <w:rtl/>
        </w:rPr>
        <w:t>,</w:t>
      </w:r>
      <w:r w:rsidRPr="004417FA">
        <w:rPr>
          <w:sz w:val="24"/>
          <w:szCs w:val="24"/>
          <w:rtl/>
        </w:rPr>
        <w:t xml:space="preserve"> ואם לאו קורא באצטלית לבן משלו</w:t>
      </w:r>
      <w:r>
        <w:rPr>
          <w:rFonts w:hint="cs"/>
          <w:sz w:val="24"/>
          <w:szCs w:val="24"/>
          <w:rtl/>
        </w:rPr>
        <w:t>.</w:t>
      </w:r>
      <w:r w:rsidRPr="004417FA">
        <w:rPr>
          <w:sz w:val="24"/>
          <w:szCs w:val="24"/>
          <w:rtl/>
        </w:rPr>
        <w:t xml:space="preserve"> חזן הכנסת נוטל ספר תורה ונותנו לראש הכנסת</w:t>
      </w:r>
      <w:r>
        <w:rPr>
          <w:rFonts w:hint="cs"/>
          <w:sz w:val="24"/>
          <w:szCs w:val="24"/>
          <w:rtl/>
        </w:rPr>
        <w:t>,</w:t>
      </w:r>
      <w:r w:rsidRPr="004417FA">
        <w:rPr>
          <w:sz w:val="24"/>
          <w:szCs w:val="24"/>
          <w:rtl/>
        </w:rPr>
        <w:t xml:space="preserve"> וראש הכנסת נותנו לסגן</w:t>
      </w:r>
      <w:r>
        <w:rPr>
          <w:rFonts w:hint="cs"/>
          <w:sz w:val="24"/>
          <w:szCs w:val="24"/>
          <w:rtl/>
        </w:rPr>
        <w:t>,</w:t>
      </w:r>
      <w:r w:rsidRPr="004417FA">
        <w:rPr>
          <w:sz w:val="24"/>
          <w:szCs w:val="24"/>
          <w:rtl/>
        </w:rPr>
        <w:t xml:space="preserve"> והסגן נותנו לכהן גדול</w:t>
      </w:r>
      <w:r>
        <w:rPr>
          <w:rFonts w:hint="cs"/>
          <w:sz w:val="24"/>
          <w:szCs w:val="24"/>
          <w:rtl/>
        </w:rPr>
        <w:t>.</w:t>
      </w:r>
      <w:r w:rsidRPr="004417FA">
        <w:rPr>
          <w:sz w:val="24"/>
          <w:szCs w:val="24"/>
          <w:rtl/>
        </w:rPr>
        <w:t xml:space="preserve"> וכהן גדול עומד ומקבל וקורא </w:t>
      </w:r>
      <w:r>
        <w:rPr>
          <w:rFonts w:hint="cs"/>
          <w:sz w:val="24"/>
          <w:szCs w:val="24"/>
          <w:rtl/>
        </w:rPr>
        <w:t>'</w:t>
      </w:r>
      <w:r w:rsidRPr="004417FA">
        <w:rPr>
          <w:sz w:val="24"/>
          <w:szCs w:val="24"/>
          <w:rtl/>
        </w:rPr>
        <w:t>אחרי מות</w:t>
      </w:r>
      <w:r>
        <w:rPr>
          <w:rFonts w:hint="cs"/>
          <w:sz w:val="24"/>
          <w:szCs w:val="24"/>
          <w:rtl/>
        </w:rPr>
        <w:t>'</w:t>
      </w:r>
      <w:r w:rsidRPr="004417FA">
        <w:rPr>
          <w:sz w:val="24"/>
          <w:szCs w:val="24"/>
          <w:rtl/>
        </w:rPr>
        <w:t xml:space="preserve"> ו</w:t>
      </w:r>
      <w:r>
        <w:rPr>
          <w:rFonts w:hint="cs"/>
          <w:sz w:val="24"/>
          <w:szCs w:val="24"/>
          <w:rtl/>
        </w:rPr>
        <w:t>'</w:t>
      </w:r>
      <w:r w:rsidRPr="004417FA">
        <w:rPr>
          <w:sz w:val="24"/>
          <w:szCs w:val="24"/>
          <w:rtl/>
        </w:rPr>
        <w:t>אך בעשור</w:t>
      </w:r>
      <w:r>
        <w:rPr>
          <w:rFonts w:hint="cs"/>
          <w:sz w:val="24"/>
          <w:szCs w:val="24"/>
          <w:rtl/>
        </w:rPr>
        <w:t>'.</w:t>
      </w:r>
      <w:r w:rsidRPr="004417FA">
        <w:rPr>
          <w:sz w:val="24"/>
          <w:szCs w:val="24"/>
          <w:rtl/>
        </w:rPr>
        <w:t xml:space="preserve"> וגולל ספר תורה ומניחו בחיקו ואומר</w:t>
      </w:r>
      <w:r>
        <w:rPr>
          <w:rFonts w:hint="cs"/>
          <w:sz w:val="24"/>
          <w:szCs w:val="24"/>
          <w:rtl/>
        </w:rPr>
        <w:t>:</w:t>
      </w:r>
      <w:r w:rsidRPr="004417FA">
        <w:rPr>
          <w:sz w:val="24"/>
          <w:szCs w:val="24"/>
          <w:rtl/>
        </w:rPr>
        <w:t xml:space="preserve"> יותר ממה שקראתי לפניכם כתוב כאן</w:t>
      </w:r>
      <w:r>
        <w:rPr>
          <w:rFonts w:hint="cs"/>
          <w:sz w:val="24"/>
          <w:szCs w:val="24"/>
          <w:rtl/>
        </w:rPr>
        <w:t>.</w:t>
      </w:r>
      <w:r w:rsidRPr="004417FA">
        <w:rPr>
          <w:sz w:val="24"/>
          <w:szCs w:val="24"/>
          <w:rtl/>
        </w:rPr>
        <w:t xml:space="preserve"> ו</w:t>
      </w:r>
      <w:r>
        <w:rPr>
          <w:rFonts w:hint="cs"/>
          <w:sz w:val="24"/>
          <w:szCs w:val="24"/>
          <w:rtl/>
        </w:rPr>
        <w:t>'</w:t>
      </w:r>
      <w:r w:rsidRPr="004417FA">
        <w:rPr>
          <w:sz w:val="24"/>
          <w:szCs w:val="24"/>
          <w:rtl/>
        </w:rPr>
        <w:t>בעשור</w:t>
      </w:r>
      <w:r>
        <w:rPr>
          <w:rFonts w:hint="cs"/>
          <w:sz w:val="24"/>
          <w:szCs w:val="24"/>
          <w:rtl/>
        </w:rPr>
        <w:t>'</w:t>
      </w:r>
      <w:r w:rsidRPr="004417FA">
        <w:rPr>
          <w:sz w:val="24"/>
          <w:szCs w:val="24"/>
          <w:rtl/>
        </w:rPr>
        <w:t xml:space="preserve"> שבחומש הפקודים קורא על פה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[משנה סח:]</w:t>
      </w:r>
    </w:p>
    <w:p w:rsidR="00C26E1A" w:rsidRDefault="00C26E1A" w:rsidP="00C26E1A">
      <w:pPr>
        <w:spacing w:before="200" w:line="276" w:lineRule="auto"/>
        <w:ind w:firstLine="227"/>
        <w:rPr>
          <w:sz w:val="24"/>
          <w:szCs w:val="24"/>
          <w:rtl/>
        </w:rPr>
      </w:pPr>
      <w:r>
        <w:rPr>
          <w:rFonts w:hint="cs"/>
          <w:sz w:val="24"/>
          <w:szCs w:val="24"/>
          <w:rtl/>
        </w:rPr>
        <w:t xml:space="preserve">בשונה משאר המעשים הנעשים על ידי הכהן הגדול, הקריאה בתורה אינה מפורשת בכתובים, ויש לעיין בתוקפה של קריאה זו </w:t>
      </w:r>
      <w:r>
        <w:rPr>
          <w:sz w:val="24"/>
          <w:szCs w:val="24"/>
          <w:rtl/>
        </w:rPr>
        <w:t>–</w:t>
      </w:r>
      <w:r>
        <w:rPr>
          <w:rFonts w:hint="cs"/>
          <w:sz w:val="24"/>
          <w:szCs w:val="24"/>
          <w:rtl/>
        </w:rPr>
        <w:t xml:space="preserve"> האם חיוב הקריאה הוא מן התורה או מדרבנן בלבד.</w:t>
      </w:r>
    </w:p>
    <w:p w:rsidR="00C26E1A" w:rsidRDefault="00C26E1A" w:rsidP="00C26E1A">
      <w:pPr>
        <w:spacing w:before="200" w:line="276" w:lineRule="auto"/>
        <w:ind w:firstLine="227"/>
        <w:rPr>
          <w:sz w:val="24"/>
          <w:szCs w:val="24"/>
          <w:rtl/>
        </w:rPr>
      </w:pPr>
      <w:r>
        <w:rPr>
          <w:rFonts w:hint="cs"/>
          <w:sz w:val="24"/>
          <w:szCs w:val="24"/>
          <w:rtl/>
        </w:rPr>
        <w:t>הירושלמי מביא מקור לקריאה זו מדרשה:</w:t>
      </w:r>
    </w:p>
    <w:p w:rsidR="00C26E1A" w:rsidRPr="00D84EB6" w:rsidRDefault="00C26E1A" w:rsidP="00C26E1A">
      <w:pPr>
        <w:spacing w:before="200" w:line="276" w:lineRule="auto"/>
        <w:ind w:left="720"/>
        <w:rPr>
          <w:sz w:val="20"/>
          <w:szCs w:val="20"/>
          <w:rtl/>
        </w:rPr>
      </w:pPr>
      <w:r w:rsidRPr="00D84EB6">
        <w:rPr>
          <w:sz w:val="24"/>
          <w:szCs w:val="24"/>
          <w:rtl/>
        </w:rPr>
        <w:t>מניין לקריאת הפרשה</w:t>
      </w:r>
      <w:r>
        <w:rPr>
          <w:rFonts w:hint="cs"/>
          <w:sz w:val="24"/>
          <w:szCs w:val="24"/>
          <w:rtl/>
        </w:rPr>
        <w:t>?</w:t>
      </w:r>
      <w:r>
        <w:rPr>
          <w:sz w:val="24"/>
          <w:szCs w:val="24"/>
          <w:rtl/>
        </w:rPr>
        <w:t xml:space="preserve"> ר</w:t>
      </w:r>
      <w:r>
        <w:rPr>
          <w:rFonts w:hint="cs"/>
          <w:sz w:val="24"/>
          <w:szCs w:val="24"/>
          <w:rtl/>
        </w:rPr>
        <w:t>בי</w:t>
      </w:r>
      <w:r>
        <w:rPr>
          <w:sz w:val="24"/>
          <w:szCs w:val="24"/>
          <w:rtl/>
        </w:rPr>
        <w:t xml:space="preserve"> אידי בשם ר</w:t>
      </w:r>
      <w:r>
        <w:rPr>
          <w:rFonts w:hint="cs"/>
          <w:sz w:val="24"/>
          <w:szCs w:val="24"/>
          <w:rtl/>
        </w:rPr>
        <w:t>בי</w:t>
      </w:r>
      <w:r>
        <w:rPr>
          <w:sz w:val="24"/>
          <w:szCs w:val="24"/>
          <w:rtl/>
        </w:rPr>
        <w:t xml:space="preserve"> יצחק</w:t>
      </w:r>
      <w:r>
        <w:rPr>
          <w:rFonts w:hint="cs"/>
          <w:sz w:val="24"/>
          <w:szCs w:val="24"/>
          <w:rtl/>
        </w:rPr>
        <w:t>: 'ו</w:t>
      </w:r>
      <w:r w:rsidRPr="00D84EB6">
        <w:rPr>
          <w:sz w:val="24"/>
          <w:szCs w:val="24"/>
          <w:rtl/>
        </w:rPr>
        <w:t>יעש</w:t>
      </w:r>
      <w:r>
        <w:rPr>
          <w:rFonts w:hint="cs"/>
          <w:sz w:val="24"/>
          <w:szCs w:val="24"/>
          <w:rtl/>
        </w:rPr>
        <w:t>',</w:t>
      </w:r>
      <w:r>
        <w:rPr>
          <w:sz w:val="24"/>
          <w:szCs w:val="24"/>
          <w:rtl/>
        </w:rPr>
        <w:t xml:space="preserve"> מה ת</w:t>
      </w:r>
      <w:r>
        <w:rPr>
          <w:rFonts w:hint="cs"/>
          <w:sz w:val="24"/>
          <w:szCs w:val="24"/>
          <w:rtl/>
        </w:rPr>
        <w:t>למוד לומר</w:t>
      </w:r>
      <w:r w:rsidRPr="00D84EB6">
        <w:rPr>
          <w:sz w:val="24"/>
          <w:szCs w:val="24"/>
          <w:rtl/>
        </w:rPr>
        <w:t xml:space="preserve"> </w:t>
      </w:r>
      <w:r>
        <w:rPr>
          <w:rFonts w:hint="cs"/>
          <w:sz w:val="24"/>
          <w:szCs w:val="24"/>
          <w:rtl/>
        </w:rPr>
        <w:t>'</w:t>
      </w:r>
      <w:r w:rsidRPr="00D84EB6">
        <w:rPr>
          <w:sz w:val="24"/>
          <w:szCs w:val="24"/>
          <w:rtl/>
        </w:rPr>
        <w:t>כאשר צוה ה' את משה</w:t>
      </w:r>
      <w:r>
        <w:rPr>
          <w:rFonts w:hint="cs"/>
          <w:sz w:val="24"/>
          <w:szCs w:val="24"/>
          <w:rtl/>
        </w:rPr>
        <w:t>'?</w:t>
      </w:r>
      <w:r w:rsidRPr="00D84EB6">
        <w:rPr>
          <w:sz w:val="24"/>
          <w:szCs w:val="24"/>
          <w:rtl/>
        </w:rPr>
        <w:t xml:space="preserve"> מיכן לקריאת הפרשה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[ירושלמי פ"ז ה"א]</w:t>
      </w:r>
    </w:p>
    <w:p w:rsidR="00C26E1A" w:rsidRDefault="00C26E1A" w:rsidP="00C26E1A">
      <w:pPr>
        <w:spacing w:before="200" w:line="276" w:lineRule="auto"/>
        <w:ind w:firstLine="227"/>
        <w:rPr>
          <w:sz w:val="24"/>
          <w:szCs w:val="24"/>
          <w:rtl/>
        </w:rPr>
      </w:pPr>
      <w:r>
        <w:rPr>
          <w:rFonts w:hint="cs"/>
          <w:sz w:val="24"/>
          <w:szCs w:val="24"/>
          <w:rtl/>
        </w:rPr>
        <w:t>רש"י מביא לכך מקור שונה:</w:t>
      </w:r>
    </w:p>
    <w:p w:rsidR="00C26E1A" w:rsidRDefault="00C26E1A" w:rsidP="00C26E1A">
      <w:pPr>
        <w:spacing w:before="200" w:line="276" w:lineRule="auto"/>
        <w:ind w:left="720"/>
        <w:rPr>
          <w:sz w:val="24"/>
          <w:szCs w:val="24"/>
          <w:rtl/>
        </w:rPr>
      </w:pPr>
      <w:r w:rsidRPr="004417FA">
        <w:rPr>
          <w:sz w:val="24"/>
          <w:szCs w:val="24"/>
          <w:rtl/>
        </w:rPr>
        <w:t>דילפ</w:t>
      </w:r>
      <w:r>
        <w:rPr>
          <w:sz w:val="24"/>
          <w:szCs w:val="24"/>
          <w:rtl/>
        </w:rPr>
        <w:t>ינן ממלואים, דאמרינן בפרק קמא</w:t>
      </w:r>
      <w:r>
        <w:rPr>
          <w:rFonts w:hint="cs"/>
          <w:sz w:val="24"/>
          <w:szCs w:val="24"/>
          <w:rtl/>
        </w:rPr>
        <w:t>:</w:t>
      </w:r>
      <w:r w:rsidRPr="004417FA">
        <w:rPr>
          <w:sz w:val="24"/>
          <w:szCs w:val="24"/>
          <w:rtl/>
        </w:rPr>
        <w:t xml:space="preserve"> </w:t>
      </w:r>
      <w:r>
        <w:rPr>
          <w:rFonts w:hint="cs"/>
          <w:sz w:val="24"/>
          <w:szCs w:val="24"/>
          <w:rtl/>
        </w:rPr>
        <w:t>'</w:t>
      </w:r>
      <w:r w:rsidRPr="004417FA">
        <w:rPr>
          <w:sz w:val="24"/>
          <w:szCs w:val="24"/>
          <w:rtl/>
        </w:rPr>
        <w:t>מניין שאף מקרא פרשה מעכב</w:t>
      </w:r>
      <w:r>
        <w:rPr>
          <w:rFonts w:hint="cs"/>
          <w:sz w:val="24"/>
          <w:szCs w:val="24"/>
          <w:rtl/>
        </w:rPr>
        <w:t>'</w:t>
      </w:r>
      <w:r w:rsidRPr="004417FA">
        <w:rPr>
          <w:sz w:val="24"/>
          <w:szCs w:val="24"/>
          <w:rtl/>
        </w:rPr>
        <w:t xml:space="preserve"> וכו'</w:t>
      </w:r>
      <w:r>
        <w:rPr>
          <w:rFonts w:hint="cs"/>
          <w:sz w:val="24"/>
          <w:szCs w:val="24"/>
          <w:rtl/>
        </w:rPr>
        <w:t xml:space="preserve">. </w:t>
      </w:r>
    </w:p>
    <w:p w:rsidR="00C26E1A" w:rsidRPr="004417FA" w:rsidRDefault="00C26E1A" w:rsidP="00C26E1A">
      <w:pPr>
        <w:spacing w:before="200" w:line="276" w:lineRule="auto"/>
        <w:ind w:left="720"/>
        <w:jc w:val="right"/>
        <w:rPr>
          <w:sz w:val="20"/>
          <w:szCs w:val="20"/>
          <w:rtl/>
        </w:rPr>
      </w:pPr>
      <w:r w:rsidRPr="004417FA">
        <w:rPr>
          <w:rFonts w:hint="cs"/>
          <w:sz w:val="20"/>
          <w:szCs w:val="20"/>
          <w:rtl/>
        </w:rPr>
        <w:t>[רש"י שם, ד"ה בא לקרות]</w:t>
      </w:r>
    </w:p>
    <w:p w:rsidR="00C26E1A" w:rsidRDefault="00C26E1A" w:rsidP="00C26E1A">
      <w:pPr>
        <w:spacing w:before="200" w:line="276" w:lineRule="auto"/>
        <w:ind w:firstLine="266"/>
        <w:rPr>
          <w:sz w:val="24"/>
          <w:szCs w:val="24"/>
          <w:rtl/>
        </w:rPr>
      </w:pPr>
      <w:r w:rsidRPr="004417FA">
        <w:rPr>
          <w:rFonts w:hint="cs"/>
          <w:sz w:val="24"/>
          <w:szCs w:val="24"/>
          <w:rtl/>
        </w:rPr>
        <w:lastRenderedPageBreak/>
        <w:t>מ</w:t>
      </w:r>
      <w:r>
        <w:rPr>
          <w:rFonts w:hint="cs"/>
          <w:sz w:val="24"/>
          <w:szCs w:val="24"/>
          <w:rtl/>
        </w:rPr>
        <w:t>דברי הירושלמי ורש"י נראה שחובת הקריאה בתורה היא מדאורייתא</w:t>
      </w:r>
      <w:r>
        <w:rPr>
          <w:rStyle w:val="a7"/>
          <w:sz w:val="24"/>
          <w:szCs w:val="24"/>
          <w:rtl/>
        </w:rPr>
        <w:footnoteReference w:id="169"/>
      </w:r>
      <w:r>
        <w:rPr>
          <w:rFonts w:hint="cs"/>
          <w:sz w:val="24"/>
          <w:szCs w:val="24"/>
          <w:rtl/>
        </w:rPr>
        <w:t xml:space="preserve">.  </w:t>
      </w:r>
    </w:p>
    <w:p w:rsidR="00C26E1A" w:rsidRDefault="00C26E1A" w:rsidP="00C26E1A">
      <w:pPr>
        <w:spacing w:before="200" w:line="276" w:lineRule="auto"/>
        <w:ind w:firstLine="266"/>
        <w:rPr>
          <w:sz w:val="24"/>
          <w:szCs w:val="24"/>
          <w:rtl/>
        </w:rPr>
      </w:pPr>
      <w:r>
        <w:rPr>
          <w:rFonts w:hint="cs"/>
          <w:sz w:val="24"/>
          <w:szCs w:val="24"/>
          <w:rtl/>
        </w:rPr>
        <w:t>השפת אמת מעיר על החידוש בתפיסה זו:</w:t>
      </w:r>
    </w:p>
    <w:p w:rsidR="00C26E1A" w:rsidRDefault="00C26E1A" w:rsidP="00C26E1A">
      <w:pPr>
        <w:spacing w:before="200" w:line="276" w:lineRule="auto"/>
        <w:ind w:left="720"/>
        <w:rPr>
          <w:sz w:val="24"/>
          <w:szCs w:val="24"/>
          <w:rtl/>
        </w:rPr>
      </w:pPr>
      <w:r w:rsidRPr="00506637">
        <w:rPr>
          <w:sz w:val="24"/>
          <w:szCs w:val="24"/>
          <w:rtl/>
        </w:rPr>
        <w:t>והוא דבר חידוש</w:t>
      </w:r>
      <w:r>
        <w:rPr>
          <w:rFonts w:hint="cs"/>
          <w:sz w:val="24"/>
          <w:szCs w:val="24"/>
          <w:rtl/>
        </w:rPr>
        <w:t>,</w:t>
      </w:r>
      <w:r w:rsidRPr="00506637">
        <w:rPr>
          <w:sz w:val="24"/>
          <w:szCs w:val="24"/>
          <w:rtl/>
        </w:rPr>
        <w:t xml:space="preserve"> דהא ליכא שום קריאה מן התורה [כמ"ש התוס'</w:t>
      </w:r>
      <w:r>
        <w:rPr>
          <w:sz w:val="24"/>
          <w:szCs w:val="24"/>
          <w:rtl/>
        </w:rPr>
        <w:t xml:space="preserve"> במגילה (י"ז ב) דליכא קריאה מ</w:t>
      </w:r>
      <w:r>
        <w:rPr>
          <w:rFonts w:hint="cs"/>
          <w:sz w:val="24"/>
          <w:szCs w:val="24"/>
          <w:rtl/>
        </w:rPr>
        <w:t>ן התורה</w:t>
      </w:r>
      <w:r>
        <w:rPr>
          <w:sz w:val="24"/>
          <w:szCs w:val="24"/>
          <w:rtl/>
        </w:rPr>
        <w:t xml:space="preserve"> לבד פ</w:t>
      </w:r>
      <w:r>
        <w:rPr>
          <w:rFonts w:hint="cs"/>
          <w:sz w:val="24"/>
          <w:szCs w:val="24"/>
          <w:rtl/>
        </w:rPr>
        <w:t>רשת</w:t>
      </w:r>
      <w:r w:rsidRPr="00506637">
        <w:rPr>
          <w:sz w:val="24"/>
          <w:szCs w:val="24"/>
          <w:rtl/>
        </w:rPr>
        <w:t xml:space="preserve"> זכור]</w:t>
      </w:r>
      <w:r>
        <w:rPr>
          <w:rFonts w:hint="cs"/>
          <w:sz w:val="24"/>
          <w:szCs w:val="24"/>
          <w:rtl/>
        </w:rPr>
        <w:t>,</w:t>
      </w:r>
      <w:r w:rsidRPr="00506637">
        <w:rPr>
          <w:sz w:val="24"/>
          <w:szCs w:val="24"/>
          <w:rtl/>
        </w:rPr>
        <w:t xml:space="preserve"> וכל הקריאות הם תקנת עזרא</w:t>
      </w:r>
      <w:r>
        <w:rPr>
          <w:rFonts w:hint="cs"/>
          <w:sz w:val="24"/>
          <w:szCs w:val="24"/>
          <w:rtl/>
        </w:rPr>
        <w:t xml:space="preserve">. </w:t>
      </w:r>
    </w:p>
    <w:p w:rsidR="00C26E1A" w:rsidRPr="00506637" w:rsidRDefault="00C26E1A" w:rsidP="00C26E1A">
      <w:pPr>
        <w:spacing w:before="200" w:line="276" w:lineRule="auto"/>
        <w:ind w:left="720"/>
        <w:jc w:val="right"/>
        <w:rPr>
          <w:sz w:val="20"/>
          <w:szCs w:val="20"/>
          <w:rtl/>
        </w:rPr>
      </w:pPr>
      <w:r>
        <w:rPr>
          <w:rFonts w:hint="cs"/>
          <w:sz w:val="20"/>
          <w:szCs w:val="20"/>
          <w:rtl/>
        </w:rPr>
        <w:t>[שפת אמת שם, ברש"י ד"ה לקרות]</w:t>
      </w:r>
    </w:p>
    <w:p w:rsidR="00C26E1A" w:rsidRDefault="00C26E1A" w:rsidP="00C26E1A">
      <w:pPr>
        <w:spacing w:before="200" w:line="276" w:lineRule="auto"/>
        <w:ind w:firstLine="266"/>
        <w:rPr>
          <w:sz w:val="24"/>
          <w:szCs w:val="24"/>
          <w:rtl/>
        </w:rPr>
      </w:pPr>
      <w:r>
        <w:rPr>
          <w:rFonts w:hint="cs"/>
          <w:sz w:val="24"/>
          <w:szCs w:val="24"/>
          <w:rtl/>
        </w:rPr>
        <w:t>ואכן, תוספות רבנו פרץ נוקט שחיוב הקריאה הוא מדרבנן מתקנת עזרא:</w:t>
      </w:r>
    </w:p>
    <w:p w:rsidR="00C26E1A" w:rsidRPr="009051D5" w:rsidRDefault="00C26E1A" w:rsidP="00C26E1A">
      <w:pPr>
        <w:spacing w:before="200" w:line="276" w:lineRule="auto"/>
        <w:ind w:firstLine="720"/>
        <w:rPr>
          <w:sz w:val="20"/>
          <w:szCs w:val="20"/>
          <w:rtl/>
        </w:rPr>
      </w:pPr>
      <w:r>
        <w:rPr>
          <w:rFonts w:hint="cs"/>
          <w:sz w:val="24"/>
          <w:szCs w:val="24"/>
          <w:rtl/>
        </w:rPr>
        <w:t>שאינה חובה לקרוא פרשה זו, דאין זו רק תקנת עזרא.</w:t>
      </w:r>
      <w:r>
        <w:rPr>
          <w:sz w:val="24"/>
          <w:szCs w:val="24"/>
          <w:rtl/>
        </w:rPr>
        <w:tab/>
      </w:r>
      <w:r>
        <w:rPr>
          <w:rFonts w:hint="cs"/>
          <w:sz w:val="24"/>
          <w:szCs w:val="24"/>
          <w:rtl/>
        </w:rPr>
        <w:t xml:space="preserve">  </w:t>
      </w:r>
      <w:r>
        <w:rPr>
          <w:rFonts w:hint="cs"/>
          <w:sz w:val="20"/>
          <w:szCs w:val="20"/>
          <w:rtl/>
        </w:rPr>
        <w:t>[תוס' רבנו פרץ סח: ד"ה ובעשור]</w:t>
      </w:r>
      <w:r w:rsidRPr="009051D5">
        <w:rPr>
          <w:rStyle w:val="a7"/>
          <w:sz w:val="24"/>
          <w:szCs w:val="24"/>
          <w:rtl/>
        </w:rPr>
        <w:footnoteReference w:id="170"/>
      </w:r>
    </w:p>
    <w:p w:rsidR="00C26E1A" w:rsidRDefault="00C26E1A" w:rsidP="00C26E1A">
      <w:pPr>
        <w:spacing w:before="200" w:line="276" w:lineRule="auto"/>
        <w:ind w:firstLine="266"/>
        <w:rPr>
          <w:sz w:val="24"/>
          <w:szCs w:val="24"/>
          <w:rtl/>
        </w:rPr>
      </w:pPr>
    </w:p>
    <w:p w:rsidR="00C26E1A" w:rsidRDefault="00C26E1A" w:rsidP="00C26E1A">
      <w:pPr>
        <w:spacing w:before="200" w:line="276" w:lineRule="auto"/>
        <w:ind w:firstLine="266"/>
        <w:rPr>
          <w:sz w:val="24"/>
          <w:szCs w:val="24"/>
          <w:rtl/>
        </w:rPr>
      </w:pPr>
      <w:r>
        <w:rPr>
          <w:rFonts w:hint="cs"/>
          <w:sz w:val="24"/>
          <w:szCs w:val="24"/>
          <w:rtl/>
        </w:rPr>
        <w:t xml:space="preserve">על פי השיטה שחיוב הקריאה הוא מדרבנן, נראה ברור שקיים נתק בין סדר העבודה לבין הקריאה בתורה </w:t>
      </w:r>
      <w:r>
        <w:rPr>
          <w:sz w:val="24"/>
          <w:szCs w:val="24"/>
          <w:rtl/>
        </w:rPr>
        <w:t>–</w:t>
      </w:r>
      <w:r>
        <w:rPr>
          <w:rFonts w:hint="cs"/>
          <w:sz w:val="24"/>
          <w:szCs w:val="24"/>
          <w:rtl/>
        </w:rPr>
        <w:t xml:space="preserve"> הכהן הגדול עושה את עבודות היום המחויבות עליו מן התורה, ובנוסף חכמים הטילו עליו חובה לקרוא בתורה את ענייני היום. לעומת זאת, לפי השיטה שחיוב הקריאה הוא מדאורייתא, יש להסתפק ביחס בין הקריאה בתורה לבין סדר העבודה: האם הקריאה היא חלק מסדר העבודה, או שהיא עניין עצמאי.</w:t>
      </w:r>
    </w:p>
    <w:p w:rsidR="00C26E1A" w:rsidRPr="00F57C59" w:rsidRDefault="00C26E1A" w:rsidP="00C26E1A">
      <w:pPr>
        <w:spacing w:before="200" w:line="276" w:lineRule="auto"/>
        <w:ind w:firstLine="266"/>
        <w:rPr>
          <w:color w:val="FF0000"/>
          <w:sz w:val="20"/>
          <w:szCs w:val="20"/>
          <w:rtl/>
        </w:rPr>
      </w:pPr>
      <w:r>
        <w:rPr>
          <w:rFonts w:hint="cs"/>
          <w:sz w:val="24"/>
          <w:szCs w:val="24"/>
          <w:rtl/>
        </w:rPr>
        <w:t xml:space="preserve">נראה שבעניין זה קיים הבדל בין שתי הדרשות דלעיל. לפי דרשתו של רש"י, "דילפינן ממלואים דאמרינן בפרק קמא: 'מניין שאף מקרא פרשה מעכב'", נראה שהקריאה מהווה חלק מסדר העבודה </w:t>
      </w:r>
      <w:r>
        <w:rPr>
          <w:sz w:val="24"/>
          <w:szCs w:val="24"/>
          <w:rtl/>
        </w:rPr>
        <w:t>–</w:t>
      </w:r>
      <w:r>
        <w:rPr>
          <w:rFonts w:hint="cs"/>
          <w:sz w:val="24"/>
          <w:szCs w:val="24"/>
          <w:rtl/>
        </w:rPr>
        <w:t xml:space="preserve"> לא די לעשות את מעשי העבודה הפיזיים, אלא יש להוסיף ולומר בפה את הפרשיות בתורה העוסקות בענייני יום הכיפורים, ורק בכך נשלם 'סדר העבודה'</w:t>
      </w:r>
      <w:r>
        <w:rPr>
          <w:rStyle w:val="a7"/>
          <w:sz w:val="24"/>
          <w:szCs w:val="24"/>
          <w:rtl/>
        </w:rPr>
        <w:footnoteReference w:id="171"/>
      </w:r>
      <w:r>
        <w:rPr>
          <w:rFonts w:hint="cs"/>
          <w:sz w:val="24"/>
          <w:szCs w:val="24"/>
          <w:rtl/>
        </w:rPr>
        <w:t xml:space="preserve">. </w:t>
      </w:r>
    </w:p>
    <w:p w:rsidR="00C26E1A" w:rsidRDefault="00C26E1A" w:rsidP="00C26E1A">
      <w:pPr>
        <w:spacing w:before="200" w:line="276" w:lineRule="auto"/>
        <w:ind w:firstLine="266"/>
        <w:rPr>
          <w:sz w:val="24"/>
          <w:szCs w:val="24"/>
          <w:rtl/>
        </w:rPr>
      </w:pPr>
      <w:r>
        <w:rPr>
          <w:rFonts w:hint="cs"/>
          <w:sz w:val="24"/>
          <w:szCs w:val="24"/>
          <w:rtl/>
        </w:rPr>
        <w:t>לעומת זאת, לפי דרשת הירושלמי, "</w:t>
      </w:r>
      <w:r w:rsidRPr="00D84EB6">
        <w:rPr>
          <w:sz w:val="24"/>
          <w:szCs w:val="24"/>
          <w:rtl/>
        </w:rPr>
        <w:t>כאשר צוה ה' את משה</w:t>
      </w:r>
      <w:r>
        <w:rPr>
          <w:rFonts w:hint="cs"/>
          <w:sz w:val="24"/>
          <w:szCs w:val="24"/>
          <w:rtl/>
        </w:rPr>
        <w:t xml:space="preserve"> </w:t>
      </w:r>
      <w:r>
        <w:rPr>
          <w:sz w:val="24"/>
          <w:szCs w:val="24"/>
          <w:rtl/>
        </w:rPr>
        <w:t>–</w:t>
      </w:r>
      <w:r w:rsidRPr="00D84EB6">
        <w:rPr>
          <w:sz w:val="24"/>
          <w:szCs w:val="24"/>
          <w:rtl/>
        </w:rPr>
        <w:t xml:space="preserve"> מיכן לקריאת הפרשה</w:t>
      </w:r>
      <w:r>
        <w:rPr>
          <w:rFonts w:hint="cs"/>
          <w:sz w:val="24"/>
          <w:szCs w:val="24"/>
          <w:rtl/>
        </w:rPr>
        <w:t>", ניתן להבין שזהו דין עצמאי. וכן עולה מדברי תוספות הרא"ש:</w:t>
      </w:r>
    </w:p>
    <w:p w:rsidR="00C26E1A" w:rsidRPr="00B60729" w:rsidRDefault="00C26E1A" w:rsidP="00C26E1A">
      <w:pPr>
        <w:spacing w:before="200" w:line="276" w:lineRule="auto"/>
        <w:ind w:left="720"/>
        <w:rPr>
          <w:sz w:val="20"/>
          <w:szCs w:val="20"/>
          <w:rtl/>
        </w:rPr>
      </w:pPr>
      <w:r w:rsidRPr="00F57C59">
        <w:rPr>
          <w:sz w:val="24"/>
          <w:szCs w:val="24"/>
          <w:rtl/>
        </w:rPr>
        <w:t xml:space="preserve">אחר שעשה עיקר עבודות של כפרת היום קורא בפרשה </w:t>
      </w:r>
      <w:r w:rsidRPr="00B60729">
        <w:rPr>
          <w:b/>
          <w:bCs/>
          <w:sz w:val="24"/>
          <w:szCs w:val="24"/>
          <w:rtl/>
        </w:rPr>
        <w:t>להודיע שעשה העבודות כסדר המקראות</w:t>
      </w:r>
      <w:r w:rsidRPr="00F57C59">
        <w:rPr>
          <w:sz w:val="24"/>
          <w:szCs w:val="24"/>
          <w:rtl/>
        </w:rPr>
        <w:t xml:space="preserve"> ומתפלל שתתקבל עבודתו ומברך על המחילה וכל סדר הברכות. ירושלמי</w:t>
      </w:r>
      <w:r>
        <w:rPr>
          <w:rFonts w:hint="cs"/>
          <w:sz w:val="24"/>
          <w:szCs w:val="24"/>
          <w:rtl/>
        </w:rPr>
        <w:t>,</w:t>
      </w:r>
      <w:r w:rsidRPr="00F57C59">
        <w:rPr>
          <w:sz w:val="24"/>
          <w:szCs w:val="24"/>
          <w:rtl/>
        </w:rPr>
        <w:t xml:space="preserve"> </w:t>
      </w:r>
      <w:r>
        <w:rPr>
          <w:rFonts w:hint="cs"/>
          <w:sz w:val="24"/>
          <w:szCs w:val="24"/>
          <w:rtl/>
        </w:rPr>
        <w:t>'</w:t>
      </w:r>
      <w:r w:rsidRPr="00F57C59">
        <w:rPr>
          <w:sz w:val="24"/>
          <w:szCs w:val="24"/>
          <w:rtl/>
        </w:rPr>
        <w:t>מנין למקרא פרשה</w:t>
      </w:r>
      <w:r>
        <w:rPr>
          <w:rFonts w:hint="cs"/>
          <w:sz w:val="24"/>
          <w:szCs w:val="24"/>
          <w:rtl/>
        </w:rPr>
        <w:t>?</w:t>
      </w:r>
      <w:r>
        <w:rPr>
          <w:sz w:val="24"/>
          <w:szCs w:val="24"/>
          <w:rtl/>
        </w:rPr>
        <w:t xml:space="preserve"> ר</w:t>
      </w:r>
      <w:r>
        <w:rPr>
          <w:rFonts w:hint="cs"/>
          <w:sz w:val="24"/>
          <w:szCs w:val="24"/>
          <w:rtl/>
        </w:rPr>
        <w:t>בי</w:t>
      </w:r>
      <w:r>
        <w:rPr>
          <w:sz w:val="24"/>
          <w:szCs w:val="24"/>
          <w:rtl/>
        </w:rPr>
        <w:t xml:space="preserve"> אידי בשם ר</w:t>
      </w:r>
      <w:r>
        <w:rPr>
          <w:rFonts w:hint="cs"/>
          <w:sz w:val="24"/>
          <w:szCs w:val="24"/>
          <w:rtl/>
        </w:rPr>
        <w:t>בי</w:t>
      </w:r>
      <w:r w:rsidRPr="00F57C59">
        <w:rPr>
          <w:sz w:val="24"/>
          <w:szCs w:val="24"/>
          <w:rtl/>
        </w:rPr>
        <w:t xml:space="preserve"> יוחנן</w:t>
      </w:r>
      <w:r>
        <w:rPr>
          <w:rFonts w:hint="cs"/>
          <w:sz w:val="24"/>
          <w:szCs w:val="24"/>
          <w:rtl/>
        </w:rPr>
        <w:t>:</w:t>
      </w:r>
      <w:r w:rsidRPr="00F57C59">
        <w:rPr>
          <w:sz w:val="24"/>
          <w:szCs w:val="24"/>
          <w:rtl/>
        </w:rPr>
        <w:t xml:space="preserve"> ויעש</w:t>
      </w:r>
      <w:r>
        <w:rPr>
          <w:rFonts w:hint="cs"/>
          <w:sz w:val="24"/>
          <w:szCs w:val="24"/>
          <w:rtl/>
        </w:rPr>
        <w:t>,</w:t>
      </w:r>
      <w:r w:rsidRPr="00F57C59">
        <w:rPr>
          <w:sz w:val="24"/>
          <w:szCs w:val="24"/>
          <w:rtl/>
        </w:rPr>
        <w:t xml:space="preserve"> מה ת</w:t>
      </w:r>
      <w:r>
        <w:rPr>
          <w:rFonts w:hint="cs"/>
          <w:sz w:val="24"/>
          <w:szCs w:val="24"/>
          <w:rtl/>
        </w:rPr>
        <w:t>למוד לומר</w:t>
      </w:r>
      <w:r w:rsidRPr="00F57C59">
        <w:rPr>
          <w:sz w:val="24"/>
          <w:szCs w:val="24"/>
          <w:rtl/>
        </w:rPr>
        <w:t xml:space="preserve"> ויעש כאשר צוה ה'</w:t>
      </w:r>
      <w:r>
        <w:rPr>
          <w:rFonts w:hint="cs"/>
          <w:sz w:val="24"/>
          <w:szCs w:val="24"/>
          <w:rtl/>
        </w:rPr>
        <w:t>?</w:t>
      </w:r>
      <w:r w:rsidRPr="00F57C59">
        <w:rPr>
          <w:sz w:val="24"/>
          <w:szCs w:val="24"/>
          <w:rtl/>
        </w:rPr>
        <w:t xml:space="preserve"> מכאן לקריאת הפרשה</w:t>
      </w:r>
      <w:r>
        <w:rPr>
          <w:rFonts w:hint="cs"/>
          <w:sz w:val="24"/>
          <w:szCs w:val="24"/>
          <w:rtl/>
        </w:rPr>
        <w:t>',</w:t>
      </w:r>
      <w:r>
        <w:rPr>
          <w:sz w:val="24"/>
          <w:szCs w:val="24"/>
          <w:rtl/>
        </w:rPr>
        <w:t xml:space="preserve"> פי</w:t>
      </w:r>
      <w:r>
        <w:rPr>
          <w:rFonts w:hint="cs"/>
          <w:sz w:val="24"/>
          <w:szCs w:val="24"/>
          <w:rtl/>
        </w:rPr>
        <w:t>רוש,</w:t>
      </w:r>
      <w:r w:rsidRPr="00F57C59">
        <w:rPr>
          <w:sz w:val="24"/>
          <w:szCs w:val="24"/>
          <w:rtl/>
        </w:rPr>
        <w:t xml:space="preserve"> </w:t>
      </w:r>
      <w:r w:rsidRPr="00B60729">
        <w:rPr>
          <w:b/>
          <w:bCs/>
          <w:sz w:val="24"/>
          <w:szCs w:val="24"/>
          <w:rtl/>
        </w:rPr>
        <w:t>להודיע שעשה כאשר צוה ה'</w:t>
      </w:r>
      <w:r w:rsidRPr="00F57C59">
        <w:rPr>
          <w:sz w:val="24"/>
          <w:szCs w:val="24"/>
          <w:rtl/>
        </w:rPr>
        <w:t>.</w:t>
      </w:r>
      <w:r>
        <w:rPr>
          <w:sz w:val="24"/>
          <w:szCs w:val="24"/>
          <w:rtl/>
        </w:rPr>
        <w:tab/>
      </w:r>
      <w:r>
        <w:rPr>
          <w:rFonts w:hint="cs"/>
          <w:sz w:val="24"/>
          <w:szCs w:val="24"/>
          <w:rtl/>
        </w:rPr>
        <w:t xml:space="preserve">       </w:t>
      </w:r>
      <w:r>
        <w:rPr>
          <w:rFonts w:hint="cs"/>
          <w:sz w:val="20"/>
          <w:szCs w:val="20"/>
          <w:rtl/>
        </w:rPr>
        <w:t>[תוס' הרא"ש סח: ד"ה בא לו]</w:t>
      </w:r>
    </w:p>
    <w:p w:rsidR="00C26E1A" w:rsidRDefault="00C26E1A" w:rsidP="00C26E1A">
      <w:pPr>
        <w:spacing w:before="200" w:line="276" w:lineRule="auto"/>
        <w:ind w:firstLine="266"/>
        <w:rPr>
          <w:sz w:val="24"/>
          <w:szCs w:val="24"/>
          <w:rtl/>
        </w:rPr>
      </w:pPr>
      <w:r>
        <w:rPr>
          <w:rFonts w:hint="cs"/>
          <w:sz w:val="24"/>
          <w:szCs w:val="24"/>
          <w:rtl/>
        </w:rPr>
        <w:t>לדבריו, הקריאה בתורה נעשית כדי "להודיע שעשה העבודות כסדר המקראות". לפי זה, הקריאה היא אינה חלק מ'סדר העבודה', אלא היא חובה נפרדת הקיימת לצידה.</w:t>
      </w:r>
    </w:p>
    <w:p w:rsidR="00C26E1A" w:rsidRDefault="00C26E1A" w:rsidP="00C26E1A">
      <w:pPr>
        <w:spacing w:before="200" w:line="276" w:lineRule="auto"/>
        <w:ind w:firstLine="266"/>
        <w:rPr>
          <w:sz w:val="24"/>
          <w:szCs w:val="24"/>
          <w:rtl/>
        </w:rPr>
      </w:pPr>
    </w:p>
    <w:p w:rsidR="00C26E1A" w:rsidRDefault="00C26E1A" w:rsidP="00C26E1A">
      <w:pPr>
        <w:spacing w:before="200" w:line="276" w:lineRule="auto"/>
        <w:ind w:firstLine="266"/>
        <w:rPr>
          <w:sz w:val="24"/>
          <w:szCs w:val="24"/>
          <w:rtl/>
        </w:rPr>
      </w:pPr>
      <w:r>
        <w:rPr>
          <w:rFonts w:hint="cs"/>
          <w:sz w:val="24"/>
          <w:szCs w:val="24"/>
          <w:rtl/>
        </w:rPr>
        <w:t>נפקא מינה בין הבנות אלו ביחס בין קריאת התורה לבין סדר העבודה, האם הקריאה מעכבת את סדר העבודה. מדברי רש"י, הלומד את חיוב הקריאה מהמילואים, נראה שהקריאה מעכבת את העבודה, אך ראשונים ואחרונים חלקו על כך:</w:t>
      </w:r>
    </w:p>
    <w:p w:rsidR="00C26E1A" w:rsidRPr="0046758F" w:rsidRDefault="00C26E1A" w:rsidP="00C26E1A">
      <w:pPr>
        <w:spacing w:before="200" w:line="276" w:lineRule="auto"/>
        <w:ind w:left="720"/>
        <w:rPr>
          <w:sz w:val="24"/>
          <w:szCs w:val="24"/>
          <w:rtl/>
        </w:rPr>
      </w:pPr>
      <w:r w:rsidRPr="0046758F">
        <w:rPr>
          <w:sz w:val="24"/>
          <w:szCs w:val="24"/>
          <w:rtl/>
        </w:rPr>
        <w:t>וקריאה זו יש אומרים שהיא מעכבת</w:t>
      </w:r>
      <w:r>
        <w:rPr>
          <w:rFonts w:hint="cs"/>
          <w:sz w:val="24"/>
          <w:szCs w:val="24"/>
          <w:rtl/>
        </w:rPr>
        <w:t>,</w:t>
      </w:r>
      <w:r w:rsidRPr="0046758F">
        <w:rPr>
          <w:sz w:val="24"/>
          <w:szCs w:val="24"/>
          <w:rtl/>
        </w:rPr>
        <w:t xml:space="preserve"> </w:t>
      </w:r>
      <w:r>
        <w:rPr>
          <w:sz w:val="24"/>
          <w:szCs w:val="24"/>
          <w:rtl/>
        </w:rPr>
        <w:t xml:space="preserve">וכעין מה שאמרו בפרק ראשון </w:t>
      </w:r>
      <w:r w:rsidRPr="0046758F">
        <w:rPr>
          <w:sz w:val="24"/>
          <w:szCs w:val="24"/>
          <w:rtl/>
        </w:rPr>
        <w:t>לענין פרשת מלואים</w:t>
      </w:r>
      <w:r>
        <w:rPr>
          <w:rFonts w:hint="cs"/>
          <w:sz w:val="24"/>
          <w:szCs w:val="24"/>
          <w:rtl/>
        </w:rPr>
        <w:t>,</w:t>
      </w:r>
      <w:r w:rsidRPr="0046758F">
        <w:rPr>
          <w:sz w:val="24"/>
          <w:szCs w:val="24"/>
          <w:rtl/>
        </w:rPr>
        <w:t xml:space="preserve"> שמקראה שנצטוה לספר הענין לישראל מעכבת</w:t>
      </w:r>
      <w:r>
        <w:rPr>
          <w:rFonts w:hint="cs"/>
          <w:sz w:val="24"/>
          <w:szCs w:val="24"/>
          <w:rtl/>
        </w:rPr>
        <w:t>.</w:t>
      </w:r>
      <w:r w:rsidRPr="0046758F">
        <w:rPr>
          <w:sz w:val="24"/>
          <w:szCs w:val="24"/>
          <w:rtl/>
        </w:rPr>
        <w:t xml:space="preserve"> וממה שאמרו כאן </w:t>
      </w:r>
      <w:r>
        <w:rPr>
          <w:rFonts w:hint="cs"/>
          <w:sz w:val="24"/>
          <w:szCs w:val="24"/>
          <w:rtl/>
        </w:rPr>
        <w:t>'</w:t>
      </w:r>
      <w:r w:rsidRPr="0046758F">
        <w:rPr>
          <w:sz w:val="24"/>
          <w:szCs w:val="24"/>
          <w:rtl/>
        </w:rPr>
        <w:t>שאני קריאה דצורך עבודה היא</w:t>
      </w:r>
      <w:r>
        <w:rPr>
          <w:rFonts w:hint="cs"/>
          <w:sz w:val="24"/>
          <w:szCs w:val="24"/>
          <w:rtl/>
        </w:rPr>
        <w:t>'</w:t>
      </w:r>
      <w:r w:rsidRPr="0046758F">
        <w:rPr>
          <w:sz w:val="24"/>
          <w:szCs w:val="24"/>
          <w:rtl/>
        </w:rPr>
        <w:t xml:space="preserve"> ומתוך כך הותרה בה לבישת בגדי כהונה</w:t>
      </w:r>
      <w:r>
        <w:rPr>
          <w:rFonts w:hint="cs"/>
          <w:sz w:val="24"/>
          <w:szCs w:val="24"/>
          <w:rtl/>
        </w:rPr>
        <w:t>,</w:t>
      </w:r>
      <w:r>
        <w:rPr>
          <w:sz w:val="24"/>
          <w:szCs w:val="24"/>
          <w:rtl/>
        </w:rPr>
        <w:t xml:space="preserve"> </w:t>
      </w:r>
      <w:r w:rsidRPr="0046758F">
        <w:rPr>
          <w:b/>
          <w:bCs/>
          <w:sz w:val="24"/>
          <w:szCs w:val="24"/>
          <w:rtl/>
        </w:rPr>
        <w:t>אין הדברים נראין לעכב</w:t>
      </w:r>
      <w:r>
        <w:rPr>
          <w:rFonts w:hint="cs"/>
          <w:sz w:val="24"/>
          <w:szCs w:val="24"/>
          <w:rtl/>
        </w:rPr>
        <w:t>,</w:t>
      </w:r>
      <w:r w:rsidRPr="0046758F">
        <w:rPr>
          <w:sz w:val="24"/>
          <w:szCs w:val="24"/>
          <w:rtl/>
        </w:rPr>
        <w:t xml:space="preserve"> אלא שסדר הענין היה כן</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[מאירי סח: ד"ה אמר המאירי]</w:t>
      </w:r>
    </w:p>
    <w:p w:rsidR="00C26E1A" w:rsidRDefault="00C26E1A" w:rsidP="00C26E1A">
      <w:pPr>
        <w:spacing w:before="200" w:line="276" w:lineRule="auto"/>
        <w:ind w:left="720"/>
        <w:rPr>
          <w:sz w:val="20"/>
          <w:szCs w:val="20"/>
          <w:rtl/>
        </w:rPr>
      </w:pPr>
      <w:r w:rsidRPr="0046758F">
        <w:rPr>
          <w:sz w:val="24"/>
          <w:szCs w:val="24"/>
          <w:rtl/>
        </w:rPr>
        <w:lastRenderedPageBreak/>
        <w:t>פירש רש"י דילפינן ממילואים</w:t>
      </w:r>
      <w:r>
        <w:rPr>
          <w:rFonts w:hint="cs"/>
          <w:sz w:val="24"/>
          <w:szCs w:val="24"/>
          <w:rtl/>
        </w:rPr>
        <w:t>,</w:t>
      </w:r>
      <w:r w:rsidRPr="0046758F">
        <w:rPr>
          <w:sz w:val="24"/>
          <w:szCs w:val="24"/>
          <w:rtl/>
        </w:rPr>
        <w:t xml:space="preserve"> דאמרינן בפרק קמא </w:t>
      </w:r>
      <w:r>
        <w:rPr>
          <w:rFonts w:hint="cs"/>
          <w:sz w:val="24"/>
          <w:szCs w:val="24"/>
          <w:rtl/>
        </w:rPr>
        <w:t>'</w:t>
      </w:r>
      <w:r w:rsidRPr="0046758F">
        <w:rPr>
          <w:sz w:val="24"/>
          <w:szCs w:val="24"/>
          <w:rtl/>
        </w:rPr>
        <w:t>מנין שאף מקרא פרשה מעכב</w:t>
      </w:r>
      <w:r>
        <w:rPr>
          <w:rFonts w:hint="cs"/>
          <w:sz w:val="24"/>
          <w:szCs w:val="24"/>
          <w:rtl/>
        </w:rPr>
        <w:t>'...</w:t>
      </w:r>
      <w:r w:rsidRPr="0046758F">
        <w:rPr>
          <w:sz w:val="24"/>
          <w:szCs w:val="24"/>
          <w:rtl/>
        </w:rPr>
        <w:t xml:space="preserve"> ועוד קשה לי</w:t>
      </w:r>
      <w:r>
        <w:rPr>
          <w:rFonts w:hint="cs"/>
          <w:sz w:val="24"/>
          <w:szCs w:val="24"/>
          <w:rtl/>
        </w:rPr>
        <w:t>,</w:t>
      </w:r>
      <w:r w:rsidRPr="0046758F">
        <w:rPr>
          <w:sz w:val="24"/>
          <w:szCs w:val="24"/>
          <w:rtl/>
        </w:rPr>
        <w:t xml:space="preserve"> דאם כן יהא מקרא מעכב ביום הכיפורים כמו במילואים</w:t>
      </w:r>
      <w:r>
        <w:rPr>
          <w:rFonts w:hint="cs"/>
          <w:sz w:val="24"/>
          <w:szCs w:val="24"/>
          <w:rtl/>
        </w:rPr>
        <w:t>,</w:t>
      </w:r>
      <w:r w:rsidRPr="0046758F">
        <w:rPr>
          <w:sz w:val="24"/>
          <w:szCs w:val="24"/>
          <w:rtl/>
        </w:rPr>
        <w:t xml:space="preserve"> </w:t>
      </w:r>
      <w:r w:rsidRPr="00955603">
        <w:rPr>
          <w:b/>
          <w:bCs/>
          <w:sz w:val="24"/>
          <w:szCs w:val="24"/>
          <w:rtl/>
        </w:rPr>
        <w:t>ולא מצינו שתעכב</w:t>
      </w:r>
      <w:r>
        <w:rPr>
          <w:rFonts w:hint="cs"/>
          <w:sz w:val="24"/>
          <w:szCs w:val="24"/>
          <w:rtl/>
        </w:rPr>
        <w:t xml:space="preserve">. </w:t>
      </w:r>
    </w:p>
    <w:p w:rsidR="00C26E1A" w:rsidRPr="00955603" w:rsidRDefault="00C26E1A" w:rsidP="00C26E1A">
      <w:pPr>
        <w:spacing w:before="200" w:line="276" w:lineRule="auto"/>
        <w:ind w:left="720"/>
        <w:jc w:val="right"/>
        <w:rPr>
          <w:sz w:val="20"/>
          <w:szCs w:val="20"/>
          <w:rtl/>
        </w:rPr>
      </w:pPr>
      <w:r>
        <w:rPr>
          <w:rFonts w:hint="cs"/>
          <w:sz w:val="20"/>
          <w:szCs w:val="20"/>
          <w:rtl/>
        </w:rPr>
        <w:t>[גבורת ארי סח: ד"ה בא לו]</w:t>
      </w:r>
    </w:p>
    <w:p w:rsidR="00C26E1A" w:rsidRDefault="00C26E1A" w:rsidP="00C26E1A">
      <w:pPr>
        <w:spacing w:before="200" w:line="276" w:lineRule="auto"/>
        <w:ind w:firstLine="266"/>
        <w:rPr>
          <w:sz w:val="24"/>
          <w:szCs w:val="24"/>
          <w:rtl/>
        </w:rPr>
      </w:pPr>
    </w:p>
    <w:p w:rsidR="00C26E1A" w:rsidRDefault="00C26E1A" w:rsidP="00C26E1A">
      <w:pPr>
        <w:spacing w:before="200" w:line="276" w:lineRule="auto"/>
        <w:ind w:firstLine="266"/>
        <w:rPr>
          <w:sz w:val="24"/>
          <w:szCs w:val="24"/>
          <w:rtl/>
        </w:rPr>
      </w:pPr>
      <w:r>
        <w:rPr>
          <w:rFonts w:hint="cs"/>
          <w:sz w:val="24"/>
          <w:szCs w:val="24"/>
          <w:rtl/>
        </w:rPr>
        <w:t>ההבנות השונות בגדר מצות הקריאה בתורה, משליכות על שאלה נוספת: האם קריאה זו היא חובת הכהן הגדול או חובת הציבור. לפי ההבנה שזהו חלק מסדר העבודה, נראה שזוהי חובת הכהן הגדול. לעומת זאת, אם זהו חיוב עצמאי, ייתכן שזו חובת הציבור, בדומה לשאר הקריאות בתורה</w:t>
      </w:r>
      <w:r>
        <w:rPr>
          <w:rStyle w:val="a7"/>
          <w:sz w:val="24"/>
          <w:szCs w:val="24"/>
          <w:rtl/>
        </w:rPr>
        <w:footnoteReference w:id="172"/>
      </w:r>
      <w:r>
        <w:rPr>
          <w:rFonts w:hint="cs"/>
          <w:sz w:val="24"/>
          <w:szCs w:val="24"/>
          <w:rtl/>
        </w:rPr>
        <w:t xml:space="preserve">. </w:t>
      </w:r>
    </w:p>
    <w:p w:rsidR="00C26E1A" w:rsidRDefault="00C26E1A" w:rsidP="00C26E1A">
      <w:pPr>
        <w:spacing w:before="200" w:line="276" w:lineRule="auto"/>
        <w:ind w:firstLine="266"/>
        <w:rPr>
          <w:sz w:val="24"/>
          <w:szCs w:val="24"/>
          <w:rtl/>
        </w:rPr>
      </w:pPr>
      <w:r>
        <w:rPr>
          <w:rFonts w:hint="cs"/>
          <w:sz w:val="24"/>
          <w:szCs w:val="24"/>
          <w:rtl/>
        </w:rPr>
        <w:t>מדברי הראשונים עולה מחלוקת בעניין זה. התוספות ישנים כותבים כי מותר לכהן גדול לקרוא את פרשת "אך בעשור" על פה, על אף איסור "דברים שבכתב אי אתה רשאי לאומרם בעל פה", הואיל וזהו "סדרו של יום":</w:t>
      </w:r>
    </w:p>
    <w:p w:rsidR="00C26E1A" w:rsidRDefault="00C26E1A" w:rsidP="00C26E1A">
      <w:pPr>
        <w:spacing w:before="200" w:line="276" w:lineRule="auto"/>
        <w:ind w:left="720"/>
        <w:rPr>
          <w:sz w:val="24"/>
          <w:szCs w:val="24"/>
          <w:rtl/>
        </w:rPr>
      </w:pPr>
      <w:r>
        <w:rPr>
          <w:sz w:val="24"/>
          <w:szCs w:val="24"/>
          <w:rtl/>
        </w:rPr>
        <w:t>וריב"א פי</w:t>
      </w:r>
      <w:r>
        <w:rPr>
          <w:rFonts w:hint="cs"/>
          <w:sz w:val="24"/>
          <w:szCs w:val="24"/>
          <w:rtl/>
        </w:rPr>
        <w:t xml:space="preserve">רש </w:t>
      </w:r>
      <w:r w:rsidRPr="003E569A">
        <w:rPr>
          <w:sz w:val="24"/>
          <w:szCs w:val="24"/>
          <w:rtl/>
        </w:rPr>
        <w:t>ואמר</w:t>
      </w:r>
      <w:r>
        <w:rPr>
          <w:rFonts w:hint="cs"/>
          <w:sz w:val="24"/>
          <w:szCs w:val="24"/>
          <w:rtl/>
        </w:rPr>
        <w:t>,</w:t>
      </w:r>
      <w:r w:rsidRPr="003E569A">
        <w:rPr>
          <w:sz w:val="24"/>
          <w:szCs w:val="24"/>
          <w:rtl/>
        </w:rPr>
        <w:t xml:space="preserve"> הואיל ואינו מגיד אלא עבודת היום יכול לקרות בעל פה</w:t>
      </w:r>
      <w:r>
        <w:rPr>
          <w:rFonts w:hint="cs"/>
          <w:sz w:val="24"/>
          <w:szCs w:val="24"/>
          <w:rtl/>
        </w:rPr>
        <w:t>,</w:t>
      </w:r>
      <w:r w:rsidRPr="003E569A">
        <w:rPr>
          <w:sz w:val="24"/>
          <w:szCs w:val="24"/>
          <w:rtl/>
        </w:rPr>
        <w:t xml:space="preserve"> כעין תפלת המוספין שאנו קורין בעל פה</w:t>
      </w:r>
      <w:r>
        <w:rPr>
          <w:rFonts w:hint="cs"/>
          <w:sz w:val="24"/>
          <w:szCs w:val="24"/>
          <w:rtl/>
        </w:rPr>
        <w:t>.</w:t>
      </w:r>
      <w:r w:rsidRPr="003E569A">
        <w:rPr>
          <w:sz w:val="24"/>
          <w:szCs w:val="24"/>
          <w:rtl/>
        </w:rPr>
        <w:t xml:space="preserve"> ומביא ראיה מן הירושלמי</w:t>
      </w:r>
      <w:r>
        <w:rPr>
          <w:rFonts w:hint="cs"/>
          <w:sz w:val="24"/>
          <w:szCs w:val="24"/>
          <w:rtl/>
        </w:rPr>
        <w:t>,</w:t>
      </w:r>
      <w:r w:rsidRPr="003E569A">
        <w:rPr>
          <w:sz w:val="24"/>
          <w:szCs w:val="24"/>
          <w:rtl/>
        </w:rPr>
        <w:t xml:space="preserve"> דקאמר התם במכילתין</w:t>
      </w:r>
      <w:r>
        <w:rPr>
          <w:rFonts w:hint="cs"/>
          <w:sz w:val="24"/>
          <w:szCs w:val="24"/>
          <w:rtl/>
        </w:rPr>
        <w:t>:</w:t>
      </w:r>
      <w:r w:rsidRPr="003E569A">
        <w:rPr>
          <w:sz w:val="24"/>
          <w:szCs w:val="24"/>
          <w:rtl/>
        </w:rPr>
        <w:t xml:space="preserve"> </w:t>
      </w:r>
      <w:r>
        <w:rPr>
          <w:rFonts w:hint="cs"/>
          <w:sz w:val="24"/>
          <w:szCs w:val="24"/>
          <w:rtl/>
        </w:rPr>
        <w:t>'</w:t>
      </w:r>
      <w:r w:rsidRPr="003E569A">
        <w:rPr>
          <w:sz w:val="24"/>
          <w:szCs w:val="24"/>
          <w:rtl/>
        </w:rPr>
        <w:t>אין גוללין ספר תורה ברבים כו'</w:t>
      </w:r>
      <w:r>
        <w:rPr>
          <w:rFonts w:hint="cs"/>
          <w:sz w:val="24"/>
          <w:szCs w:val="24"/>
          <w:rtl/>
        </w:rPr>
        <w:t>,</w:t>
      </w:r>
      <w:r w:rsidRPr="003E569A">
        <w:rPr>
          <w:sz w:val="24"/>
          <w:szCs w:val="24"/>
          <w:rtl/>
        </w:rPr>
        <w:t xml:space="preserve"> והתניא קורין אחרי מות ואך בעשור כו'</w:t>
      </w:r>
      <w:r>
        <w:rPr>
          <w:rFonts w:hint="cs"/>
          <w:sz w:val="24"/>
          <w:szCs w:val="24"/>
          <w:rtl/>
        </w:rPr>
        <w:t>.</w:t>
      </w:r>
      <w:r w:rsidRPr="003E569A">
        <w:rPr>
          <w:sz w:val="24"/>
          <w:szCs w:val="24"/>
          <w:rtl/>
        </w:rPr>
        <w:t xml:space="preserve"> שנייא היא שהיא סידרו של יום</w:t>
      </w:r>
      <w:r>
        <w:rPr>
          <w:rFonts w:hint="cs"/>
          <w:sz w:val="24"/>
          <w:szCs w:val="24"/>
          <w:rtl/>
        </w:rPr>
        <w:t>,</w:t>
      </w:r>
      <w:r w:rsidRPr="003E569A">
        <w:rPr>
          <w:sz w:val="24"/>
          <w:szCs w:val="24"/>
          <w:rtl/>
        </w:rPr>
        <w:t xml:space="preserve"> תדע דאמר ריש לקיש בכל אתר אסור לקרות בעל פה וכאן קורין בעל פה</w:t>
      </w:r>
      <w:r>
        <w:rPr>
          <w:rFonts w:hint="cs"/>
          <w:sz w:val="24"/>
          <w:szCs w:val="24"/>
          <w:rtl/>
        </w:rPr>
        <w:t>'.</w:t>
      </w:r>
      <w:r w:rsidRPr="003E569A">
        <w:rPr>
          <w:sz w:val="24"/>
          <w:szCs w:val="24"/>
          <w:rtl/>
        </w:rPr>
        <w:t xml:space="preserve"> </w:t>
      </w:r>
    </w:p>
    <w:p w:rsidR="00C26E1A" w:rsidRPr="003E569A" w:rsidRDefault="00C26E1A" w:rsidP="00C26E1A">
      <w:pPr>
        <w:spacing w:before="200" w:line="276" w:lineRule="auto"/>
        <w:ind w:left="720"/>
        <w:jc w:val="right"/>
        <w:rPr>
          <w:sz w:val="20"/>
          <w:szCs w:val="20"/>
          <w:rtl/>
        </w:rPr>
      </w:pPr>
      <w:r>
        <w:rPr>
          <w:rFonts w:hint="cs"/>
          <w:sz w:val="20"/>
          <w:szCs w:val="20"/>
          <w:rtl/>
        </w:rPr>
        <w:t>[תוס' ישנים ע. ד"ה ובעשור]</w:t>
      </w:r>
    </w:p>
    <w:p w:rsidR="00C26E1A" w:rsidRDefault="00C26E1A" w:rsidP="00C26E1A">
      <w:pPr>
        <w:spacing w:before="200" w:line="276" w:lineRule="auto"/>
        <w:ind w:firstLine="227"/>
        <w:rPr>
          <w:sz w:val="24"/>
          <w:szCs w:val="24"/>
          <w:rtl/>
        </w:rPr>
      </w:pPr>
      <w:r>
        <w:rPr>
          <w:rFonts w:hint="cs"/>
          <w:sz w:val="24"/>
          <w:szCs w:val="24"/>
          <w:rtl/>
        </w:rPr>
        <w:t>תוספות ישנים ממשיכים וכותבים:</w:t>
      </w:r>
    </w:p>
    <w:p w:rsidR="00C26E1A" w:rsidRDefault="00C26E1A" w:rsidP="00C26E1A">
      <w:pPr>
        <w:spacing w:before="200" w:line="276" w:lineRule="auto"/>
        <w:ind w:left="720"/>
        <w:rPr>
          <w:sz w:val="24"/>
          <w:szCs w:val="24"/>
          <w:rtl/>
        </w:rPr>
      </w:pPr>
      <w:r w:rsidRPr="003E569A">
        <w:rPr>
          <w:sz w:val="24"/>
          <w:szCs w:val="24"/>
          <w:rtl/>
        </w:rPr>
        <w:t>אך קשה לרבי על פרשת קרבנות שאנו אומרים בכל יום בעל פה ואינו סידרו של יום</w:t>
      </w:r>
      <w:r>
        <w:rPr>
          <w:rFonts w:hint="cs"/>
          <w:sz w:val="24"/>
          <w:szCs w:val="24"/>
          <w:rtl/>
        </w:rPr>
        <w:t>.</w:t>
      </w:r>
      <w:r w:rsidRPr="003E569A">
        <w:rPr>
          <w:sz w:val="24"/>
          <w:szCs w:val="24"/>
          <w:rtl/>
        </w:rPr>
        <w:t xml:space="preserve"> ואומר רבי</w:t>
      </w:r>
      <w:r>
        <w:rPr>
          <w:rFonts w:hint="cs"/>
          <w:sz w:val="24"/>
          <w:szCs w:val="24"/>
          <w:rtl/>
        </w:rPr>
        <w:t>,</w:t>
      </w:r>
      <w:r w:rsidRPr="003E569A">
        <w:rPr>
          <w:sz w:val="24"/>
          <w:szCs w:val="24"/>
          <w:rtl/>
        </w:rPr>
        <w:t xml:space="preserve"> דהיינו טעמא</w:t>
      </w:r>
      <w:r>
        <w:rPr>
          <w:rFonts w:hint="cs"/>
          <w:sz w:val="24"/>
          <w:szCs w:val="24"/>
          <w:rtl/>
        </w:rPr>
        <w:t>,</w:t>
      </w:r>
      <w:r w:rsidRPr="003E569A">
        <w:rPr>
          <w:sz w:val="24"/>
          <w:szCs w:val="24"/>
          <w:rtl/>
        </w:rPr>
        <w:t xml:space="preserve"> שאינו מוציא רבים ידי חובתן</w:t>
      </w:r>
      <w:r>
        <w:rPr>
          <w:rFonts w:hint="cs"/>
          <w:sz w:val="24"/>
          <w:szCs w:val="24"/>
          <w:rtl/>
        </w:rPr>
        <w:t>,</w:t>
      </w:r>
      <w:r w:rsidRPr="003E569A">
        <w:rPr>
          <w:sz w:val="24"/>
          <w:szCs w:val="24"/>
          <w:rtl/>
        </w:rPr>
        <w:t xml:space="preserve"> אבל אם היה להוציא רבים ידי חובתן היה אסור כיון שאינו סידרו של יום</w:t>
      </w:r>
      <w:r>
        <w:rPr>
          <w:rFonts w:hint="cs"/>
          <w:sz w:val="24"/>
          <w:szCs w:val="24"/>
          <w:rtl/>
        </w:rPr>
        <w:t>.</w:t>
      </w:r>
      <w:r>
        <w:rPr>
          <w:sz w:val="20"/>
          <w:szCs w:val="20"/>
          <w:rtl/>
        </w:rPr>
        <w:tab/>
      </w:r>
      <w:r>
        <w:rPr>
          <w:sz w:val="20"/>
          <w:szCs w:val="20"/>
          <w:rtl/>
        </w:rPr>
        <w:tab/>
      </w:r>
      <w:r>
        <w:rPr>
          <w:sz w:val="20"/>
          <w:szCs w:val="20"/>
          <w:rtl/>
        </w:rPr>
        <w:tab/>
      </w:r>
      <w:r>
        <w:rPr>
          <w:sz w:val="20"/>
          <w:szCs w:val="20"/>
          <w:rtl/>
        </w:rPr>
        <w:tab/>
      </w:r>
      <w:r>
        <w:rPr>
          <w:sz w:val="20"/>
          <w:szCs w:val="20"/>
          <w:rtl/>
        </w:rPr>
        <w:tab/>
      </w:r>
      <w:r>
        <w:rPr>
          <w:sz w:val="20"/>
          <w:szCs w:val="20"/>
          <w:rtl/>
        </w:rPr>
        <w:tab/>
      </w:r>
      <w:r>
        <w:rPr>
          <w:rFonts w:hint="cs"/>
          <w:sz w:val="20"/>
          <w:szCs w:val="20"/>
          <w:rtl/>
        </w:rPr>
        <w:t>[שם]</w:t>
      </w:r>
    </w:p>
    <w:p w:rsidR="00C26E1A" w:rsidRDefault="00C26E1A" w:rsidP="00C26E1A">
      <w:pPr>
        <w:spacing w:before="200" w:line="276" w:lineRule="auto"/>
        <w:ind w:firstLine="227"/>
        <w:rPr>
          <w:sz w:val="24"/>
          <w:szCs w:val="24"/>
          <w:rtl/>
        </w:rPr>
      </w:pPr>
      <w:r>
        <w:rPr>
          <w:rFonts w:hint="cs"/>
          <w:sz w:val="24"/>
          <w:szCs w:val="24"/>
          <w:rtl/>
        </w:rPr>
        <w:t>תוספות ישנים כותבים שאיסור "דברים שבכתב אי אתה רשאי לאומרן בעל פה" אמור רק בקריאה להוציא את הרבים ידי חובתן. לפי זה, מכך שתוספות ישנים נזקקים לבאר מדוע הותר לכהן הגדול לקרוא על פה, מוכח שלשיטתם קריאה זו נעשית כדי להוציא את הרבים ידי חובתן. ואם כן, להבנתם הקריאה אינה חובת הכהן הגדול אלא חובת הציבור</w:t>
      </w:r>
      <w:r>
        <w:rPr>
          <w:rStyle w:val="a7"/>
          <w:sz w:val="24"/>
          <w:szCs w:val="24"/>
          <w:rtl/>
        </w:rPr>
        <w:footnoteReference w:id="173"/>
      </w:r>
      <w:r>
        <w:rPr>
          <w:rFonts w:hint="cs"/>
          <w:sz w:val="24"/>
          <w:szCs w:val="24"/>
          <w:rtl/>
        </w:rPr>
        <w:t>.</w:t>
      </w:r>
    </w:p>
    <w:p w:rsidR="00C26E1A" w:rsidRDefault="00C26E1A" w:rsidP="00C26E1A">
      <w:pPr>
        <w:spacing w:before="200" w:line="276" w:lineRule="auto"/>
        <w:ind w:firstLine="227"/>
        <w:rPr>
          <w:sz w:val="24"/>
          <w:szCs w:val="24"/>
          <w:rtl/>
        </w:rPr>
      </w:pPr>
      <w:r>
        <w:rPr>
          <w:rFonts w:hint="cs"/>
          <w:sz w:val="24"/>
          <w:szCs w:val="24"/>
          <w:rtl/>
        </w:rPr>
        <w:t>לעומתם, המאירי כותב בטעם היתר קריאת פרשיית "אך בעשור" על פה:</w:t>
      </w:r>
    </w:p>
    <w:p w:rsidR="00C26E1A" w:rsidRDefault="00C26E1A" w:rsidP="00C26E1A">
      <w:pPr>
        <w:spacing w:before="200" w:line="276" w:lineRule="auto"/>
        <w:ind w:firstLine="720"/>
        <w:rPr>
          <w:sz w:val="24"/>
          <w:szCs w:val="24"/>
          <w:rtl/>
        </w:rPr>
      </w:pPr>
      <w:r w:rsidRPr="00F91C26">
        <w:rPr>
          <w:sz w:val="24"/>
          <w:szCs w:val="24"/>
          <w:rtl/>
        </w:rPr>
        <w:t xml:space="preserve">ואף על פי שכהן גדול קורא </w:t>
      </w:r>
      <w:r>
        <w:rPr>
          <w:rFonts w:hint="cs"/>
          <w:sz w:val="24"/>
          <w:szCs w:val="24"/>
          <w:rtl/>
        </w:rPr>
        <w:t>'</w:t>
      </w:r>
      <w:r w:rsidRPr="00F91C26">
        <w:rPr>
          <w:sz w:val="24"/>
          <w:szCs w:val="24"/>
          <w:rtl/>
        </w:rPr>
        <w:t>אך בעשור</w:t>
      </w:r>
      <w:r>
        <w:rPr>
          <w:rFonts w:hint="cs"/>
          <w:sz w:val="24"/>
          <w:szCs w:val="24"/>
          <w:rtl/>
        </w:rPr>
        <w:t>'</w:t>
      </w:r>
      <w:r w:rsidRPr="00F91C26">
        <w:rPr>
          <w:sz w:val="24"/>
          <w:szCs w:val="24"/>
          <w:rtl/>
        </w:rPr>
        <w:t xml:space="preserve"> ביום הכפרים על פה</w:t>
      </w:r>
      <w:r>
        <w:rPr>
          <w:rFonts w:hint="cs"/>
          <w:sz w:val="24"/>
          <w:szCs w:val="24"/>
          <w:rtl/>
        </w:rPr>
        <w:t>,</w:t>
      </w:r>
      <w:r w:rsidRPr="00F91C26">
        <w:rPr>
          <w:sz w:val="24"/>
          <w:szCs w:val="24"/>
          <w:rtl/>
        </w:rPr>
        <w:t xml:space="preserve"> זו אין הצבור מצווין בכך</w:t>
      </w:r>
      <w:r>
        <w:rPr>
          <w:rFonts w:hint="cs"/>
          <w:sz w:val="24"/>
          <w:szCs w:val="24"/>
          <w:rtl/>
        </w:rPr>
        <w:t>.</w:t>
      </w:r>
    </w:p>
    <w:p w:rsidR="00C26E1A" w:rsidRDefault="00C26E1A" w:rsidP="00C26E1A">
      <w:pPr>
        <w:spacing w:before="200" w:line="276" w:lineRule="auto"/>
        <w:ind w:firstLine="720"/>
        <w:jc w:val="right"/>
        <w:rPr>
          <w:sz w:val="20"/>
          <w:szCs w:val="20"/>
          <w:rtl/>
        </w:rPr>
      </w:pPr>
      <w:r>
        <w:rPr>
          <w:rFonts w:hint="cs"/>
          <w:sz w:val="20"/>
          <w:szCs w:val="20"/>
          <w:rtl/>
        </w:rPr>
        <w:t>[מאירי תענית כו: ד"ה הגיע]</w:t>
      </w:r>
    </w:p>
    <w:p w:rsidR="00C26E1A" w:rsidRDefault="00C26E1A" w:rsidP="00C26E1A">
      <w:pPr>
        <w:spacing w:before="200" w:line="276" w:lineRule="auto"/>
        <w:ind w:firstLine="266"/>
        <w:rPr>
          <w:sz w:val="24"/>
          <w:szCs w:val="24"/>
          <w:rtl/>
        </w:rPr>
      </w:pPr>
      <w:r>
        <w:rPr>
          <w:rFonts w:hint="cs"/>
          <w:sz w:val="24"/>
          <w:szCs w:val="24"/>
          <w:rtl/>
        </w:rPr>
        <w:t>לדבריהם, ההיתר הוא משום שקריאה זו אינה חובת הציבור</w:t>
      </w:r>
      <w:r>
        <w:rPr>
          <w:rStyle w:val="a7"/>
          <w:sz w:val="24"/>
          <w:szCs w:val="24"/>
          <w:rtl/>
        </w:rPr>
        <w:footnoteReference w:id="174"/>
      </w:r>
      <w:r>
        <w:rPr>
          <w:rFonts w:hint="cs"/>
          <w:sz w:val="24"/>
          <w:szCs w:val="24"/>
          <w:rtl/>
        </w:rPr>
        <w:t xml:space="preserve">. </w:t>
      </w:r>
    </w:p>
    <w:p w:rsidR="00C26E1A" w:rsidRDefault="00C26E1A" w:rsidP="00C26E1A">
      <w:pPr>
        <w:spacing w:before="200" w:line="276" w:lineRule="auto"/>
        <w:ind w:firstLine="266"/>
        <w:rPr>
          <w:sz w:val="24"/>
          <w:szCs w:val="24"/>
          <w:rtl/>
        </w:rPr>
      </w:pPr>
      <w:r>
        <w:rPr>
          <w:rFonts w:hint="cs"/>
          <w:sz w:val="24"/>
          <w:szCs w:val="24"/>
          <w:rtl/>
        </w:rPr>
        <w:t>הגבורת ארי נוקט כהבנה זו, שהקריאה אינה חובת הציבור אלא חובת הכהן הגדול</w:t>
      </w:r>
      <w:r>
        <w:rPr>
          <w:rStyle w:val="a7"/>
          <w:sz w:val="24"/>
          <w:szCs w:val="24"/>
          <w:rtl/>
        </w:rPr>
        <w:footnoteReference w:id="175"/>
      </w:r>
      <w:r>
        <w:rPr>
          <w:rFonts w:hint="cs"/>
          <w:sz w:val="24"/>
          <w:szCs w:val="24"/>
          <w:rtl/>
        </w:rPr>
        <w:t>, ועל פיה הוא מבאר מדוע, להבנתו, הכהן הגדול לא היה מברך ברכת התורה לפני הקריאה:</w:t>
      </w:r>
    </w:p>
    <w:p w:rsidR="00C26E1A" w:rsidRPr="00B62CEB" w:rsidRDefault="00C26E1A" w:rsidP="00C26E1A">
      <w:pPr>
        <w:spacing w:before="200" w:line="276" w:lineRule="auto"/>
        <w:ind w:left="720"/>
        <w:rPr>
          <w:sz w:val="20"/>
          <w:szCs w:val="20"/>
          <w:rtl/>
        </w:rPr>
      </w:pPr>
      <w:r w:rsidRPr="00955603">
        <w:rPr>
          <w:sz w:val="24"/>
          <w:szCs w:val="24"/>
          <w:rtl/>
        </w:rPr>
        <w:t>קשה לי</w:t>
      </w:r>
      <w:r>
        <w:rPr>
          <w:rFonts w:hint="cs"/>
          <w:sz w:val="24"/>
          <w:szCs w:val="24"/>
          <w:rtl/>
        </w:rPr>
        <w:t>,</w:t>
      </w:r>
      <w:r w:rsidRPr="00955603">
        <w:rPr>
          <w:sz w:val="24"/>
          <w:szCs w:val="24"/>
          <w:rtl/>
        </w:rPr>
        <w:t xml:space="preserve"> מדלא קאמר </w:t>
      </w:r>
      <w:r>
        <w:rPr>
          <w:rFonts w:hint="cs"/>
          <w:sz w:val="24"/>
          <w:szCs w:val="24"/>
          <w:rtl/>
        </w:rPr>
        <w:t>'</w:t>
      </w:r>
      <w:r w:rsidRPr="00955603">
        <w:rPr>
          <w:sz w:val="24"/>
          <w:szCs w:val="24"/>
          <w:rtl/>
        </w:rPr>
        <w:t>וכהן גדול עומד ומקבל ומברך על התורה לפניה</w:t>
      </w:r>
      <w:r>
        <w:rPr>
          <w:rFonts w:hint="cs"/>
          <w:sz w:val="24"/>
          <w:szCs w:val="24"/>
          <w:rtl/>
        </w:rPr>
        <w:t>'</w:t>
      </w:r>
      <w:r w:rsidRPr="00955603">
        <w:rPr>
          <w:sz w:val="24"/>
          <w:szCs w:val="24"/>
          <w:rtl/>
        </w:rPr>
        <w:t xml:space="preserve"> כדרך דתני דמברך לאחריה על התורה</w:t>
      </w:r>
      <w:r>
        <w:rPr>
          <w:rFonts w:hint="cs"/>
          <w:sz w:val="24"/>
          <w:szCs w:val="24"/>
          <w:rtl/>
        </w:rPr>
        <w:t>,</w:t>
      </w:r>
      <w:r w:rsidRPr="00955603">
        <w:rPr>
          <w:sz w:val="24"/>
          <w:szCs w:val="24"/>
          <w:rtl/>
        </w:rPr>
        <w:t xml:space="preserve"> אלמא אין צריך לברך ברכת התורה לפניה</w:t>
      </w:r>
      <w:r>
        <w:rPr>
          <w:rFonts w:hint="cs"/>
          <w:sz w:val="24"/>
          <w:szCs w:val="24"/>
          <w:rtl/>
        </w:rPr>
        <w:t>,</w:t>
      </w:r>
      <w:r w:rsidRPr="00955603">
        <w:rPr>
          <w:sz w:val="24"/>
          <w:szCs w:val="24"/>
          <w:rtl/>
        </w:rPr>
        <w:t xml:space="preserve"> ואמאי</w:t>
      </w:r>
      <w:r>
        <w:rPr>
          <w:rFonts w:hint="cs"/>
          <w:sz w:val="24"/>
          <w:szCs w:val="24"/>
          <w:rtl/>
        </w:rPr>
        <w:t>,</w:t>
      </w:r>
      <w:r w:rsidRPr="00955603">
        <w:rPr>
          <w:sz w:val="24"/>
          <w:szCs w:val="24"/>
          <w:rtl/>
        </w:rPr>
        <w:t xml:space="preserve"> מאי שנא לאחריה דמברך כדרך שמברכין בציבור ולפניה אין מברך.</w:t>
      </w:r>
      <w:r>
        <w:rPr>
          <w:rFonts w:hint="cs"/>
          <w:sz w:val="24"/>
          <w:szCs w:val="24"/>
          <w:rtl/>
        </w:rPr>
        <w:t xml:space="preserve">.. </w:t>
      </w:r>
      <w:r w:rsidRPr="00955603">
        <w:rPr>
          <w:sz w:val="24"/>
          <w:szCs w:val="24"/>
          <w:rtl/>
        </w:rPr>
        <w:t>והיה נראה לי</w:t>
      </w:r>
      <w:r>
        <w:rPr>
          <w:rFonts w:hint="cs"/>
          <w:sz w:val="24"/>
          <w:szCs w:val="24"/>
          <w:rtl/>
        </w:rPr>
        <w:t>,</w:t>
      </w:r>
      <w:r w:rsidRPr="00955603">
        <w:rPr>
          <w:sz w:val="24"/>
          <w:szCs w:val="24"/>
          <w:rtl/>
        </w:rPr>
        <w:t xml:space="preserve"> כיון דקריאה זו של כהן </w:t>
      </w:r>
      <w:r w:rsidRPr="00955603">
        <w:rPr>
          <w:sz w:val="24"/>
          <w:szCs w:val="24"/>
          <w:rtl/>
        </w:rPr>
        <w:lastRenderedPageBreak/>
        <w:t>גדול אינו חובת ציבור כקריאת ספר תורה בשבת ויום טוב ושאר ימים שקורין בספר תורה מתקנת נביאים דחובת ציבור הוי והכל חייבים בה</w:t>
      </w:r>
      <w:r>
        <w:rPr>
          <w:rFonts w:hint="cs"/>
          <w:sz w:val="24"/>
          <w:szCs w:val="24"/>
          <w:rtl/>
        </w:rPr>
        <w:t>,</w:t>
      </w:r>
      <w:r w:rsidRPr="00955603">
        <w:rPr>
          <w:sz w:val="24"/>
          <w:szCs w:val="24"/>
          <w:rtl/>
        </w:rPr>
        <w:t xml:space="preserve"> מה שאין כן קריאה זו דכהן גדול אינו אלא חובתו לבד דרמי רחמנא עליה קריאת הפרשה ואין הציבור חייבים בשמיעתה</w:t>
      </w:r>
      <w:r>
        <w:rPr>
          <w:rFonts w:hint="cs"/>
          <w:sz w:val="24"/>
          <w:szCs w:val="24"/>
          <w:rtl/>
        </w:rPr>
        <w:t>...</w:t>
      </w:r>
      <w:r w:rsidRPr="00955603">
        <w:rPr>
          <w:sz w:val="24"/>
          <w:szCs w:val="24"/>
          <w:rtl/>
        </w:rPr>
        <w:t xml:space="preserve"> משום הכי לא תקנו ברכה לפניה כדרך שתקנו בקריאת ציבור וסגי ליה בברכת התורה שבירך שחרית כמו כל אדם.</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[גבו</w:t>
      </w:r>
      <w:r w:rsidRPr="00B62CEB">
        <w:rPr>
          <w:rFonts w:hint="cs"/>
          <w:sz w:val="20"/>
          <w:szCs w:val="20"/>
          <w:rtl/>
        </w:rPr>
        <w:t>רת ארי יומא סח: ד"ה וכהן גדול]</w:t>
      </w:r>
    </w:p>
    <w:p w:rsidR="00C26E1A" w:rsidRDefault="00C26E1A" w:rsidP="00C26E1A">
      <w:pPr>
        <w:spacing w:before="200" w:line="276" w:lineRule="auto"/>
        <w:ind w:firstLine="266"/>
        <w:rPr>
          <w:sz w:val="24"/>
          <w:szCs w:val="24"/>
          <w:rtl/>
        </w:rPr>
      </w:pPr>
      <w:r w:rsidRPr="00B62CEB">
        <w:rPr>
          <w:rFonts w:hint="cs"/>
          <w:sz w:val="24"/>
          <w:szCs w:val="24"/>
          <w:rtl/>
        </w:rPr>
        <w:t>לדבריו,</w:t>
      </w:r>
      <w:r>
        <w:rPr>
          <w:rFonts w:hint="cs"/>
          <w:sz w:val="24"/>
          <w:szCs w:val="24"/>
          <w:rtl/>
        </w:rPr>
        <w:t xml:space="preserve"> ברכת התורה נקבעה</w:t>
      </w:r>
      <w:r w:rsidRPr="00B62CEB">
        <w:rPr>
          <w:rFonts w:hint="cs"/>
          <w:sz w:val="24"/>
          <w:szCs w:val="24"/>
          <w:rtl/>
        </w:rPr>
        <w:t xml:space="preserve"> ר</w:t>
      </w:r>
      <w:r>
        <w:rPr>
          <w:rFonts w:hint="cs"/>
          <w:sz w:val="24"/>
          <w:szCs w:val="24"/>
          <w:rtl/>
        </w:rPr>
        <w:t>ק על קריאה שהיא חובת הציבור. על כן, קריאה זו, הואיל ואינה חובת הציבור, לא מברכים לפניה ברכת התורה</w:t>
      </w:r>
      <w:r>
        <w:rPr>
          <w:rStyle w:val="a7"/>
          <w:sz w:val="24"/>
          <w:szCs w:val="24"/>
          <w:rtl/>
        </w:rPr>
        <w:footnoteReference w:id="176"/>
      </w:r>
      <w:r>
        <w:rPr>
          <w:rFonts w:hint="cs"/>
          <w:sz w:val="24"/>
          <w:szCs w:val="24"/>
          <w:rtl/>
        </w:rPr>
        <w:t>.</w:t>
      </w:r>
    </w:p>
    <w:p w:rsidR="00C26E1A" w:rsidRDefault="00C26E1A" w:rsidP="00C26E1A">
      <w:pPr>
        <w:spacing w:before="200" w:line="276" w:lineRule="auto"/>
        <w:ind w:firstLine="266"/>
        <w:rPr>
          <w:sz w:val="24"/>
          <w:szCs w:val="24"/>
          <w:rtl/>
        </w:rPr>
      </w:pPr>
    </w:p>
    <w:p w:rsidR="00C26E1A" w:rsidRDefault="00C26E1A" w:rsidP="00C26E1A">
      <w:pPr>
        <w:spacing w:before="200" w:line="276" w:lineRule="auto"/>
        <w:ind w:firstLine="266"/>
        <w:rPr>
          <w:sz w:val="24"/>
          <w:szCs w:val="24"/>
          <w:rtl/>
        </w:rPr>
      </w:pPr>
      <w:r>
        <w:rPr>
          <w:rFonts w:hint="cs"/>
          <w:sz w:val="24"/>
          <w:szCs w:val="24"/>
          <w:rtl/>
        </w:rPr>
        <w:t>לסיום נעיר על מחלוקת הפוסקים בנוסח ברכות ההפטרה ביום הכיפורים, ששורשיה בסוגייתנו ובהבנות השונות העולות ממנה. המגן אברהם פוסק:</w:t>
      </w:r>
    </w:p>
    <w:p w:rsidR="00C26E1A" w:rsidRDefault="00C26E1A" w:rsidP="00C26E1A">
      <w:pPr>
        <w:spacing w:before="200" w:line="276" w:lineRule="auto"/>
        <w:ind w:left="720"/>
        <w:rPr>
          <w:sz w:val="24"/>
          <w:szCs w:val="24"/>
          <w:rtl/>
        </w:rPr>
      </w:pPr>
      <w:r>
        <w:rPr>
          <w:sz w:val="24"/>
          <w:szCs w:val="24"/>
          <w:rtl/>
        </w:rPr>
        <w:t>בהפטרה א</w:t>
      </w:r>
      <w:r>
        <w:rPr>
          <w:rFonts w:hint="cs"/>
          <w:sz w:val="24"/>
          <w:szCs w:val="24"/>
          <w:rtl/>
        </w:rPr>
        <w:t>ין אומרים</w:t>
      </w:r>
      <w:r w:rsidRPr="00376D7D">
        <w:rPr>
          <w:sz w:val="24"/>
          <w:szCs w:val="24"/>
          <w:rtl/>
        </w:rPr>
        <w:t xml:space="preserve"> </w:t>
      </w:r>
      <w:r>
        <w:rPr>
          <w:rFonts w:hint="cs"/>
          <w:sz w:val="24"/>
          <w:szCs w:val="24"/>
          <w:rtl/>
        </w:rPr>
        <w:t>'</w:t>
      </w:r>
      <w:r w:rsidRPr="00376D7D">
        <w:rPr>
          <w:sz w:val="24"/>
          <w:szCs w:val="24"/>
          <w:rtl/>
        </w:rPr>
        <w:t>מלך מוחל וסולח</w:t>
      </w:r>
      <w:r>
        <w:rPr>
          <w:rFonts w:hint="cs"/>
          <w:sz w:val="24"/>
          <w:szCs w:val="24"/>
          <w:rtl/>
        </w:rPr>
        <w:t>',</w:t>
      </w:r>
      <w:r w:rsidRPr="00376D7D">
        <w:rPr>
          <w:sz w:val="24"/>
          <w:szCs w:val="24"/>
          <w:rtl/>
        </w:rPr>
        <w:t xml:space="preserve"> רק </w:t>
      </w:r>
      <w:r>
        <w:rPr>
          <w:rFonts w:hint="cs"/>
          <w:sz w:val="24"/>
          <w:szCs w:val="24"/>
          <w:rtl/>
        </w:rPr>
        <w:t>'</w:t>
      </w:r>
      <w:r w:rsidRPr="00376D7D">
        <w:rPr>
          <w:sz w:val="24"/>
          <w:szCs w:val="24"/>
          <w:rtl/>
        </w:rPr>
        <w:t>ודברך אמת וקיים לעד</w:t>
      </w:r>
      <w:r>
        <w:rPr>
          <w:rFonts w:hint="cs"/>
          <w:sz w:val="24"/>
          <w:szCs w:val="24"/>
          <w:rtl/>
        </w:rPr>
        <w:t>, ברוך אתה ה'</w:t>
      </w:r>
      <w:r w:rsidRPr="00376D7D">
        <w:rPr>
          <w:sz w:val="24"/>
          <w:szCs w:val="24"/>
          <w:rtl/>
        </w:rPr>
        <w:t xml:space="preserve"> מלך על כל הארץ</w:t>
      </w:r>
      <w:r>
        <w:rPr>
          <w:rFonts w:hint="cs"/>
          <w:sz w:val="24"/>
          <w:szCs w:val="24"/>
          <w:rtl/>
        </w:rPr>
        <w:t>'</w:t>
      </w:r>
      <w:r w:rsidRPr="00376D7D">
        <w:rPr>
          <w:sz w:val="24"/>
          <w:szCs w:val="24"/>
          <w:rtl/>
        </w:rPr>
        <w:t xml:space="preserve"> וכו'</w:t>
      </w:r>
      <w:r>
        <w:rPr>
          <w:rFonts w:hint="cs"/>
          <w:sz w:val="24"/>
          <w:szCs w:val="24"/>
          <w:rtl/>
        </w:rPr>
        <w:t>.</w:t>
      </w:r>
      <w:r>
        <w:rPr>
          <w:sz w:val="20"/>
          <w:szCs w:val="20"/>
          <w:rtl/>
        </w:rPr>
        <w:tab/>
      </w:r>
      <w:r>
        <w:rPr>
          <w:sz w:val="20"/>
          <w:szCs w:val="20"/>
          <w:rtl/>
        </w:rPr>
        <w:tab/>
      </w:r>
      <w:r>
        <w:rPr>
          <w:sz w:val="20"/>
          <w:szCs w:val="20"/>
          <w:rtl/>
        </w:rPr>
        <w:tab/>
      </w:r>
      <w:r>
        <w:rPr>
          <w:sz w:val="20"/>
          <w:szCs w:val="20"/>
          <w:rtl/>
        </w:rPr>
        <w:tab/>
      </w:r>
      <w:r>
        <w:rPr>
          <w:sz w:val="20"/>
          <w:szCs w:val="20"/>
          <w:rtl/>
        </w:rPr>
        <w:tab/>
      </w:r>
      <w:r>
        <w:rPr>
          <w:sz w:val="20"/>
          <w:szCs w:val="20"/>
          <w:rtl/>
        </w:rPr>
        <w:tab/>
      </w:r>
      <w:r>
        <w:rPr>
          <w:sz w:val="20"/>
          <w:szCs w:val="20"/>
          <w:rtl/>
        </w:rPr>
        <w:tab/>
      </w:r>
      <w:r>
        <w:rPr>
          <w:rFonts w:hint="cs"/>
          <w:sz w:val="20"/>
          <w:szCs w:val="20"/>
          <w:rtl/>
        </w:rPr>
        <w:t xml:space="preserve">       [הקדמה לסי' תרכא]</w:t>
      </w:r>
    </w:p>
    <w:p w:rsidR="00C26E1A" w:rsidRDefault="00C26E1A" w:rsidP="00C26E1A">
      <w:pPr>
        <w:spacing w:before="200" w:line="276" w:lineRule="auto"/>
        <w:ind w:firstLine="266"/>
        <w:rPr>
          <w:sz w:val="24"/>
          <w:szCs w:val="24"/>
          <w:rtl/>
        </w:rPr>
      </w:pPr>
      <w:r>
        <w:rPr>
          <w:rFonts w:hint="cs"/>
          <w:sz w:val="24"/>
          <w:szCs w:val="24"/>
          <w:rtl/>
        </w:rPr>
        <w:t>רבי שלמה קלוגר בספרו 'חכמת שלמה' דן בדבריו:</w:t>
      </w:r>
    </w:p>
    <w:p w:rsidR="00C26E1A" w:rsidRDefault="00C26E1A" w:rsidP="00C26E1A">
      <w:pPr>
        <w:spacing w:before="200" w:line="276" w:lineRule="auto"/>
        <w:ind w:left="720"/>
        <w:rPr>
          <w:sz w:val="24"/>
          <w:szCs w:val="24"/>
          <w:rtl/>
        </w:rPr>
      </w:pPr>
      <w:r>
        <w:rPr>
          <w:rFonts w:hint="cs"/>
          <w:sz w:val="24"/>
          <w:szCs w:val="24"/>
          <w:rtl/>
        </w:rPr>
        <w:t>הנה טעמו, דמה ענין מחילה אצל ספר תורה. אמנם בסידור מוהר"י עמדן חולק עליהם, דיש לומר כן, והביא ראיה מן המשנה דמסכת יומא פרק ז', דקאמר שם דמברך על מחילת העון. ובאמת לא קשה מידי, וממנו נעלם פירוש רש"י, דפירש שם [ד"ה] בא לו כהן גדול לקרות, וז"ל: 'דילפינן ממילואים דאף קריאת הפרשה מעכב', ע"ש. ואם כן אינו דומה, דבשלמא התם במקדש דהוי חיוב קריאה מן התורה וקריאת הפרשה מעכבת הכפרה, לכך שפיר שייך בה סליחה, דהרי בלאו הכי לא נמחל, כיון דמעכבת הכפרה. אבל לדידן אין קריאת הציבור מן התורה, רק תקנת עזרא מפני כבוד התורה בלבד, ולכך מה ענין קריאה זו למחילת העון.</w:t>
      </w:r>
    </w:p>
    <w:p w:rsidR="00C26E1A" w:rsidRPr="00AB5787" w:rsidRDefault="00C26E1A" w:rsidP="00C26E1A">
      <w:pPr>
        <w:spacing w:before="200" w:line="276" w:lineRule="auto"/>
        <w:ind w:left="720"/>
        <w:jc w:val="right"/>
        <w:rPr>
          <w:sz w:val="20"/>
          <w:szCs w:val="20"/>
          <w:rtl/>
        </w:rPr>
      </w:pPr>
      <w:r>
        <w:rPr>
          <w:rFonts w:hint="cs"/>
          <w:sz w:val="20"/>
          <w:szCs w:val="20"/>
          <w:rtl/>
        </w:rPr>
        <w:t>[חכמת שלמה, שם]</w:t>
      </w:r>
    </w:p>
    <w:p w:rsidR="00C26E1A" w:rsidRDefault="00C26E1A" w:rsidP="00C26E1A">
      <w:pPr>
        <w:spacing w:before="200" w:line="276" w:lineRule="auto"/>
        <w:ind w:firstLine="266"/>
        <w:rPr>
          <w:sz w:val="24"/>
          <w:szCs w:val="24"/>
          <w:rtl/>
        </w:rPr>
      </w:pPr>
      <w:r>
        <w:rPr>
          <w:rFonts w:hint="cs"/>
          <w:sz w:val="24"/>
          <w:szCs w:val="24"/>
          <w:rtl/>
        </w:rPr>
        <w:t xml:space="preserve">רבי שלמה קלוגר מביא את דברי רבי יעקב עמדין המוכיח ממשנתנו שיש להזכיר את הכפרה בברכות ההפטרה. רבי שלמה קלוגר חולק וטוען שאין להשוות בין קריאת התורה שלנו לקריאת התורה של הכהן הגדול </w:t>
      </w:r>
      <w:r>
        <w:rPr>
          <w:sz w:val="24"/>
          <w:szCs w:val="24"/>
          <w:rtl/>
        </w:rPr>
        <w:t>–</w:t>
      </w:r>
      <w:r>
        <w:rPr>
          <w:rFonts w:hint="cs"/>
          <w:sz w:val="24"/>
          <w:szCs w:val="24"/>
          <w:rtl/>
        </w:rPr>
        <w:t xml:space="preserve"> דווקא קריאת התורה של הכהן הגדול קשורה לכפרה, ואילו קריאת התורה שלנו אינה קשורה לכפרה, ולכן בה אין מקום להזכיר את כפרת העוונות. נראה להעמיק הבחנה זו. קריאת התורה שלנו היא </w:t>
      </w:r>
      <w:r w:rsidRPr="00AB5787">
        <w:rPr>
          <w:rFonts w:hint="cs"/>
          <w:b/>
          <w:bCs/>
          <w:sz w:val="24"/>
          <w:szCs w:val="24"/>
          <w:rtl/>
        </w:rPr>
        <w:t>מחובת המועד</w:t>
      </w:r>
      <w:r>
        <w:rPr>
          <w:rFonts w:hint="cs"/>
          <w:sz w:val="24"/>
          <w:szCs w:val="24"/>
          <w:rtl/>
        </w:rPr>
        <w:t>, כפי שקיימת חובת קריאה בתורה בכל מועד ומועד</w:t>
      </w:r>
      <w:r>
        <w:rPr>
          <w:rStyle w:val="a7"/>
          <w:sz w:val="24"/>
          <w:szCs w:val="24"/>
          <w:rtl/>
        </w:rPr>
        <w:footnoteReference w:id="177"/>
      </w:r>
      <w:r>
        <w:rPr>
          <w:rFonts w:hint="cs"/>
          <w:sz w:val="24"/>
          <w:szCs w:val="24"/>
          <w:rtl/>
        </w:rPr>
        <w:t>. לעומתה, קריאת התורה של הכהן הגדול נובעת מ</w:t>
      </w:r>
      <w:r>
        <w:rPr>
          <w:rFonts w:hint="cs"/>
          <w:b/>
          <w:bCs/>
          <w:sz w:val="24"/>
          <w:szCs w:val="24"/>
          <w:rtl/>
        </w:rPr>
        <w:t>סדר עבודת הכפרה</w:t>
      </w:r>
      <w:r>
        <w:rPr>
          <w:rFonts w:hint="cs"/>
          <w:sz w:val="24"/>
          <w:szCs w:val="24"/>
          <w:rtl/>
        </w:rPr>
        <w:t>, ולכן דווקא בה יש להזכיר את מחילת העוונות.</w:t>
      </w:r>
    </w:p>
    <w:p w:rsidR="00C26E1A" w:rsidRPr="00AB5787" w:rsidRDefault="00C26E1A" w:rsidP="00C26E1A">
      <w:pPr>
        <w:spacing w:before="200" w:line="276" w:lineRule="auto"/>
        <w:ind w:firstLine="266"/>
        <w:rPr>
          <w:sz w:val="24"/>
          <w:szCs w:val="24"/>
          <w:rtl/>
        </w:rPr>
      </w:pPr>
      <w:r>
        <w:rPr>
          <w:rFonts w:hint="cs"/>
          <w:sz w:val="24"/>
          <w:szCs w:val="24"/>
          <w:rtl/>
        </w:rPr>
        <w:t>הבחנתו של רבי שלמה קלוגר מבוססת על דברי רש"י במקור חובת הקריאה, על פיהם הקריאה היא חלק מסדר עבודות הכפרה. אמנם, כפי שהתבאר, ישנן שיטות אחרות, ועל פיהן ייתכן וגם קריאת התורה של הכהן הגדול אינה קשורה במהותה לעבודות הכפרה, ויש מקום להשוותה לקריאת התורה הנוהגת בזמן הזה.</w:t>
      </w:r>
    </w:p>
    <w:p w:rsidR="00C26E1A" w:rsidRPr="00AB5787" w:rsidRDefault="00C26E1A" w:rsidP="00C26E1A">
      <w:pPr>
        <w:spacing w:after="120" w:line="276" w:lineRule="auto"/>
        <w:ind w:firstLine="227"/>
        <w:jc w:val="right"/>
        <w:rPr>
          <w:rtl/>
        </w:rPr>
      </w:pPr>
      <w:r w:rsidRPr="00AB5787">
        <w:rPr>
          <w:rFonts w:hint="cs"/>
          <w:sz w:val="24"/>
          <w:szCs w:val="24"/>
          <w:u w:val="single"/>
          <w:rtl/>
        </w:rPr>
        <w:t>להערות ולתגובות</w:t>
      </w:r>
      <w:r w:rsidRPr="00AB5787">
        <w:rPr>
          <w:rFonts w:hint="cs"/>
          <w:sz w:val="24"/>
          <w:szCs w:val="24"/>
          <w:rtl/>
        </w:rPr>
        <w:t>: שלמה ליפשיץ</w:t>
      </w:r>
    </w:p>
    <w:p w:rsidR="00C26E1A" w:rsidRPr="00AB5787" w:rsidRDefault="00C26E1A" w:rsidP="00C26E1A">
      <w:pPr>
        <w:spacing w:after="0" w:line="276" w:lineRule="auto"/>
        <w:ind w:firstLine="227"/>
        <w:jc w:val="right"/>
      </w:pPr>
      <w:hyperlink r:id="rId27" w:history="1">
        <w:r w:rsidRPr="00AB5787">
          <w:rPr>
            <w:rStyle w:val="Hyperlink"/>
            <w:sz w:val="24"/>
            <w:szCs w:val="24"/>
          </w:rPr>
          <w:t>lshlomo26@gmail.com</w:t>
        </w:r>
      </w:hyperlink>
    </w:p>
    <w:p w:rsidR="00C26E1A" w:rsidRPr="00782FFD" w:rsidRDefault="00C26E1A" w:rsidP="00782FFD">
      <w:pPr>
        <w:spacing w:after="0" w:line="240" w:lineRule="auto"/>
        <w:rPr>
          <w:rtl/>
        </w:rPr>
      </w:pPr>
      <w:r>
        <w:rPr>
          <w:rtl/>
        </w:rPr>
        <w:br w:type="page"/>
      </w:r>
    </w:p>
    <w:p w:rsidR="00C26E1A" w:rsidRPr="006B7ADB" w:rsidRDefault="00C26E1A" w:rsidP="00C26E1A">
      <w:pPr>
        <w:keepNext/>
        <w:keepLines/>
        <w:spacing w:before="240" w:after="0" w:line="276" w:lineRule="auto"/>
        <w:jc w:val="center"/>
        <w:outlineLvl w:val="0"/>
        <w:rPr>
          <w:rFonts w:asciiTheme="majorHAnsi" w:eastAsiaTheme="majorEastAsia" w:hAnsiTheme="majorHAnsi"/>
          <w:bCs/>
          <w:sz w:val="36"/>
          <w:szCs w:val="36"/>
          <w:rtl/>
        </w:rPr>
      </w:pPr>
      <w:bookmarkStart w:id="111" w:name="_Toc76719204"/>
      <w:r w:rsidRPr="006B7ADB">
        <w:rPr>
          <w:rFonts w:asciiTheme="majorHAnsi" w:eastAsiaTheme="majorEastAsia" w:hAnsiTheme="majorHAnsi" w:hint="cs"/>
          <w:bCs/>
          <w:sz w:val="40"/>
          <w:szCs w:val="40"/>
          <w:rtl/>
        </w:rPr>
        <w:lastRenderedPageBreak/>
        <w:t>יסודות יומא</w:t>
      </w:r>
      <w:bookmarkEnd w:id="111"/>
    </w:p>
    <w:p w:rsidR="00C26E1A" w:rsidRPr="006B7ADB" w:rsidRDefault="00C26E1A" w:rsidP="00C26E1A">
      <w:pPr>
        <w:keepNext/>
        <w:keepLines/>
        <w:spacing w:before="240" w:after="0" w:line="276" w:lineRule="auto"/>
        <w:jc w:val="center"/>
        <w:outlineLvl w:val="0"/>
        <w:rPr>
          <w:rFonts w:asciiTheme="majorHAnsi" w:eastAsiaTheme="majorEastAsia" w:hAnsiTheme="majorHAnsi"/>
          <w:b/>
          <w:sz w:val="32"/>
          <w:szCs w:val="32"/>
          <w:rtl/>
        </w:rPr>
      </w:pPr>
      <w:bookmarkStart w:id="112" w:name="_Toc76719205"/>
      <w:r>
        <w:rPr>
          <w:rFonts w:asciiTheme="majorHAnsi" w:eastAsiaTheme="majorEastAsia" w:hAnsiTheme="majorHAnsi" w:hint="cs"/>
          <w:b/>
          <w:sz w:val="32"/>
          <w:szCs w:val="32"/>
          <w:rtl/>
        </w:rPr>
        <w:t>שיעור עשרים ואחד</w:t>
      </w:r>
      <w:bookmarkEnd w:id="112"/>
    </w:p>
    <w:p w:rsidR="00C26E1A" w:rsidRPr="006B7ADB" w:rsidRDefault="00C26E1A" w:rsidP="00C26E1A">
      <w:pPr>
        <w:keepNext/>
        <w:keepLines/>
        <w:spacing w:before="240" w:after="0" w:line="276" w:lineRule="auto"/>
        <w:jc w:val="center"/>
        <w:outlineLvl w:val="0"/>
        <w:rPr>
          <w:rFonts w:asciiTheme="majorHAnsi" w:eastAsiaTheme="majorEastAsia" w:hAnsiTheme="majorHAnsi"/>
          <w:bCs/>
          <w:sz w:val="32"/>
          <w:szCs w:val="32"/>
          <w:rtl/>
        </w:rPr>
      </w:pPr>
      <w:bookmarkStart w:id="113" w:name="_Toc76719206"/>
      <w:r w:rsidRPr="006B7ADB">
        <w:rPr>
          <w:rFonts w:asciiTheme="majorHAnsi" w:eastAsiaTheme="majorEastAsia" w:hAnsiTheme="majorHAnsi" w:hint="cs"/>
          <w:bCs/>
          <w:sz w:val="36"/>
          <w:szCs w:val="36"/>
          <w:rtl/>
        </w:rPr>
        <w:t>הוצאת הכף והמחתה והשלמת עבודות היום</w:t>
      </w:r>
      <w:bookmarkEnd w:id="113"/>
    </w:p>
    <w:p w:rsidR="00C26E1A" w:rsidRPr="006B7ADB" w:rsidRDefault="00C26E1A" w:rsidP="00C26E1A">
      <w:pPr>
        <w:spacing w:line="276" w:lineRule="exact"/>
        <w:rPr>
          <w:highlight w:val="green"/>
          <w:rtl/>
        </w:rPr>
      </w:pPr>
      <w:r w:rsidRPr="006B7ADB">
        <w:rPr>
          <w:noProof/>
          <w:highlight w:val="green"/>
          <w:rtl/>
        </w:rPr>
        <mc:AlternateContent>
          <mc:Choice Requires="wps">
            <w:drawing>
              <wp:anchor distT="0" distB="0" distL="114300" distR="114300" simplePos="0" relativeHeight="251714560" behindDoc="1" locked="0" layoutInCell="1" allowOverlap="1" wp14:anchorId="6BFA9B76" wp14:editId="082AE08D">
                <wp:simplePos x="0" y="0"/>
                <wp:positionH relativeFrom="margin">
                  <wp:align>center</wp:align>
                </wp:positionH>
                <wp:positionV relativeFrom="paragraph">
                  <wp:posOffset>224790</wp:posOffset>
                </wp:positionV>
                <wp:extent cx="5765800" cy="7604760"/>
                <wp:effectExtent l="0" t="0" r="25400" b="15240"/>
                <wp:wrapNone/>
                <wp:docPr id="35" name="מלבן 35"/>
                <wp:cNvGraphicFramePr/>
                <a:graphic xmlns:a="http://schemas.openxmlformats.org/drawingml/2006/main">
                  <a:graphicData uri="http://schemas.microsoft.com/office/word/2010/wordprocessingShape">
                    <wps:wsp>
                      <wps:cNvSpPr/>
                      <wps:spPr>
                        <a:xfrm>
                          <a:off x="0" y="0"/>
                          <a:ext cx="5765800" cy="760476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D3978" id="מלבן 35" o:spid="_x0000_s1026" style="position:absolute;left:0;text-align:left;margin-left:0;margin-top:17.7pt;width:454pt;height:598.8pt;z-index:-251601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UhwIAAAMFAAAOAAAAZHJzL2Uyb0RvYy54bWysVEtu2zAQ3RfoHQjuG9muHCdG5MBw4KJA&#10;kAZIiqxpirIE8FeStuzeovuiPZav00dKcT7NqqgAUTOc4Xwe3+jicqck2QrnG6MLOjwZUCI0N2Wj&#10;1wX9er/8cEaJD0yXTBotCroXnl7O3r+7aO1UjExtZCkcQRDtp60taB2CnWaZ57VQzJ8YKzSMlXGK&#10;BahunZWOtYiuZDYaDE6z1rjSOsOF99i96ox0luJXleDhS1V5EYgsKGoLaXVpXcU1m12w6doxWze8&#10;L4P9QxWKNRpJj6GuWGBk45q/QqmGO+NNFU64UZmpqoaL1AO6GQ5edXNXMytSLwDH2yNM/v+F5Tfb&#10;W0easqAfx5RopnBHh1+Hn4cfh98EW8CntX4Ktzt763rNQ4zN7iqn4hdtkF3CdH/EVOwC4dgcT07H&#10;ZwNAz2GbnA5yvDFq9nTcOh8+CaNIFArqcGkJS7a99qFzfXSJ2byRTblspEzK3i+kI1uG+wUtStNS&#10;IpkP2CzoMj19thfHpCYt6Ho+GMfKGIhXSRYgKgsovF5TwuQajObBpVpenPZuvTpmzfPJaJG/lSQW&#10;fcV83VWXIkQ3NlVNAOllowoKaPD0p6WOVpFo27cewe/gjtLKlHtclzMdj73lywZJrtHwLXMgLrrB&#10;MIYvWCpp0KLpJUpq476/tR/9wSdYKWkxCGj/24Y5ARw/azDtfJjncXKSko8nIyjuuWX13KI3amFw&#10;F0OMveVJjP5BPu5WzqgHzOw8ZoWJaY7cHdC9sgjdgGLquZjPkxumxbJwre8sj8EjThHe+90Dc7Yn&#10;TgDnbszj0LDpK/50vvGkNvNNMFWTyPWEK0gZFUxaomf/V4ij/FxPXk//rtkfAAAA//8DAFBLAwQU&#10;AAYACAAAACEAK5Jhst4AAAAIAQAADwAAAGRycy9kb3ducmV2LnhtbEyPwU7DMBBE70j8g7VI3Kjd&#10;Bqo2xKkoEgIORbRFnN14cSLidYjdJvw9ywmOOzOafVOsRt+KE/axCaRhOlEgkKpgG3Ia3vYPVwsQ&#10;MRmypg2EGr4xwqo8PytMbsNAWzztkhNcQjE3GuqUulzKWNXoTZyEDom9j9B7k/jsnbS9Gbjct3Km&#10;1Fx60xB/qE2H9zVWn7uj1/C8dl/vT266nfv2dVjTo3rZBKX15cV4dwsi4Zj+wvCLz+hQMtMhHMlG&#10;0WrgIUlDdnMNgt2lWrBw4NgsyxTIspD/B5Q/AAAA//8DAFBLAQItABQABgAIAAAAIQC2gziS/gAA&#10;AOEBAAATAAAAAAAAAAAAAAAAAAAAAABbQ29udGVudF9UeXBlc10ueG1sUEsBAi0AFAAGAAgAAAAh&#10;ADj9If/WAAAAlAEAAAsAAAAAAAAAAAAAAAAALwEAAF9yZWxzLy5yZWxzUEsBAi0AFAAGAAgAAAAh&#10;AAr5LJSHAgAAAwUAAA4AAAAAAAAAAAAAAAAALgIAAGRycy9lMm9Eb2MueG1sUEsBAi0AFAAGAAgA&#10;AAAhACuSYbLeAAAACAEAAA8AAAAAAAAAAAAAAAAA4QQAAGRycy9kb3ducmV2LnhtbFBLBQYAAAAA&#10;BAAEAPMAAADsBQAAAAA=&#10;" fillcolor="window" strokecolor="#4472c4" strokeweight="1.5pt">
                <w10:wrap anchorx="margin"/>
              </v:rect>
            </w:pict>
          </mc:Fallback>
        </mc:AlternateContent>
      </w:r>
    </w:p>
    <w:p w:rsidR="00C26E1A" w:rsidRPr="00674FC4" w:rsidRDefault="00C26E1A" w:rsidP="00C26E1A">
      <w:pPr>
        <w:spacing w:line="276" w:lineRule="exact"/>
        <w:jc w:val="center"/>
        <w:rPr>
          <w:b/>
          <w:bCs/>
          <w:sz w:val="24"/>
          <w:szCs w:val="24"/>
          <w:rtl/>
        </w:rPr>
      </w:pPr>
      <w:r w:rsidRPr="00674FC4">
        <w:rPr>
          <w:rFonts w:hint="cs"/>
          <w:b/>
          <w:bCs/>
          <w:sz w:val="24"/>
          <w:szCs w:val="24"/>
          <w:rtl/>
        </w:rPr>
        <w:t>מקורות</w:t>
      </w:r>
    </w:p>
    <w:p w:rsidR="00C26E1A" w:rsidRDefault="00C26E1A" w:rsidP="00C26E1A">
      <w:pPr>
        <w:spacing w:line="276" w:lineRule="exact"/>
        <w:rPr>
          <w:sz w:val="24"/>
          <w:szCs w:val="24"/>
          <w:rtl/>
        </w:rPr>
      </w:pPr>
      <w:r w:rsidRPr="00674FC4">
        <w:rPr>
          <w:rFonts w:hint="cs"/>
          <w:sz w:val="24"/>
          <w:szCs w:val="24"/>
          <w:rtl/>
        </w:rPr>
        <w:t>א. ויקרא פרק טז פס' כג-כה</w:t>
      </w:r>
    </w:p>
    <w:p w:rsidR="00C26E1A" w:rsidRDefault="00C26E1A" w:rsidP="00C26E1A">
      <w:pPr>
        <w:spacing w:line="276" w:lineRule="exact"/>
        <w:rPr>
          <w:sz w:val="24"/>
          <w:szCs w:val="24"/>
          <w:rtl/>
        </w:rPr>
      </w:pPr>
      <w:r>
        <w:rPr>
          <w:rFonts w:hint="cs"/>
          <w:sz w:val="24"/>
          <w:szCs w:val="24"/>
          <w:rtl/>
        </w:rPr>
        <w:t>ב. גמ' יומא ע.-עא. "מתני'... ותו לא"; רש"י ע: ד"ה ואחר כך אילו, וד"ה אחר כך תמיד; [תוס' ד"ה ואחר]</w:t>
      </w:r>
    </w:p>
    <w:p w:rsidR="00C26E1A" w:rsidRDefault="00C26E1A" w:rsidP="00C26E1A">
      <w:pPr>
        <w:spacing w:line="276" w:lineRule="exact"/>
        <w:rPr>
          <w:sz w:val="24"/>
          <w:szCs w:val="24"/>
          <w:rtl/>
        </w:rPr>
      </w:pPr>
      <w:r>
        <w:rPr>
          <w:rFonts w:hint="cs"/>
          <w:sz w:val="24"/>
          <w:szCs w:val="24"/>
          <w:rtl/>
        </w:rPr>
        <w:t>ג. רמב"ם הל' יום הכיפורים פ"ב ה"ב</w:t>
      </w:r>
    </w:p>
    <w:p w:rsidR="00C26E1A" w:rsidRDefault="00C26E1A" w:rsidP="00C26E1A">
      <w:pPr>
        <w:spacing w:line="276" w:lineRule="exact"/>
        <w:rPr>
          <w:sz w:val="24"/>
          <w:szCs w:val="24"/>
          <w:rtl/>
        </w:rPr>
      </w:pPr>
      <w:r>
        <w:rPr>
          <w:rFonts w:hint="cs"/>
          <w:sz w:val="24"/>
          <w:szCs w:val="24"/>
          <w:rtl/>
        </w:rPr>
        <w:t>ד. רמב"ן ויקרא טז, כג</w:t>
      </w:r>
    </w:p>
    <w:p w:rsidR="00C26E1A" w:rsidRDefault="00C26E1A" w:rsidP="00C26E1A">
      <w:pPr>
        <w:spacing w:line="276" w:lineRule="exact"/>
        <w:rPr>
          <w:sz w:val="24"/>
          <w:szCs w:val="24"/>
          <w:rtl/>
        </w:rPr>
      </w:pPr>
      <w:r>
        <w:rPr>
          <w:rFonts w:hint="cs"/>
          <w:sz w:val="24"/>
          <w:szCs w:val="24"/>
          <w:rtl/>
        </w:rPr>
        <w:t>ה. רא"ש הל' סדר עבודת יום הכיפורים "ואיכא למימר... עדיף טפי"</w:t>
      </w:r>
    </w:p>
    <w:p w:rsidR="00C26E1A" w:rsidRDefault="00C26E1A" w:rsidP="00C26E1A">
      <w:pPr>
        <w:spacing w:line="276" w:lineRule="exact"/>
        <w:rPr>
          <w:sz w:val="24"/>
          <w:szCs w:val="24"/>
          <w:rtl/>
        </w:rPr>
      </w:pPr>
      <w:r>
        <w:rPr>
          <w:rFonts w:hint="cs"/>
          <w:sz w:val="24"/>
          <w:szCs w:val="24"/>
          <w:rtl/>
        </w:rPr>
        <w:t>ו. חכמת אדם סוף הלכות אבלות</w:t>
      </w:r>
    </w:p>
    <w:p w:rsidR="00C26E1A" w:rsidRPr="006B7ADB" w:rsidRDefault="00C26E1A" w:rsidP="00C26E1A">
      <w:pPr>
        <w:spacing w:line="276" w:lineRule="exact"/>
        <w:rPr>
          <w:sz w:val="24"/>
          <w:szCs w:val="24"/>
        </w:rPr>
      </w:pPr>
      <w:r>
        <w:rPr>
          <w:rFonts w:hint="cs"/>
          <w:sz w:val="24"/>
          <w:szCs w:val="24"/>
          <w:rtl/>
        </w:rPr>
        <w:t>ז. שיעורי הגרי"ד ע. עמ' קסב</w:t>
      </w:r>
    </w:p>
    <w:p w:rsidR="00C26E1A" w:rsidRPr="006B7ADB" w:rsidRDefault="00C26E1A" w:rsidP="00C26E1A">
      <w:pPr>
        <w:spacing w:line="276" w:lineRule="exact"/>
        <w:rPr>
          <w:sz w:val="24"/>
          <w:szCs w:val="24"/>
          <w:highlight w:val="green"/>
          <w:rtl/>
        </w:rPr>
      </w:pPr>
    </w:p>
    <w:p w:rsidR="00C26E1A" w:rsidRDefault="00C26E1A" w:rsidP="00C26E1A">
      <w:pPr>
        <w:spacing w:line="276" w:lineRule="exact"/>
        <w:rPr>
          <w:rFonts w:ascii="FrankRuehl" w:hAnsi="FrankRuehl" w:cs="FrankRuehl"/>
          <w:b/>
          <w:bCs/>
          <w:sz w:val="24"/>
          <w:szCs w:val="24"/>
          <w:rtl/>
        </w:rPr>
      </w:pPr>
      <w:r w:rsidRPr="00674FC4">
        <w:rPr>
          <w:rFonts w:ascii="FrankRuehl" w:hAnsi="FrankRuehl" w:cs="FrankRuehl" w:hint="cs"/>
          <w:b/>
          <w:bCs/>
          <w:sz w:val="24"/>
          <w:szCs w:val="24"/>
          <w:rtl/>
        </w:rPr>
        <w:t xml:space="preserve">רמב"ן ויקרא </w:t>
      </w:r>
      <w:r>
        <w:rPr>
          <w:rFonts w:ascii="FrankRuehl" w:hAnsi="FrankRuehl" w:cs="FrankRuehl" w:hint="cs"/>
          <w:b/>
          <w:bCs/>
          <w:sz w:val="24"/>
          <w:szCs w:val="24"/>
          <w:rtl/>
        </w:rPr>
        <w:t>פרק טז פס'</w:t>
      </w:r>
      <w:r w:rsidRPr="00674FC4">
        <w:rPr>
          <w:rFonts w:ascii="FrankRuehl" w:hAnsi="FrankRuehl" w:cs="FrankRuehl" w:hint="cs"/>
          <w:b/>
          <w:bCs/>
          <w:sz w:val="24"/>
          <w:szCs w:val="24"/>
          <w:rtl/>
        </w:rPr>
        <w:t xml:space="preserve"> כג</w:t>
      </w:r>
    </w:p>
    <w:p w:rsidR="00C26E1A" w:rsidRPr="00674FC4" w:rsidRDefault="00C26E1A" w:rsidP="00C26E1A">
      <w:pPr>
        <w:spacing w:line="276" w:lineRule="exact"/>
        <w:rPr>
          <w:rFonts w:ascii="FrankRuehl" w:hAnsi="FrankRuehl" w:cs="FrankRuehl"/>
          <w:sz w:val="24"/>
          <w:szCs w:val="24"/>
          <w:rtl/>
        </w:rPr>
      </w:pPr>
      <w:r w:rsidRPr="00674FC4">
        <w:rPr>
          <w:rFonts w:ascii="FrankRuehl" w:hAnsi="FrankRuehl" w:cs="FrankRuehl"/>
          <w:sz w:val="24"/>
          <w:szCs w:val="24"/>
          <w:rtl/>
        </w:rPr>
        <w:t>ובא אהרן אל אהל מועד - אמרו רבותינו שאין זה מקומו של מקרא זה, ונתנו טעם ל</w:t>
      </w:r>
      <w:r>
        <w:rPr>
          <w:rFonts w:ascii="FrankRuehl" w:hAnsi="FrankRuehl" w:cs="FrankRuehl"/>
          <w:sz w:val="24"/>
          <w:szCs w:val="24"/>
          <w:rtl/>
        </w:rPr>
        <w:t xml:space="preserve">דבריהם במסכת יומא </w:t>
      </w:r>
      <w:r w:rsidRPr="00674FC4">
        <w:rPr>
          <w:rFonts w:ascii="FrankRuehl" w:hAnsi="FrankRuehl" w:cs="FrankRuehl"/>
          <w:sz w:val="24"/>
          <w:szCs w:val="24"/>
          <w:rtl/>
        </w:rPr>
        <w:t>ואמרו, כל הפרשה כולה נאמרה על הסדר חוץ מביאה זו שהיא אחר עשיית עולתו ועולת העם והקטרת אמורי פר ושעיר שנעשין בחוץ בבגדי זהב, וטובל ומקדש ופושטן ולובש בגדי לבן ובא אל אהל מועד להוציא את הכף ואת המחתה שהקטיר בה את הקטורת לפני לפנים, ופשט את בגדי הבד אחר שהוציאם ולובש בגדי זהב</w:t>
      </w:r>
      <w:r>
        <w:rPr>
          <w:rFonts w:ascii="FrankRuehl" w:hAnsi="FrankRuehl" w:cs="FrankRuehl"/>
          <w:sz w:val="24"/>
          <w:szCs w:val="24"/>
          <w:rtl/>
        </w:rPr>
        <w:t xml:space="preserve"> לתמיד של בין הערבים, לשון רש"י</w:t>
      </w:r>
      <w:r>
        <w:rPr>
          <w:rFonts w:ascii="FrankRuehl" w:hAnsi="FrankRuehl" w:cs="FrankRuehl" w:hint="cs"/>
          <w:sz w:val="24"/>
          <w:szCs w:val="24"/>
          <w:rtl/>
        </w:rPr>
        <w:t xml:space="preserve">. </w:t>
      </w:r>
      <w:r w:rsidRPr="00674FC4">
        <w:rPr>
          <w:rFonts w:ascii="FrankRuehl" w:hAnsi="FrankRuehl" w:cs="FrankRuehl"/>
          <w:sz w:val="24"/>
          <w:szCs w:val="24"/>
          <w:rtl/>
        </w:rPr>
        <w:t>ובאמת שהכתוב הזה אומר לנו דרשני, שלא יתכן בשום פנים שיצוה שיבא אהרן אל אהל מועד ללא דבר רק לפשוט שם בגדיו ולהיותו ערום בהיכל ה' ו</w:t>
      </w:r>
      <w:r>
        <w:rPr>
          <w:rFonts w:ascii="FrankRuehl" w:hAnsi="FrankRuehl" w:cs="FrankRuehl"/>
          <w:sz w:val="24"/>
          <w:szCs w:val="24"/>
          <w:rtl/>
        </w:rPr>
        <w:t xml:space="preserve">להניחם שם לרקבון, אבל על כרחנו </w:t>
      </w:r>
      <w:r>
        <w:rPr>
          <w:rFonts w:ascii="FrankRuehl" w:hAnsi="FrankRuehl" w:cs="FrankRuehl" w:hint="cs"/>
          <w:sz w:val="24"/>
          <w:szCs w:val="24"/>
          <w:rtl/>
        </w:rPr>
        <w:t>'</w:t>
      </w:r>
      <w:r w:rsidRPr="00674FC4">
        <w:rPr>
          <w:rFonts w:ascii="FrankRuehl" w:hAnsi="FrankRuehl" w:cs="FrankRuehl"/>
          <w:sz w:val="24"/>
          <w:szCs w:val="24"/>
          <w:rtl/>
        </w:rPr>
        <w:t>ובא אהרן אל אהל מוע</w:t>
      </w:r>
      <w:r>
        <w:rPr>
          <w:rFonts w:ascii="FrankRuehl" w:hAnsi="FrankRuehl" w:cs="FrankRuehl"/>
          <w:sz w:val="24"/>
          <w:szCs w:val="24"/>
          <w:rtl/>
        </w:rPr>
        <w:t>ד</w:t>
      </w:r>
      <w:r>
        <w:rPr>
          <w:rFonts w:ascii="FrankRuehl" w:hAnsi="FrankRuehl" w:cs="FrankRuehl" w:hint="cs"/>
          <w:sz w:val="24"/>
          <w:szCs w:val="24"/>
          <w:rtl/>
        </w:rPr>
        <w:t>'</w:t>
      </w:r>
      <w:r w:rsidRPr="00674FC4">
        <w:rPr>
          <w:rFonts w:ascii="FrankRuehl" w:hAnsi="FrankRuehl" w:cs="FrankRuehl"/>
          <w:sz w:val="24"/>
          <w:szCs w:val="24"/>
          <w:rtl/>
        </w:rPr>
        <w:t xml:space="preserve"> לעבוד עבודה, לא הוצרך הכתוב להזכירה, והיא הוצאת הכף והמחתה. וטעם הכתוב, כי הזכיר בתחילה ונתן את הקטרת על האש לפני ה' וכסה ענן הקטרת את הכפורת אשר על העדות ולא ימות, לומר שיתן הקטרת על האש עד שיעלה ענן הקטרת, ויצא מיד והניח הכף והמחתה שם ועל כל פנים יצטר</w:t>
      </w:r>
      <w:r>
        <w:rPr>
          <w:rFonts w:ascii="FrankRuehl" w:hAnsi="FrankRuehl" w:cs="FrankRuehl"/>
          <w:sz w:val="24"/>
          <w:szCs w:val="24"/>
          <w:rtl/>
        </w:rPr>
        <w:t xml:space="preserve">ך להוציא, ולכך אמר </w:t>
      </w:r>
      <w:r>
        <w:rPr>
          <w:rFonts w:ascii="FrankRuehl" w:hAnsi="FrankRuehl" w:cs="FrankRuehl" w:hint="cs"/>
          <w:sz w:val="24"/>
          <w:szCs w:val="24"/>
          <w:rtl/>
        </w:rPr>
        <w:t>'</w:t>
      </w:r>
      <w:r>
        <w:rPr>
          <w:rFonts w:ascii="FrankRuehl" w:hAnsi="FrankRuehl" w:cs="FrankRuehl"/>
          <w:sz w:val="24"/>
          <w:szCs w:val="24"/>
          <w:rtl/>
        </w:rPr>
        <w:t>ובא אהרן אל אהל מועד</w:t>
      </w:r>
      <w:r>
        <w:rPr>
          <w:rFonts w:ascii="FrankRuehl" w:hAnsi="FrankRuehl" w:cs="FrankRuehl" w:hint="cs"/>
          <w:sz w:val="24"/>
          <w:szCs w:val="24"/>
          <w:rtl/>
        </w:rPr>
        <w:t>'</w:t>
      </w:r>
      <w:r>
        <w:rPr>
          <w:rFonts w:ascii="FrankRuehl" w:hAnsi="FrankRuehl" w:cs="FrankRuehl"/>
          <w:sz w:val="24"/>
          <w:szCs w:val="24"/>
          <w:rtl/>
        </w:rPr>
        <w:t>, לבא מבית לפרכת למה שהניח שם</w:t>
      </w:r>
      <w:r>
        <w:rPr>
          <w:rFonts w:ascii="FrankRuehl" w:hAnsi="FrankRuehl" w:cs="FrankRuehl" w:hint="cs"/>
          <w:sz w:val="24"/>
          <w:szCs w:val="24"/>
          <w:rtl/>
        </w:rPr>
        <w:t>.</w:t>
      </w:r>
    </w:p>
    <w:p w:rsidR="00C26E1A" w:rsidRDefault="00C26E1A" w:rsidP="00C26E1A">
      <w:pPr>
        <w:spacing w:line="276" w:lineRule="exact"/>
        <w:rPr>
          <w:rFonts w:ascii="FrankRuehl" w:hAnsi="FrankRuehl" w:cs="FrankRuehl"/>
          <w:sz w:val="24"/>
          <w:szCs w:val="24"/>
          <w:rtl/>
        </w:rPr>
      </w:pPr>
      <w:r w:rsidRPr="00674FC4">
        <w:rPr>
          <w:rFonts w:ascii="FrankRuehl" w:hAnsi="FrankRuehl" w:cs="FrankRuehl"/>
          <w:sz w:val="24"/>
          <w:szCs w:val="24"/>
          <w:rtl/>
        </w:rPr>
        <w:t>והנה הפרשה לא הזכירה כל מה שיעשה הכהן בתחילה בבגדי זהב כגון תמיד של שחר, אבל התחילה בעבודת היום בבגדי לבן, וסדרה הפרשה שיעשה בהם קטרת שלפני לפנים ופר שעיר הפנימי וענין השעיר המשתלח. וכל זה עשוי בסדר אחד ולא נשאר לעשות ב</w:t>
      </w:r>
      <w:r>
        <w:rPr>
          <w:rFonts w:ascii="FrankRuehl" w:hAnsi="FrankRuehl" w:cs="FrankRuehl"/>
          <w:sz w:val="24"/>
          <w:szCs w:val="24"/>
          <w:rtl/>
        </w:rPr>
        <w:t>בגדים האלו לבד הוצאת הכף והמחתה</w:t>
      </w:r>
      <w:r>
        <w:rPr>
          <w:rFonts w:ascii="FrankRuehl" w:hAnsi="FrankRuehl" w:cs="FrankRuehl" w:hint="cs"/>
          <w:sz w:val="24"/>
          <w:szCs w:val="24"/>
          <w:rtl/>
        </w:rPr>
        <w:t xml:space="preserve">. </w:t>
      </w:r>
      <w:r w:rsidRPr="00674FC4">
        <w:rPr>
          <w:rFonts w:ascii="FrankRuehl" w:hAnsi="FrankRuehl" w:cs="FrankRuehl"/>
          <w:sz w:val="24"/>
          <w:szCs w:val="24"/>
          <w:rtl/>
        </w:rPr>
        <w:t>ודרך הכתובים בכל מקום להשלים הענין אשר התחיל בו אף על פי שיש בו קצת ענין מאו</w:t>
      </w:r>
      <w:r>
        <w:rPr>
          <w:rFonts w:ascii="FrankRuehl" w:hAnsi="FrankRuehl" w:cs="FrankRuehl"/>
          <w:sz w:val="24"/>
          <w:szCs w:val="24"/>
          <w:rtl/>
        </w:rPr>
        <w:t xml:space="preserve">חר למה שיזכיר אחר כן, ולכך אמר </w:t>
      </w:r>
      <w:r>
        <w:rPr>
          <w:rFonts w:ascii="FrankRuehl" w:hAnsi="FrankRuehl" w:cs="FrankRuehl" w:hint="cs"/>
          <w:sz w:val="24"/>
          <w:szCs w:val="24"/>
          <w:rtl/>
        </w:rPr>
        <w:t>'</w:t>
      </w:r>
      <w:r>
        <w:rPr>
          <w:rFonts w:ascii="FrankRuehl" w:hAnsi="FrankRuehl" w:cs="FrankRuehl"/>
          <w:sz w:val="24"/>
          <w:szCs w:val="24"/>
          <w:rtl/>
        </w:rPr>
        <w:t>ובא אהרן אל אהל מועד</w:t>
      </w:r>
      <w:r>
        <w:rPr>
          <w:rFonts w:ascii="FrankRuehl" w:hAnsi="FrankRuehl" w:cs="FrankRuehl" w:hint="cs"/>
          <w:sz w:val="24"/>
          <w:szCs w:val="24"/>
          <w:rtl/>
        </w:rPr>
        <w:t>'</w:t>
      </w:r>
      <w:r w:rsidRPr="00674FC4">
        <w:rPr>
          <w:rFonts w:ascii="FrankRuehl" w:hAnsi="FrankRuehl" w:cs="FrankRuehl"/>
          <w:sz w:val="24"/>
          <w:szCs w:val="24"/>
          <w:rtl/>
        </w:rPr>
        <w:t xml:space="preserve"> בבגדים האלה להשלים עבודותיו והיא הוצאת הכף והמחתה שהוא צריך להוציאם משם, ופשט אחרי צאתו את בגדיו אשר לבש בבוקר בעת באו אל הקודש, והניחם שם במקום אשר יפשיטם, ללמד שלא ילבש אותם ביום הכפורים אחר. והנה נשלם כל הנעשה בבגדי לבן בכל היום בסדר אחד. וחזר ואמר ורחץ את בשרו במים </w:t>
      </w:r>
      <w:r>
        <w:rPr>
          <w:rFonts w:ascii="FrankRuehl" w:hAnsi="FrankRuehl" w:cs="FrankRuehl" w:hint="cs"/>
          <w:sz w:val="24"/>
          <w:szCs w:val="24"/>
          <w:rtl/>
        </w:rPr>
        <w:t>וגו'</w:t>
      </w:r>
      <w:r w:rsidRPr="00674FC4">
        <w:rPr>
          <w:rFonts w:ascii="FrankRuehl" w:hAnsi="FrankRuehl" w:cs="FrankRuehl"/>
          <w:sz w:val="24"/>
          <w:szCs w:val="24"/>
          <w:rtl/>
        </w:rPr>
        <w:t xml:space="preserve"> ולבש את בגדיו הידועים לו שבהם יעבוד כל השנה, ללמד שהוא טעון טבילה בין בגדים לבגדים. ואמר ויצא ועשה את עולתו, כי כל הנעשה קודם לזה בבגדי הלבן הכל מעשה פנים, ואילו ואיל העם שיזכיר הם נעשים על המזבח החיצון. והנה הזכירה הפרשה הלבישה הראשונה של בגדי הלבן והצריך בה טבילה, והזכירה הפשיטה האחרונה והצריך בה טבילה, ולמדנו ש</w:t>
      </w:r>
      <w:r>
        <w:rPr>
          <w:rFonts w:ascii="FrankRuehl" w:hAnsi="FrankRuehl" w:cs="FrankRuehl"/>
          <w:sz w:val="24"/>
          <w:szCs w:val="24"/>
          <w:rtl/>
        </w:rPr>
        <w:t>הוא טעון טבילה בכל חליפות בגדים</w:t>
      </w:r>
      <w:r>
        <w:rPr>
          <w:rFonts w:ascii="FrankRuehl" w:hAnsi="FrankRuehl" w:cs="FrankRuehl" w:hint="cs"/>
          <w:sz w:val="24"/>
          <w:szCs w:val="24"/>
          <w:rtl/>
        </w:rPr>
        <w:t>.</w:t>
      </w:r>
    </w:p>
    <w:p w:rsidR="00C26E1A" w:rsidRDefault="00C26E1A" w:rsidP="00C26E1A">
      <w:pPr>
        <w:spacing w:line="276" w:lineRule="exact"/>
        <w:rPr>
          <w:rFonts w:ascii="FrankRuehl" w:hAnsi="FrankRuehl" w:cs="FrankRuehl"/>
          <w:sz w:val="24"/>
          <w:szCs w:val="24"/>
          <w:rtl/>
        </w:rPr>
      </w:pPr>
      <w:r w:rsidRPr="00674FC4">
        <w:rPr>
          <w:rFonts w:ascii="FrankRuehl" w:hAnsi="FrankRuehl" w:cs="FrankRuehl"/>
          <w:sz w:val="24"/>
          <w:szCs w:val="24"/>
          <w:rtl/>
        </w:rPr>
        <w:t xml:space="preserve">ועל דעת רש"י תהיה הטבילה הזאת של הוצאת כף ומחתה אחרי אילו ואיל העם בין המוספין לתמיד של בין הערבים, וכן דעת כל הגאונים, וכן יראה מן הברייתא השנויה בתורת כהנים (פרק ו ה) כפשוטה. אבל אנו מצאנו בירושלמי (יומא פ"ז ה"ב) אמר רבי יוחנן הכל מודים בהוצאת הכף והמחתה שהיא לאחר תמיד של בין הערבים, </w:t>
      </w:r>
      <w:r w:rsidR="00782FFD" w:rsidRPr="006B7ADB">
        <w:rPr>
          <w:noProof/>
          <w:highlight w:val="green"/>
          <w:rtl/>
        </w:rPr>
        <w:lastRenderedPageBreak/>
        <mc:AlternateContent>
          <mc:Choice Requires="wps">
            <w:drawing>
              <wp:anchor distT="0" distB="0" distL="114300" distR="114300" simplePos="0" relativeHeight="251753472" behindDoc="1" locked="0" layoutInCell="1" allowOverlap="1" wp14:anchorId="00F542B3" wp14:editId="5C0C6ED2">
                <wp:simplePos x="0" y="0"/>
                <wp:positionH relativeFrom="margin">
                  <wp:align>center</wp:align>
                </wp:positionH>
                <wp:positionV relativeFrom="paragraph">
                  <wp:posOffset>-144780</wp:posOffset>
                </wp:positionV>
                <wp:extent cx="5765800" cy="8991600"/>
                <wp:effectExtent l="0" t="0" r="25400" b="19050"/>
                <wp:wrapNone/>
                <wp:docPr id="36" name="מלבן 36"/>
                <wp:cNvGraphicFramePr/>
                <a:graphic xmlns:a="http://schemas.openxmlformats.org/drawingml/2006/main">
                  <a:graphicData uri="http://schemas.microsoft.com/office/word/2010/wordprocessingShape">
                    <wps:wsp>
                      <wps:cNvSpPr/>
                      <wps:spPr>
                        <a:xfrm>
                          <a:off x="0" y="0"/>
                          <a:ext cx="5765800" cy="899160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C206" id="מלבן 36" o:spid="_x0000_s1026" style="position:absolute;left:0;text-align:left;margin-left:0;margin-top:-11.4pt;width:454pt;height:708pt;z-index:-251563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19hQIAAAMFAAAOAAAAZHJzL2Uyb0RvYy54bWysVMtuGjEU3VfqP1jeNzNQIAFliBARVaUo&#10;iZRUWRuPB0byq7ZhoH/RfdV8Fr/TY8+EPJpVVRbmvnwfx+fO+cVOSbIVztdGF7R3klMiNDdlrVcF&#10;/Xa/+HRGiQ9Ml0waLQq6F55eTD9+OG/sRPTN2shSOIIk2k8aW9B1CHaSZZ6vhWL+xFih4ayMUyxA&#10;dausdKxBdiWzfp6Pssa40jrDhfewXrZOOk35q0rwcFNVXgQiC4reQjpdOpfxzKbnbLJyzK5r3rXB&#10;/qELxWqNosdUlywwsnH1X6lUzZ3xpgon3KjMVFXNRZoB0/TyN9PcrZkVaRaA4+0RJv//0vLr7a0j&#10;dVnQzyNKNFN4o8Pvw6/Dz8MjgQn4NNZPEHZnb12neYhx2F3lVPzHGGSXMN0fMRW7QDiMw9PR8CwH&#10;9By+s/G4N4KCPNnzdet8+CKMIlEoqMOjJSzZ9sqHNvQpJFbzRtblopYyKXs/l45sGd4XtChNQ4lk&#10;PsBY0EX6ddVeXZOaNKDrOB/GzhiIV0kWICoLKLxeUcLkCozmwaVeXt32brU8Vh0MTvvzwXtFYtOX&#10;zK/b7lKGGMYmqg4gvawVEMnjr7stdfSKRNtu9Ah+C3eUlqbc47mcaXnsLV/UKHKFgW+ZA3ExDZYx&#10;3OCopMGIppMoWRv34z17jAef4KWkwSJg/O8b5gRw/KrBtHFvMIibk5TB8LQPxb30LF969EbNDd6i&#10;h7W3PIkxPsgna+WMesDOzmJVuJjmqN0C3Snz0C4otp6L2SyFYVssC1f6zvKYPOIU4b3fPTBnO+IE&#10;cO7aPC0Nm7zhTxsbb2oz2wRT1Ylcz7iClFHBpiV6dl+FuMov9RT1/O2a/gEAAP//AwBQSwMEFAAG&#10;AAgAAAAhACeJpvbeAAAACQEAAA8AAABkcnMvZG93bnJldi54bWxMj8FOwzAQRO9I/IO1SNxau6lU&#10;tWmciiIh4ABqC+LsJlsnwl6H2G3C37Oc4Lgzo9l5xWb0Tlywj20gDbOpAoFUhbolq+H97WGyBBGT&#10;odq4QKjhGyNsyuurwuR1GGiPl0Oygkso5kZDk1KXSxmrBr2J09AhsXcKvTeJz97KujcDl3snM6UW&#10;0puW+ENjOrxvsPo8nL2G5639+niys/3Cu92wpUf1+hKU1rc3490aRMIx/YXhdz5Ph5I3HcOZ6iic&#10;BgZJGiZZxgBsr9SSlSPn5qt5BrIs5H+C8gcAAP//AwBQSwECLQAUAAYACAAAACEAtoM4kv4AAADh&#10;AQAAEwAAAAAAAAAAAAAAAAAAAAAAW0NvbnRlbnRfVHlwZXNdLnhtbFBLAQItABQABgAIAAAAIQA4&#10;/SH/1gAAAJQBAAALAAAAAAAAAAAAAAAAAC8BAABfcmVscy8ucmVsc1BLAQItABQABgAIAAAAIQCO&#10;OI19hQIAAAMFAAAOAAAAAAAAAAAAAAAAAC4CAABkcnMvZTJvRG9jLnhtbFBLAQItABQABgAIAAAA&#10;IQAniab23gAAAAkBAAAPAAAAAAAAAAAAAAAAAN8EAABkcnMvZG93bnJldi54bWxQSwUGAAAAAAQA&#10;BADzAAAA6gUAAAAA&#10;" fillcolor="window" strokecolor="#4472c4" strokeweight="1.5pt">
                <w10:wrap anchorx="margin"/>
              </v:rect>
            </w:pict>
          </mc:Fallback>
        </mc:AlternateContent>
      </w:r>
      <w:r w:rsidRPr="00674FC4">
        <w:rPr>
          <w:rFonts w:ascii="FrankRuehl" w:hAnsi="FrankRuehl" w:cs="FrankRuehl"/>
          <w:sz w:val="24"/>
          <w:szCs w:val="24"/>
          <w:rtl/>
        </w:rPr>
        <w:t>וכן כתב הרב ר' משה (הל' עבודת יום הכפורים פ"ב ה"ב), וכ</w:t>
      </w:r>
      <w:r>
        <w:rPr>
          <w:rFonts w:ascii="FrankRuehl" w:hAnsi="FrankRuehl" w:cs="FrankRuehl"/>
          <w:sz w:val="24"/>
          <w:szCs w:val="24"/>
          <w:rtl/>
        </w:rPr>
        <w:t>ן הסדר השנוי במשנתנו</w:t>
      </w:r>
      <w:r>
        <w:rPr>
          <w:rFonts w:ascii="FrankRuehl" w:hAnsi="FrankRuehl" w:cs="FrankRuehl" w:hint="cs"/>
          <w:sz w:val="24"/>
          <w:szCs w:val="24"/>
          <w:rtl/>
        </w:rPr>
        <w:t>: '</w:t>
      </w:r>
      <w:r w:rsidRPr="00674FC4">
        <w:rPr>
          <w:rFonts w:ascii="FrankRuehl" w:hAnsi="FrankRuehl" w:cs="FrankRuehl"/>
          <w:sz w:val="24"/>
          <w:szCs w:val="24"/>
          <w:rtl/>
        </w:rPr>
        <w:t>קדש ופשט וירד וטבל הביאו לו</w:t>
      </w:r>
      <w:r>
        <w:rPr>
          <w:rFonts w:ascii="FrankRuehl" w:hAnsi="FrankRuehl" w:cs="FrankRuehl"/>
          <w:sz w:val="24"/>
          <w:szCs w:val="24"/>
          <w:rtl/>
        </w:rPr>
        <w:t xml:space="preserve"> בגדי זהב נכנס להקטיר את הקטורת</w:t>
      </w:r>
      <w:r>
        <w:rPr>
          <w:rFonts w:ascii="FrankRuehl" w:hAnsi="FrankRuehl" w:cs="FrankRuehl" w:hint="cs"/>
          <w:sz w:val="24"/>
          <w:szCs w:val="24"/>
          <w:rtl/>
        </w:rPr>
        <w:t xml:space="preserve">'. </w:t>
      </w:r>
      <w:r>
        <w:rPr>
          <w:rFonts w:ascii="FrankRuehl" w:hAnsi="FrankRuehl" w:cs="FrankRuehl"/>
          <w:sz w:val="24"/>
          <w:szCs w:val="24"/>
          <w:rtl/>
        </w:rPr>
        <w:t>אלא כך הוא הסדר</w:t>
      </w:r>
      <w:r>
        <w:rPr>
          <w:rFonts w:ascii="FrankRuehl" w:hAnsi="FrankRuehl" w:cs="FrankRuehl" w:hint="cs"/>
          <w:sz w:val="24"/>
          <w:szCs w:val="24"/>
          <w:rtl/>
        </w:rPr>
        <w:t>:</w:t>
      </w:r>
      <w:r w:rsidRPr="00674FC4">
        <w:rPr>
          <w:rFonts w:ascii="FrankRuehl" w:hAnsi="FrankRuehl" w:cs="FrankRuehl"/>
          <w:sz w:val="24"/>
          <w:szCs w:val="24"/>
          <w:rtl/>
        </w:rPr>
        <w:t xml:space="preserve"> סדר היום בבגדי לבן, ואילו ואיל העם והמוספין ואמורי החטאת ותמיד של בין הערבים בבגדי זהב בטבילה שלישית, והוצאת כף ומחתה בבגדי לבן בטבילה רביעית, קטרת חביתים ונסכים ונרות בבגדי זהב בטבילה חמישית. והטעם בזה, לפי שאינה עבודה ואחרו אותה לאחר כל מעשה היום, ובלבד שנקיים בה חמש טבילות, ולכך הפסיק בסדר התמיד של בין הערבים ומוציאין כף ומחתה בין התמיד לקטרת</w:t>
      </w:r>
      <w:r>
        <w:rPr>
          <w:rFonts w:ascii="FrankRuehl" w:hAnsi="FrankRuehl" w:cs="FrankRuehl" w:hint="cs"/>
          <w:sz w:val="24"/>
          <w:szCs w:val="24"/>
          <w:rtl/>
        </w:rPr>
        <w:t>.</w:t>
      </w:r>
    </w:p>
    <w:p w:rsidR="00C26E1A" w:rsidRDefault="00C26E1A" w:rsidP="00C26E1A">
      <w:pPr>
        <w:spacing w:line="276" w:lineRule="exact"/>
        <w:rPr>
          <w:rFonts w:ascii="FrankRuehl" w:hAnsi="FrankRuehl" w:cs="FrankRuehl"/>
          <w:sz w:val="24"/>
          <w:szCs w:val="24"/>
          <w:rtl/>
        </w:rPr>
      </w:pPr>
    </w:p>
    <w:p w:rsidR="00C26E1A"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רא"ש הל' סדר עבודת יום הכיפורים</w:t>
      </w:r>
    </w:p>
    <w:p w:rsidR="00C26E1A" w:rsidRDefault="00C26E1A" w:rsidP="00C26E1A">
      <w:pPr>
        <w:spacing w:line="276" w:lineRule="exact"/>
        <w:rPr>
          <w:rFonts w:ascii="FrankRuehl" w:hAnsi="FrankRuehl" w:cs="FrankRuehl"/>
          <w:sz w:val="24"/>
          <w:szCs w:val="24"/>
          <w:rtl/>
        </w:rPr>
      </w:pPr>
      <w:r w:rsidRPr="00830B8E">
        <w:rPr>
          <w:rFonts w:ascii="FrankRuehl" w:hAnsi="FrankRuehl" w:cs="FrankRuehl"/>
          <w:sz w:val="24"/>
          <w:szCs w:val="24"/>
          <w:rtl/>
        </w:rPr>
        <w:t>ואיכא למימר שגם אימורי פר ושעיר היו קריבין אחר הוצאת כף ומחתה כדי שנמעט ההפסקה בין עבודת היום ובין הוצאת כף ומחתה שהרי הם כתובים מיד אחר עבודת היום והיה ראוי לעשותן מיד אלא שאנו צריכין להקדים אילו ואיל העם לקיים חמש טבילות ועשרה קידושין דגמירי שצריך לעשות ביום הכפורים. הלכך כל מה שנוכל למעט ההפסק עדיף טפי.</w:t>
      </w:r>
    </w:p>
    <w:p w:rsidR="00C26E1A" w:rsidRDefault="00C26E1A" w:rsidP="00C26E1A">
      <w:pPr>
        <w:spacing w:line="276" w:lineRule="exact"/>
        <w:rPr>
          <w:rFonts w:ascii="FrankRuehl" w:hAnsi="FrankRuehl" w:cs="FrankRuehl"/>
          <w:sz w:val="24"/>
          <w:szCs w:val="24"/>
          <w:rtl/>
        </w:rPr>
      </w:pPr>
    </w:p>
    <w:p w:rsidR="00C26E1A" w:rsidRDefault="00C26E1A" w:rsidP="00C26E1A">
      <w:pPr>
        <w:spacing w:line="276" w:lineRule="auto"/>
        <w:rPr>
          <w:rFonts w:ascii="FrankRuehl" w:hAnsi="FrankRuehl" w:cs="FrankRuehl"/>
          <w:sz w:val="24"/>
          <w:szCs w:val="24"/>
          <w:rtl/>
        </w:rPr>
      </w:pPr>
      <w:r>
        <w:rPr>
          <w:rFonts w:ascii="FrankRuehl" w:hAnsi="FrankRuehl" w:cs="FrankRuehl" w:hint="cs"/>
          <w:b/>
          <w:bCs/>
          <w:sz w:val="24"/>
          <w:szCs w:val="24"/>
          <w:rtl/>
        </w:rPr>
        <w:t>חכמת אדם סוף הלכות אבלות</w:t>
      </w:r>
    </w:p>
    <w:p w:rsidR="00C26E1A" w:rsidRDefault="00C26E1A" w:rsidP="00C26E1A">
      <w:pPr>
        <w:spacing w:line="276" w:lineRule="exact"/>
        <w:rPr>
          <w:rFonts w:ascii="FrankRuehl" w:hAnsi="FrankRuehl" w:cs="FrankRuehl"/>
          <w:sz w:val="24"/>
          <w:szCs w:val="24"/>
          <w:rtl/>
        </w:rPr>
      </w:pPr>
      <w:r w:rsidRPr="00321629">
        <w:rPr>
          <w:rFonts w:ascii="FrankRuehl" w:hAnsi="FrankRuehl" w:cs="FrankRuehl"/>
          <w:sz w:val="24"/>
          <w:szCs w:val="24"/>
          <w:rtl/>
        </w:rPr>
        <w:t>ונראה לי על פי מה ששמעתי בשם מחותני הגאון החסיד מוה"ר אליהו, שדקדק מה שאמרו בגמרא הביאו רש"י על פס' 'ובא אהרן', ופירש רש"י: 'כל הפרשה נאמרה על הסדר חוץ מפסוק הזה', ע"ש ברש"י. וקשה, וכי לא יוכל התורה לסדר הפסוקים כמו שסידרם רש"י, ורמב"ן דחק בזה. ותירץ הוא ז"ל על פי מדרש רבה בפרשה זו פרשה כ"א: 'אמר רבי יודן בר סימן: צער גדול כו' ואל יבא בכל עת – יש עת לשבעה שנים ויש עת לשבעים שנים כו', א"ל הקב"ה: לא עת לשנה ולא לז' שנים כו', אלא בכל שעה שהוא רוצה לכנוס יכנוס, רק שיכנס כסדר הזה', עד כאן. נשמע מזה שדוקא שאר כהנים גדולים אסורים לכנוס לקדשי קדשים אלא ביום הכפורים, אבל אהרן היה מותר לכנוס בכל שעה ושעה רק שיכנוס בסדר העבודה שנאמר בפרשה זו. ולפי זה התורה דקדקה בסדר, שהרי הטעם שאמרו בגמרא דקרא ד'ובא אהרן' הוא שלא כסדר, דגמירי דה' טבילות וי' קדושין לכהן גדול ביום הכפורים ואי כסדר הכתוב לא משכחת אלא ג', וזה דוקא ביום הכפורים היה הלכה למשה מסיני דצריך ה' טבילות, אבל כשירצה אהרן לעבוד בשאר ימות השנה לא גמירי הלכתא, ואם כן באמת אינו אלא ג' ועובד כסדר האמור בפרשה. ואם כן הפסוק 'ובא אהרן' נכתב כסדר, משום אהרן בשעת ימות השנה. עד כאן דברי הגאון, ותורת אמת היתה בפיהו ושפתיים יישק.</w:t>
      </w:r>
    </w:p>
    <w:p w:rsidR="00C26E1A" w:rsidRDefault="00C26E1A" w:rsidP="00C26E1A">
      <w:pPr>
        <w:spacing w:line="276" w:lineRule="exact"/>
        <w:rPr>
          <w:rFonts w:ascii="FrankRuehl" w:hAnsi="FrankRuehl" w:cs="FrankRuehl"/>
          <w:sz w:val="24"/>
          <w:szCs w:val="24"/>
          <w:rtl/>
        </w:rPr>
      </w:pPr>
    </w:p>
    <w:p w:rsidR="00C26E1A" w:rsidRDefault="00C26E1A" w:rsidP="00C26E1A">
      <w:pPr>
        <w:spacing w:line="276" w:lineRule="exact"/>
        <w:rPr>
          <w:rFonts w:ascii="FrankRuehl" w:hAnsi="FrankRuehl" w:cs="FrankRuehl"/>
          <w:b/>
          <w:bCs/>
          <w:sz w:val="24"/>
          <w:szCs w:val="24"/>
          <w:rtl/>
        </w:rPr>
      </w:pPr>
      <w:r>
        <w:rPr>
          <w:rFonts w:ascii="FrankRuehl" w:hAnsi="FrankRuehl" w:cs="FrankRuehl" w:hint="cs"/>
          <w:b/>
          <w:bCs/>
          <w:sz w:val="24"/>
          <w:szCs w:val="24"/>
          <w:rtl/>
        </w:rPr>
        <w:t>שיעורי הגרי"ד ע. עמ' קסב</w:t>
      </w:r>
    </w:p>
    <w:p w:rsidR="00C26E1A" w:rsidRDefault="00C26E1A" w:rsidP="00C26E1A">
      <w:pPr>
        <w:spacing w:line="276" w:lineRule="exact"/>
        <w:rPr>
          <w:rFonts w:ascii="FrankRuehl" w:hAnsi="FrankRuehl" w:cs="FrankRuehl"/>
          <w:sz w:val="24"/>
          <w:szCs w:val="24"/>
          <w:rtl/>
        </w:rPr>
      </w:pPr>
      <w:r>
        <w:rPr>
          <w:rFonts w:ascii="FrankRuehl" w:hAnsi="FrankRuehl" w:cs="FrankRuehl" w:hint="cs"/>
          <w:sz w:val="24"/>
          <w:szCs w:val="24"/>
          <w:rtl/>
        </w:rPr>
        <w:t xml:space="preserve">רש"י פירש: 'ופר העולה נמי דמוסף עם תמיד של בין הערבים בטבילה חמישית'. אך עיין ברמב"ם (פ"ד ה"ב) שפסק שתמיד של בין הערבים קרב בטבילה השלישית. וכך הביא הרמב"ן (ויקרא טז, כג) בשם הירושלמי. ולכאורה צדקו דבריהם, שהרי אחרי שגמרו את הקרבת כל קרבנות היום, עליהם להקריב את התמיד שנאמר: 'והקטיר עליה חלבי השלמים', 'עליה </w:t>
      </w:r>
      <w:r>
        <w:rPr>
          <w:rFonts w:ascii="FrankRuehl" w:hAnsi="FrankRuehl" w:cs="FrankRuehl"/>
          <w:sz w:val="24"/>
          <w:szCs w:val="24"/>
          <w:rtl/>
        </w:rPr>
        <w:t>–</w:t>
      </w:r>
      <w:r>
        <w:rPr>
          <w:rFonts w:ascii="FrankRuehl" w:hAnsi="FrankRuehl" w:cs="FrankRuehl" w:hint="cs"/>
          <w:sz w:val="24"/>
          <w:szCs w:val="24"/>
          <w:rtl/>
        </w:rPr>
        <w:t xml:space="preserve"> השלם כל הקרבנות' (לג, א).</w:t>
      </w:r>
    </w:p>
    <w:p w:rsidR="00C26E1A" w:rsidRPr="00830B8E" w:rsidRDefault="00C26E1A" w:rsidP="00C26E1A">
      <w:pPr>
        <w:spacing w:line="276" w:lineRule="exact"/>
        <w:rPr>
          <w:rFonts w:ascii="FrankRuehl" w:hAnsi="FrankRuehl" w:cs="FrankRuehl"/>
          <w:sz w:val="24"/>
          <w:szCs w:val="24"/>
          <w:rtl/>
        </w:rPr>
      </w:pPr>
      <w:r>
        <w:rPr>
          <w:rFonts w:ascii="FrankRuehl" w:hAnsi="FrankRuehl" w:cs="FrankRuehl" w:hint="cs"/>
          <w:sz w:val="24"/>
          <w:szCs w:val="24"/>
          <w:rtl/>
        </w:rPr>
        <w:t>על מנת להסביר את שיטת רש"י, יש לעיין בגמרא לקמן (ע, ב): 'תנו רבנן</w:t>
      </w:r>
      <w:r w:rsidRPr="00EA68EE">
        <w:rPr>
          <w:rFonts w:ascii="FrankRuehl" w:hAnsi="FrankRuehl" w:cs="FrankRuehl"/>
          <w:sz w:val="24"/>
          <w:szCs w:val="24"/>
          <w:rtl/>
        </w:rPr>
        <w:t>, ובא אהרן אל אהל מועד, למה הוא בא? להוציא את הכף ואת המחתה, שכל הפרשה כולה נאמרה על הסדר חוץ מפסוק זה". ויש להבין, מדוע באמת כתבה התורה את הפסוק הזה שלא כסדר. ונראה, שבאמת הוצאת הכף והמחתה צריכה להצטרף אל שאר העבודות הנעשות בבגדי לבן</w:t>
      </w:r>
      <w:r>
        <w:rPr>
          <w:rFonts w:ascii="FrankRuehl" w:hAnsi="FrankRuehl" w:cs="FrankRuehl" w:hint="cs"/>
          <w:sz w:val="24"/>
          <w:szCs w:val="24"/>
          <w:rtl/>
        </w:rPr>
        <w:t>. ולפי רבי עקיבא בטבילה שלישית היו מקריבים רק את הקרבנות שיש בהם קיום של עבות היום, אף על פי שנעשות בבגדי זהב בחוץ כדי שלא לחצוץ בין הוצאת כף ומחתה לבין שאר העבודות הנעשות בבגדי לבן.</w:t>
      </w:r>
      <w:r w:rsidRPr="00EA68EE">
        <w:rPr>
          <w:rFonts w:ascii="FrankRuehl" w:hAnsi="FrankRuehl" w:cs="FrankRuehl"/>
          <w:sz w:val="24"/>
          <w:szCs w:val="24"/>
          <w:rtl/>
        </w:rPr>
        <w:t xml:space="preserve"> והרי רבי סובר: 'איל אחד האמור כאן הוא האמור בחומש הפקודים', ומשמעות הדבר היא שיש בהקרבת איל המוספים קיום של עבודת היום</w:t>
      </w:r>
      <w:r>
        <w:rPr>
          <w:rFonts w:ascii="FrankRuehl" w:hAnsi="FrankRuehl" w:cs="FrankRuehl" w:hint="cs"/>
          <w:sz w:val="24"/>
          <w:szCs w:val="24"/>
          <w:rtl/>
        </w:rPr>
        <w:t xml:space="preserve">. גם שעיר החטאת קשור עם עבודת היום, אף על פי שהוא מוזכר רק בפרשת המוספים, שהרי הכתוב אומר (במדבר כט יא): 'מלבד חטאת הכפורים'. ומפסוק זה לומד רבי עקיבא שמקריבים את השעיר החיצון, רק לאחר השעיר הפנימי. ומכאן שכפרת שעיר החטאת של המוספים מצטרת עם </w:t>
      </w:r>
      <w:r w:rsidRPr="006B7ADB">
        <w:rPr>
          <w:noProof/>
          <w:highlight w:val="green"/>
          <w:rtl/>
        </w:rPr>
        <mc:AlternateContent>
          <mc:Choice Requires="wps">
            <w:drawing>
              <wp:anchor distT="0" distB="0" distL="114300" distR="114300" simplePos="0" relativeHeight="251716608" behindDoc="1" locked="0" layoutInCell="1" allowOverlap="1" wp14:anchorId="312B3BF4" wp14:editId="62A7D236">
                <wp:simplePos x="0" y="0"/>
                <wp:positionH relativeFrom="margin">
                  <wp:align>center</wp:align>
                </wp:positionH>
                <wp:positionV relativeFrom="paragraph">
                  <wp:posOffset>-182880</wp:posOffset>
                </wp:positionV>
                <wp:extent cx="5765800" cy="1158240"/>
                <wp:effectExtent l="0" t="0" r="25400" b="22860"/>
                <wp:wrapNone/>
                <wp:docPr id="37" name="מלבן 37"/>
                <wp:cNvGraphicFramePr/>
                <a:graphic xmlns:a="http://schemas.openxmlformats.org/drawingml/2006/main">
                  <a:graphicData uri="http://schemas.microsoft.com/office/word/2010/wordprocessingShape">
                    <wps:wsp>
                      <wps:cNvSpPr/>
                      <wps:spPr>
                        <a:xfrm>
                          <a:off x="0" y="0"/>
                          <a:ext cx="5765800" cy="11582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6B24E" id="מלבן 37" o:spid="_x0000_s1026" style="position:absolute;left:0;text-align:left;margin-left:0;margin-top:-14.4pt;width:454pt;height:91.2pt;z-index:-251599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90iQIAAAMFAAAOAAAAZHJzL2Uyb0RvYy54bWysVMtuGjEU3VfqP1jeNwMUQjLKECEiqkpR&#10;GimpsjYeDzOSX7UNA/2L7qv2s/idHnsm5NGsqrIwvg/fx7nnzsXlTkmyFc43Rhd0eDKgRGhuykav&#10;C/r1fvnhjBIfmC6ZNFoUdC88vZy9f3fR2lyMTG1kKRxBEO3z1ha0DsHmWeZ5LRTzJ8YKDWNlnGIB&#10;oltnpWMtoiuZjQaD06w1rrTOcOE9tFedkc5S/KoSPHypKi8CkQVFbSGdLp2reGazC5avHbN1w/sy&#10;2D9UoVijkfQY6ooFRjau+SuUargz3lThhBuVmapquEg9oJvh4FU3dzWzIvUCcLw9wuT/X1h+s711&#10;pCkL+nFKiWYKMzr8Ovw8/Dj8JlABn9b6HG539tb1ksc1NrurnIr/aIPsEqb7I6ZiFwiHcjI9nZwN&#10;AD2HbTicnI3GCfXs6bl1PnwSRpF4KajD0BKWbHvtA1LC9dElZvNGNuWykTIJe7+QjmwZ5gtalKal&#10;RDIfoCzoMv1iDwjx4pnUpEU554NJrIyBeJVkAVdlAYXXa0qYXIPRPLhUy4vX3q1Xx6zj8XS0GL+V&#10;JBZ9xXzdVZciRDeWqyaA9LJRBQU0+PWvpY5WkWjbtx7B7+COt5Up9xiXMx2PveXLBkmu0fAtcyAu&#10;usEyhi84KmnQoulvlNTGfX9LH/3BJ1gpabEIaP/bhjkBHD9rMO18OMbESEjCeDIdQXDPLavnFr1R&#10;C4NZDLH2lqdr9A/yUVs5ox6ws/OYFSamOXJ3QPfCInQLiq3nYj5PbtgWy8K1vrM8Bo84RXjvdw/M&#10;2Z44AZy7MY9Lw/JX/Ol840tt5ptgqiaR6wlX0CQK2LREmP6rEFf5uZy8nr5dsz8AAAD//wMAUEsD&#10;BBQABgAIAAAAIQDQzW0a3QAAAAgBAAAPAAAAZHJzL2Rvd25yZXYueG1sTI/BTsMwEETvSPyDtUjc&#10;WrtFRCGNU1EkBBxAtKCe3XhJIux1iN0m/D3LCY47M5qdV64n78QJh9gF0rCYKxBIdbAdNRre3+5n&#10;OYiYDFnjAqGGb4ywrs7PSlPYMNIWT7vUCC6hWBgNbUp9IWWsW/QmzkOPxN5HGLxJfA6NtIMZudw7&#10;uVQqk950xB9a0+Ndi/Xn7ug1PG2ar/1js9hm3r2OG3pQL89BaX15Md2uQCSc0l8YfufzdKh40yEc&#10;yUbhNDBI0jBb5gzA9o3KWTlw7voqA1mV8j9A9QMAAP//AwBQSwECLQAUAAYACAAAACEAtoM4kv4A&#10;AADhAQAAEwAAAAAAAAAAAAAAAAAAAAAAW0NvbnRlbnRfVHlwZXNdLnhtbFBLAQItABQABgAIAAAA&#10;IQA4/SH/1gAAAJQBAAALAAAAAAAAAAAAAAAAAC8BAABfcmVscy8ucmVsc1BLAQItABQABgAIAAAA&#10;IQCg4u90iQIAAAMFAAAOAAAAAAAAAAAAAAAAAC4CAABkcnMvZTJvRG9jLnhtbFBLAQItABQABgAI&#10;AAAAIQDQzW0a3QAAAAgBAAAPAAAAAAAAAAAAAAAAAOMEAABkcnMvZG93bnJldi54bWxQSwUGAAAA&#10;AAQABADzAAAA7QUAAAAA&#10;" fillcolor="window" strokecolor="#4472c4" strokeweight="1.5pt">
                <w10:wrap anchorx="margin"/>
              </v:rect>
            </w:pict>
          </mc:Fallback>
        </mc:AlternateContent>
      </w:r>
      <w:r>
        <w:rPr>
          <w:rFonts w:ascii="FrankRuehl" w:hAnsi="FrankRuehl" w:cs="FrankRuehl" w:hint="cs"/>
          <w:sz w:val="24"/>
          <w:szCs w:val="24"/>
          <w:rtl/>
        </w:rPr>
        <w:t>כפרת השעיר הפנימי.</w:t>
      </w:r>
      <w:r w:rsidRPr="00EA68EE">
        <w:rPr>
          <w:rFonts w:ascii="FrankRuehl" w:hAnsi="FrankRuehl" w:cs="FrankRuehl"/>
          <w:sz w:val="24"/>
          <w:szCs w:val="24"/>
          <w:rtl/>
        </w:rPr>
        <w:t xml:space="preserve"> על רקע זה ניתן להבין מדוע לא מקריבים את קרבן התמיד של בין הערבים לפני הוצאת הכף והמחתה. שהרי, קרבן זה איננו קשור לעבודת היום של פרשת אחרי מות, והקרבתו במסגרת העבודות של </w:t>
      </w:r>
      <w:r w:rsidR="00782FFD" w:rsidRPr="006B7ADB">
        <w:rPr>
          <w:noProof/>
          <w:highlight w:val="green"/>
          <w:rtl/>
        </w:rPr>
        <w:lastRenderedPageBreak/>
        <mc:AlternateContent>
          <mc:Choice Requires="wps">
            <w:drawing>
              <wp:anchor distT="0" distB="0" distL="114300" distR="114300" simplePos="0" relativeHeight="251755520" behindDoc="1" locked="0" layoutInCell="1" allowOverlap="1" wp14:anchorId="00F542B3" wp14:editId="5C0C6ED2">
                <wp:simplePos x="0" y="0"/>
                <wp:positionH relativeFrom="margin">
                  <wp:align>center</wp:align>
                </wp:positionH>
                <wp:positionV relativeFrom="paragraph">
                  <wp:posOffset>-144780</wp:posOffset>
                </wp:positionV>
                <wp:extent cx="5765800" cy="762000"/>
                <wp:effectExtent l="0" t="0" r="25400" b="19050"/>
                <wp:wrapNone/>
                <wp:docPr id="50" name="מלבן 50"/>
                <wp:cNvGraphicFramePr/>
                <a:graphic xmlns:a="http://schemas.openxmlformats.org/drawingml/2006/main">
                  <a:graphicData uri="http://schemas.microsoft.com/office/word/2010/wordprocessingShape">
                    <wps:wsp>
                      <wps:cNvSpPr/>
                      <wps:spPr>
                        <a:xfrm>
                          <a:off x="0" y="0"/>
                          <a:ext cx="5765800" cy="76200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5CE4E" id="מלבן 50" o:spid="_x0000_s1026" style="position:absolute;left:0;text-align:left;margin-left:0;margin-top:-11.4pt;width:454pt;height:60pt;z-index:-251560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ULhgIAAAIFAAAOAAAAZHJzL2Uyb0RvYy54bWysVE1vGjEQvVfqf7B8bxYQhGSVJUJEVJWi&#10;JBKpcjZeL6zkr9qGhf6L3qv2Z/F3+uzdQJLmVJWD8XjGM/Oe3+zV9U5JshXO10YXtH/Wo0Robspa&#10;rwr69XH+6YISH5gumTRaFHQvPL2efPxw1dhcDMzayFI4giTa540t6DoEm2eZ52uhmD8zVmg4K+MU&#10;CzDdKisda5BdyWzQ651njXGldYYL73F60zrpJOWvKsHDfVV5EYgsKHoLaXVpXcY1m1yxfOWYXde8&#10;a4P9QxeK1RpFj6luWGBk4+q/UqmaO+NNFc64UZmpqpqLhAFo+r03aBZrZkXCAnK8PdLk/19afrd9&#10;cKQuCzoCPZopvNHh1+Hn4cfhN8ER+GmszxG2sA+uszy2Eeyucir+AwbZJU73R07FLhCOw9H4fHTR&#10;Q24O3/gcb5aSZqfb1vnwWRhF4qagDm+WqGTbWx9QEaHPIbGYN7Iu57WUydj7mXRky/C8UEVpGkok&#10;8wGHBZ2nX4SAFK+uSU0aqPWyF0FzBt1VkgVslQUTXq8oYXIFQfPgUi+vbnu3Wh6rDofjwWz4XpHY&#10;9A3z67a7lCGGsVzVAZqXtSoomDkRInX0iqTaDnrkvmU77pam3OO1nGll7C2f1yhyC8APzEG3QINZ&#10;DPdYKmkA0XQ7StbGfX/vPMZDTvBS0mAOAP/bhjkBHr9oCO2yPxwibUjGcDQewHAvPcuXHr1RM4O3&#10;6GPqLU/bGB/k82nljHrCyE5jVbiY5qjdEt0Zs9DOJ4aei+k0hWFYLAu3emF5TB55ivQ+7p6Ys51w&#10;AiR3Z55nhuVv9NPGxpvaTDfBVHUS14lXyCQaGLQkmO6jECf5pZ2iTp+uyR8AAAD//wMAUEsDBBQA&#10;BgAIAAAAIQDlnjlv3AAAAAcBAAAPAAAAZHJzL2Rvd25yZXYueG1sTI9BT8MwDIXvSPyHyEjctmQ9&#10;jFGaTgwJAQfQNhDnrDFpReKUJlvLv8ec4Gb7PT1/r1pPwYsTDqmLpGExVyCQmmg7chreXu9nKxAp&#10;G7LGR0IN35hgXZ+fVaa0caQdnvbZCQ6hVBoNbc59KWVqWgwmzWOPxNpHHILJvA5O2sGMHB68LJRa&#10;ymA64g+t6fGuxeZzfwwanjbu6/3RLXbL4Lfjhh7Uy3NUWl9eTLc3IDJO+c8Mv/iMDjUzHeKRbBJe&#10;AxfJGmZFwQVYvlYrvhx4uCpA1pX8z1//AAAA//8DAFBLAQItABQABgAIAAAAIQC2gziS/gAAAOEB&#10;AAATAAAAAAAAAAAAAAAAAAAAAABbQ29udGVudF9UeXBlc10ueG1sUEsBAi0AFAAGAAgAAAAhADj9&#10;If/WAAAAlAEAAAsAAAAAAAAAAAAAAAAALwEAAF9yZWxzLy5yZWxzUEsBAi0AFAAGAAgAAAAhANDf&#10;NQuGAgAAAgUAAA4AAAAAAAAAAAAAAAAALgIAAGRycy9lMm9Eb2MueG1sUEsBAi0AFAAGAAgAAAAh&#10;AOWeOW/cAAAABwEAAA8AAAAAAAAAAAAAAAAA4AQAAGRycy9kb3ducmV2LnhtbFBLBQYAAAAABAAE&#10;APMAAADpBQAAAAA=&#10;" fillcolor="window" strokecolor="#4472c4" strokeweight="1.5pt">
                <w10:wrap anchorx="margin"/>
              </v:rect>
            </w:pict>
          </mc:Fallback>
        </mc:AlternateContent>
      </w:r>
      <w:r w:rsidRPr="00EA68EE">
        <w:rPr>
          <w:rFonts w:ascii="FrankRuehl" w:hAnsi="FrankRuehl" w:cs="FrankRuehl"/>
          <w:sz w:val="24"/>
          <w:szCs w:val="24"/>
          <w:rtl/>
        </w:rPr>
        <w:t>הטבילה השלישית, היתה גורמת לחיץ בין העבודות הנעשות בבגדי לבן שבטבילה שנייה, לבין הוצאת הכף והמחתה שצריכה להתייחס אליהן.</w:t>
      </w:r>
    </w:p>
    <w:p w:rsidR="00C26E1A" w:rsidRPr="006B7ADB" w:rsidRDefault="00C26E1A" w:rsidP="00C26E1A">
      <w:pPr>
        <w:spacing w:line="276" w:lineRule="exact"/>
        <w:rPr>
          <w:rFonts w:ascii="FrankRuehl" w:hAnsi="FrankRuehl" w:cs="FrankRuehl"/>
          <w:sz w:val="24"/>
          <w:szCs w:val="24"/>
          <w:highlight w:val="green"/>
          <w:rtl/>
        </w:rPr>
      </w:pPr>
    </w:p>
    <w:p w:rsidR="00C26E1A" w:rsidRPr="006B7ADB" w:rsidRDefault="00C26E1A" w:rsidP="00C26E1A">
      <w:pPr>
        <w:spacing w:line="276" w:lineRule="exact"/>
        <w:rPr>
          <w:rFonts w:ascii="FrankRuehl" w:hAnsi="FrankRuehl" w:cs="FrankRuehl"/>
          <w:sz w:val="24"/>
          <w:szCs w:val="24"/>
          <w:highlight w:val="green"/>
          <w:rtl/>
        </w:rPr>
      </w:pPr>
    </w:p>
    <w:p w:rsidR="00C26E1A" w:rsidRDefault="00C26E1A" w:rsidP="00C26E1A">
      <w:pPr>
        <w:spacing w:before="200" w:line="276" w:lineRule="exact"/>
        <w:ind w:firstLine="227"/>
        <w:rPr>
          <w:sz w:val="24"/>
          <w:szCs w:val="24"/>
          <w:rtl/>
        </w:rPr>
      </w:pPr>
      <w:r>
        <w:rPr>
          <w:rFonts w:hint="cs"/>
          <w:sz w:val="24"/>
          <w:szCs w:val="24"/>
          <w:rtl/>
        </w:rPr>
        <w:t>המשנה מפרטת את סדר עבודות היום הנעשות לאחר השלמת עבודות הכפרה ולאחר הקריאה בתורה:</w:t>
      </w:r>
    </w:p>
    <w:p w:rsidR="00C26E1A" w:rsidRDefault="00C26E1A" w:rsidP="00C26E1A">
      <w:pPr>
        <w:spacing w:before="200" w:line="276" w:lineRule="exact"/>
        <w:ind w:left="720"/>
        <w:rPr>
          <w:sz w:val="24"/>
          <w:szCs w:val="24"/>
          <w:rtl/>
        </w:rPr>
      </w:pPr>
      <w:r w:rsidRPr="006B7ADB">
        <w:rPr>
          <w:sz w:val="24"/>
          <w:szCs w:val="24"/>
          <w:rtl/>
        </w:rPr>
        <w:t>אם בבגדי בוץ קורא קדש ידיו ורגליו פשט ירד וטבל עלה ונסתפג</w:t>
      </w:r>
      <w:r>
        <w:rPr>
          <w:rFonts w:hint="cs"/>
          <w:sz w:val="24"/>
          <w:szCs w:val="24"/>
          <w:rtl/>
        </w:rPr>
        <w:t>,</w:t>
      </w:r>
      <w:r w:rsidRPr="006B7ADB">
        <w:rPr>
          <w:sz w:val="24"/>
          <w:szCs w:val="24"/>
          <w:rtl/>
        </w:rPr>
        <w:t xml:space="preserve"> והביאו לו בגדי זהב ולבש וקדש ידיו ורגליו</w:t>
      </w:r>
      <w:r>
        <w:rPr>
          <w:rFonts w:hint="cs"/>
          <w:sz w:val="24"/>
          <w:szCs w:val="24"/>
          <w:rtl/>
        </w:rPr>
        <w:t>,</w:t>
      </w:r>
      <w:r w:rsidRPr="006B7ADB">
        <w:rPr>
          <w:sz w:val="24"/>
          <w:szCs w:val="24"/>
          <w:rtl/>
        </w:rPr>
        <w:t xml:space="preserve"> ויצא ועשה את אילו ואת איל העם ואת שבעת כבשים תמימים בני שנה</w:t>
      </w:r>
      <w:r>
        <w:rPr>
          <w:rFonts w:hint="cs"/>
          <w:sz w:val="24"/>
          <w:szCs w:val="24"/>
          <w:rtl/>
        </w:rPr>
        <w:t>,</w:t>
      </w:r>
      <w:r w:rsidRPr="006B7ADB">
        <w:rPr>
          <w:sz w:val="24"/>
          <w:szCs w:val="24"/>
          <w:rtl/>
        </w:rPr>
        <w:t xml:space="preserve"> דברי רבי אליעזר</w:t>
      </w:r>
      <w:r>
        <w:rPr>
          <w:rFonts w:hint="cs"/>
          <w:sz w:val="24"/>
          <w:szCs w:val="24"/>
          <w:rtl/>
        </w:rPr>
        <w:t>.</w:t>
      </w:r>
      <w:r w:rsidRPr="006B7ADB">
        <w:rPr>
          <w:sz w:val="24"/>
          <w:szCs w:val="24"/>
          <w:rtl/>
        </w:rPr>
        <w:t xml:space="preserve"> רבי עקיבא אומר</w:t>
      </w:r>
      <w:r>
        <w:rPr>
          <w:rFonts w:hint="cs"/>
          <w:sz w:val="24"/>
          <w:szCs w:val="24"/>
          <w:rtl/>
        </w:rPr>
        <w:t>:</w:t>
      </w:r>
      <w:r w:rsidRPr="006B7ADB">
        <w:rPr>
          <w:sz w:val="24"/>
          <w:szCs w:val="24"/>
          <w:rtl/>
        </w:rPr>
        <w:t xml:space="preserve"> עם תמיד של שחר היו קרבין</w:t>
      </w:r>
      <w:r>
        <w:rPr>
          <w:rFonts w:hint="cs"/>
          <w:sz w:val="24"/>
          <w:szCs w:val="24"/>
          <w:rtl/>
        </w:rPr>
        <w:t>.</w:t>
      </w:r>
      <w:r w:rsidRPr="006B7ADB">
        <w:rPr>
          <w:sz w:val="24"/>
          <w:szCs w:val="24"/>
          <w:rtl/>
        </w:rPr>
        <w:t xml:space="preserve"> ופר העולה ושעיר הנעשה בחוץ היו קרבין עם תמיד של בין הערבים</w:t>
      </w:r>
      <w:r>
        <w:rPr>
          <w:rFonts w:hint="cs"/>
          <w:sz w:val="24"/>
          <w:szCs w:val="24"/>
          <w:rtl/>
        </w:rPr>
        <w:t>.</w:t>
      </w:r>
      <w:r w:rsidRPr="006B7ADB">
        <w:rPr>
          <w:sz w:val="24"/>
          <w:szCs w:val="24"/>
          <w:rtl/>
        </w:rPr>
        <w:t xml:space="preserve"> קדש ידיו ורגליו ופשט וירד וטבל ועלה ונסתפג</w:t>
      </w:r>
      <w:r>
        <w:rPr>
          <w:rFonts w:hint="cs"/>
          <w:sz w:val="24"/>
          <w:szCs w:val="24"/>
          <w:rtl/>
        </w:rPr>
        <w:t>,</w:t>
      </w:r>
      <w:r w:rsidRPr="006B7ADB">
        <w:rPr>
          <w:sz w:val="24"/>
          <w:szCs w:val="24"/>
          <w:rtl/>
        </w:rPr>
        <w:t xml:space="preserve"> הביאו לו בגדי לבן ולבש וקדש ידיו ורגליו</w:t>
      </w:r>
      <w:r>
        <w:rPr>
          <w:rFonts w:hint="cs"/>
          <w:sz w:val="24"/>
          <w:szCs w:val="24"/>
          <w:rtl/>
        </w:rPr>
        <w:t>.</w:t>
      </w:r>
      <w:r>
        <w:rPr>
          <w:sz w:val="24"/>
          <w:szCs w:val="24"/>
          <w:rtl/>
        </w:rPr>
        <w:t xml:space="preserve"> נכנס להוציא את הכף ואת המחתה</w:t>
      </w:r>
      <w:r>
        <w:rPr>
          <w:rFonts w:hint="cs"/>
          <w:sz w:val="24"/>
          <w:szCs w:val="24"/>
          <w:rtl/>
        </w:rPr>
        <w:t xml:space="preserve">. </w:t>
      </w:r>
      <w:r w:rsidRPr="006B7ADB">
        <w:rPr>
          <w:sz w:val="24"/>
          <w:szCs w:val="24"/>
          <w:rtl/>
        </w:rPr>
        <w:t>קדש ידיו ורגליו ופשט</w:t>
      </w:r>
      <w:r>
        <w:rPr>
          <w:rFonts w:hint="cs"/>
          <w:sz w:val="24"/>
          <w:szCs w:val="24"/>
          <w:rtl/>
        </w:rPr>
        <w:t>,</w:t>
      </w:r>
      <w:r w:rsidRPr="006B7ADB">
        <w:rPr>
          <w:sz w:val="24"/>
          <w:szCs w:val="24"/>
          <w:rtl/>
        </w:rPr>
        <w:t xml:space="preserve"> וירד וטבל עלה ונסתפג</w:t>
      </w:r>
      <w:r>
        <w:rPr>
          <w:rFonts w:hint="cs"/>
          <w:sz w:val="24"/>
          <w:szCs w:val="24"/>
          <w:rtl/>
        </w:rPr>
        <w:t>.</w:t>
      </w:r>
      <w:r w:rsidRPr="006B7ADB">
        <w:rPr>
          <w:sz w:val="24"/>
          <w:szCs w:val="24"/>
          <w:rtl/>
        </w:rPr>
        <w:t xml:space="preserve"> הביאו לו בגדי זהב ולבש וקדש ידיו ורגליו</w:t>
      </w:r>
      <w:r>
        <w:rPr>
          <w:rFonts w:hint="cs"/>
          <w:sz w:val="24"/>
          <w:szCs w:val="24"/>
          <w:rtl/>
        </w:rPr>
        <w:t>,</w:t>
      </w:r>
      <w:r w:rsidRPr="006B7ADB">
        <w:rPr>
          <w:sz w:val="24"/>
          <w:szCs w:val="24"/>
          <w:rtl/>
        </w:rPr>
        <w:t xml:space="preserve"> ונכנס להקטיר קטורת של בין הערבים ולהטיב את הנרות</w:t>
      </w:r>
      <w:r>
        <w:rPr>
          <w:rFonts w:hint="cs"/>
          <w:sz w:val="24"/>
          <w:szCs w:val="24"/>
          <w:rtl/>
        </w:rPr>
        <w:t>.</w:t>
      </w:r>
      <w:r w:rsidRPr="006B7ADB">
        <w:rPr>
          <w:sz w:val="24"/>
          <w:szCs w:val="24"/>
          <w:rtl/>
        </w:rPr>
        <w:t xml:space="preserve"> וקדש ידיו ורג</w:t>
      </w:r>
      <w:r>
        <w:rPr>
          <w:sz w:val="24"/>
          <w:szCs w:val="24"/>
          <w:rtl/>
        </w:rPr>
        <w:t>ליו ופשט</w:t>
      </w:r>
      <w:r>
        <w:rPr>
          <w:rFonts w:hint="cs"/>
          <w:sz w:val="24"/>
          <w:szCs w:val="24"/>
          <w:rtl/>
        </w:rPr>
        <w:t xml:space="preserve">, </w:t>
      </w:r>
      <w:r w:rsidRPr="006B7ADB">
        <w:rPr>
          <w:sz w:val="24"/>
          <w:szCs w:val="24"/>
          <w:rtl/>
        </w:rPr>
        <w:t>הביאו לו בגדי עצמו ולבש</w:t>
      </w:r>
      <w:r>
        <w:rPr>
          <w:rFonts w:hint="cs"/>
          <w:sz w:val="24"/>
          <w:szCs w:val="24"/>
          <w:rtl/>
        </w:rPr>
        <w:t>.</w:t>
      </w:r>
      <w:r w:rsidRPr="006B7ADB">
        <w:rPr>
          <w:sz w:val="24"/>
          <w:szCs w:val="24"/>
          <w:rtl/>
        </w:rPr>
        <w:t xml:space="preserve"> ומלוין אותו עד ביתו</w:t>
      </w:r>
      <w:r>
        <w:rPr>
          <w:rFonts w:hint="cs"/>
          <w:sz w:val="24"/>
          <w:szCs w:val="24"/>
          <w:rtl/>
        </w:rPr>
        <w:t>,</w:t>
      </w:r>
      <w:r w:rsidRPr="006B7ADB">
        <w:rPr>
          <w:sz w:val="24"/>
          <w:szCs w:val="24"/>
          <w:rtl/>
        </w:rPr>
        <w:t xml:space="preserve"> ויום טוב היה עושה לאוהביו בשעה שיצא בשלום מן הקודש</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[משנה ע.]</w:t>
      </w:r>
    </w:p>
    <w:p w:rsidR="00C26E1A" w:rsidRDefault="00C26E1A" w:rsidP="00C26E1A">
      <w:pPr>
        <w:spacing w:before="200" w:line="276" w:lineRule="exact"/>
        <w:ind w:firstLine="227"/>
        <w:rPr>
          <w:sz w:val="24"/>
          <w:szCs w:val="24"/>
          <w:rtl/>
        </w:rPr>
      </w:pPr>
      <w:r>
        <w:rPr>
          <w:rFonts w:hint="cs"/>
          <w:sz w:val="24"/>
          <w:szCs w:val="24"/>
          <w:rtl/>
        </w:rPr>
        <w:t>מדברי המשנה עולה, כי השלמת העבודות הנעשות בבגדי זהב, נעשתה בשני שלבים, כאשר ביניהם הכהן הגדול היה טובל, לובש בגדי לבן ומוציא את הכף והמחתה מקודש הקדשים.</w:t>
      </w:r>
    </w:p>
    <w:p w:rsidR="00C26E1A" w:rsidRDefault="00C26E1A" w:rsidP="00C26E1A">
      <w:pPr>
        <w:spacing w:before="200" w:line="276" w:lineRule="exact"/>
        <w:ind w:firstLine="227"/>
        <w:rPr>
          <w:sz w:val="24"/>
          <w:szCs w:val="24"/>
          <w:rtl/>
        </w:rPr>
      </w:pPr>
      <w:r>
        <w:rPr>
          <w:rFonts w:hint="cs"/>
          <w:sz w:val="24"/>
          <w:szCs w:val="24"/>
          <w:rtl/>
        </w:rPr>
        <w:t>הגמרא לומדת סדר זה מדרשה:</w:t>
      </w:r>
    </w:p>
    <w:p w:rsidR="00C26E1A" w:rsidRPr="00726CFC" w:rsidRDefault="00C26E1A" w:rsidP="00C26E1A">
      <w:pPr>
        <w:spacing w:before="200" w:line="276" w:lineRule="exact"/>
        <w:ind w:left="720"/>
        <w:rPr>
          <w:sz w:val="20"/>
          <w:szCs w:val="20"/>
          <w:rtl/>
        </w:rPr>
      </w:pPr>
      <w:r w:rsidRPr="00726CFC">
        <w:rPr>
          <w:sz w:val="24"/>
          <w:szCs w:val="24"/>
          <w:rtl/>
        </w:rPr>
        <w:t>תנו רבנן</w:t>
      </w:r>
      <w:r>
        <w:rPr>
          <w:rFonts w:hint="cs"/>
          <w:sz w:val="24"/>
          <w:szCs w:val="24"/>
          <w:rtl/>
        </w:rPr>
        <w:t>, '</w:t>
      </w:r>
      <w:r w:rsidRPr="00726CFC">
        <w:rPr>
          <w:sz w:val="24"/>
          <w:szCs w:val="24"/>
          <w:rtl/>
        </w:rPr>
        <w:t>ובא אהרן אל אהל מועד</w:t>
      </w:r>
      <w:r>
        <w:rPr>
          <w:rFonts w:hint="cs"/>
          <w:sz w:val="24"/>
          <w:szCs w:val="24"/>
          <w:rtl/>
        </w:rPr>
        <w:t xml:space="preserve">' </w:t>
      </w:r>
      <w:r>
        <w:rPr>
          <w:sz w:val="24"/>
          <w:szCs w:val="24"/>
          <w:rtl/>
        </w:rPr>
        <w:t>–</w:t>
      </w:r>
      <w:r w:rsidRPr="00726CFC">
        <w:rPr>
          <w:sz w:val="24"/>
          <w:szCs w:val="24"/>
          <w:rtl/>
        </w:rPr>
        <w:t xml:space="preserve"> למה הוא בא</w:t>
      </w:r>
      <w:r>
        <w:rPr>
          <w:rFonts w:hint="cs"/>
          <w:sz w:val="24"/>
          <w:szCs w:val="24"/>
          <w:rtl/>
        </w:rPr>
        <w:t>?</w:t>
      </w:r>
      <w:r w:rsidRPr="00726CFC">
        <w:rPr>
          <w:sz w:val="24"/>
          <w:szCs w:val="24"/>
          <w:rtl/>
        </w:rPr>
        <w:t xml:space="preserve"> להוציא את הכף ואת המחתה</w:t>
      </w:r>
      <w:r>
        <w:rPr>
          <w:rFonts w:hint="cs"/>
          <w:sz w:val="24"/>
          <w:szCs w:val="24"/>
          <w:rtl/>
        </w:rPr>
        <w:t xml:space="preserve">, </w:t>
      </w:r>
      <w:r w:rsidRPr="00726CFC">
        <w:rPr>
          <w:sz w:val="24"/>
          <w:szCs w:val="24"/>
          <w:rtl/>
        </w:rPr>
        <w:t>שכל הפרשה כולה נאמרה על הסדר חוץ מפסוק זה</w:t>
      </w:r>
      <w:r>
        <w:rPr>
          <w:rFonts w:hint="cs"/>
          <w:sz w:val="24"/>
          <w:szCs w:val="24"/>
          <w:rtl/>
        </w:rPr>
        <w:t>.</w:t>
      </w:r>
      <w:r w:rsidRPr="00726CFC">
        <w:rPr>
          <w:sz w:val="24"/>
          <w:szCs w:val="24"/>
          <w:rtl/>
        </w:rPr>
        <w:t xml:space="preserve"> מאי </w:t>
      </w:r>
      <w:r>
        <w:rPr>
          <w:sz w:val="24"/>
          <w:szCs w:val="24"/>
          <w:rtl/>
        </w:rPr>
        <w:t>טעמא</w:t>
      </w:r>
      <w:r>
        <w:rPr>
          <w:rFonts w:hint="cs"/>
          <w:sz w:val="24"/>
          <w:szCs w:val="24"/>
          <w:rtl/>
        </w:rPr>
        <w:t xml:space="preserve">? </w:t>
      </w:r>
      <w:r w:rsidRPr="00726CFC">
        <w:rPr>
          <w:sz w:val="24"/>
          <w:szCs w:val="24"/>
          <w:rtl/>
        </w:rPr>
        <w:t>אמר רב חסדא</w:t>
      </w:r>
      <w:r>
        <w:rPr>
          <w:rFonts w:hint="cs"/>
          <w:sz w:val="24"/>
          <w:szCs w:val="24"/>
          <w:rtl/>
        </w:rPr>
        <w:t>:</w:t>
      </w:r>
      <w:r w:rsidRPr="00726CFC">
        <w:rPr>
          <w:sz w:val="24"/>
          <w:szCs w:val="24"/>
          <w:rtl/>
        </w:rPr>
        <w:t xml:space="preserve"> גמירי חמש טבילות ועשרה קידושין טובל כהן גדול ומקדש בו ביום</w:t>
      </w:r>
      <w:r>
        <w:rPr>
          <w:rFonts w:hint="cs"/>
          <w:sz w:val="24"/>
          <w:szCs w:val="24"/>
          <w:rtl/>
        </w:rPr>
        <w:t>,</w:t>
      </w:r>
      <w:r w:rsidRPr="00726CFC">
        <w:rPr>
          <w:sz w:val="24"/>
          <w:szCs w:val="24"/>
          <w:rtl/>
        </w:rPr>
        <w:t xml:space="preserve"> ואי אמרת כסדרן כתיבי לא משכחת לה אלא שלש טבילות וששה קידושין</w:t>
      </w:r>
      <w:r w:rsidRPr="00726CFC">
        <w:rPr>
          <w:rFonts w:hint="cs"/>
          <w:sz w:val="24"/>
          <w:szCs w:val="24"/>
          <w:rtl/>
        </w:rPr>
        <w:t>.</w:t>
      </w:r>
      <w:r w:rsidRPr="00726CFC">
        <w:rPr>
          <w:sz w:val="24"/>
          <w:szCs w:val="24"/>
          <w:rtl/>
        </w:rPr>
        <w:tab/>
      </w:r>
      <w:r w:rsidRPr="00726CFC">
        <w:rPr>
          <w:sz w:val="24"/>
          <w:szCs w:val="24"/>
          <w:rtl/>
        </w:rPr>
        <w:tab/>
      </w:r>
      <w:r w:rsidRPr="00726CFC">
        <w:rPr>
          <w:sz w:val="24"/>
          <w:szCs w:val="24"/>
          <w:rtl/>
        </w:rPr>
        <w:tab/>
      </w:r>
      <w:r w:rsidRPr="00726CFC">
        <w:rPr>
          <w:sz w:val="24"/>
          <w:szCs w:val="24"/>
          <w:rtl/>
        </w:rPr>
        <w:tab/>
      </w:r>
      <w:r w:rsidRPr="00726CFC">
        <w:rPr>
          <w:sz w:val="24"/>
          <w:szCs w:val="24"/>
          <w:rtl/>
        </w:rPr>
        <w:tab/>
      </w:r>
      <w:r w:rsidRPr="00726CFC">
        <w:rPr>
          <w:rFonts w:hint="cs"/>
          <w:sz w:val="24"/>
          <w:szCs w:val="24"/>
          <w:rtl/>
        </w:rPr>
        <w:t xml:space="preserve">  </w:t>
      </w:r>
      <w:r w:rsidRPr="00726CFC">
        <w:rPr>
          <w:rFonts w:hint="cs"/>
          <w:sz w:val="20"/>
          <w:szCs w:val="20"/>
          <w:rtl/>
        </w:rPr>
        <w:t>[יומא ע:-עא.]</w:t>
      </w:r>
    </w:p>
    <w:p w:rsidR="00C26E1A" w:rsidRDefault="00C26E1A" w:rsidP="00C26E1A">
      <w:pPr>
        <w:spacing w:before="200" w:line="276" w:lineRule="auto"/>
        <w:ind w:firstLine="266"/>
        <w:rPr>
          <w:sz w:val="24"/>
          <w:szCs w:val="24"/>
          <w:rtl/>
        </w:rPr>
      </w:pPr>
      <w:r w:rsidRPr="00726CFC">
        <w:rPr>
          <w:rFonts w:hint="cs"/>
          <w:sz w:val="24"/>
          <w:szCs w:val="24"/>
          <w:rtl/>
        </w:rPr>
        <w:t>ה</w:t>
      </w:r>
      <w:r>
        <w:rPr>
          <w:rFonts w:hint="cs"/>
          <w:sz w:val="24"/>
          <w:szCs w:val="24"/>
          <w:rtl/>
        </w:rPr>
        <w:t xml:space="preserve">גמרא לומדת מהכתוב </w:t>
      </w:r>
      <w:r>
        <w:rPr>
          <w:rFonts w:hint="cs"/>
          <w:sz w:val="20"/>
          <w:szCs w:val="20"/>
          <w:rtl/>
        </w:rPr>
        <w:t>[ויקרא טז, כג]</w:t>
      </w:r>
      <w:r>
        <w:rPr>
          <w:rFonts w:hint="cs"/>
          <w:sz w:val="24"/>
          <w:szCs w:val="24"/>
          <w:rtl/>
        </w:rPr>
        <w:t xml:space="preserve"> "ובא אהרן אל אהל מועד" שהכהן הגדול נכנס לקודש הקדשים פעם נוספת, כדי להוציא את הכף והמחתה</w:t>
      </w:r>
      <w:r>
        <w:rPr>
          <w:rStyle w:val="a7"/>
          <w:sz w:val="24"/>
          <w:szCs w:val="24"/>
          <w:rtl/>
        </w:rPr>
        <w:footnoteReference w:id="178"/>
      </w:r>
      <w:r>
        <w:rPr>
          <w:rFonts w:hint="cs"/>
          <w:sz w:val="24"/>
          <w:szCs w:val="24"/>
          <w:rtl/>
        </w:rPr>
        <w:t xml:space="preserve">. הגמרא מוסיפה, כי על אף שכתוב זה מופיע מיד לאחר סיום עבודות הכפרה, בהכרח עבודה זו נעשתה מאוחר יותר, שכן אם הכתובים הם כסדרם </w:t>
      </w:r>
      <w:r>
        <w:rPr>
          <w:sz w:val="24"/>
          <w:szCs w:val="24"/>
          <w:rtl/>
        </w:rPr>
        <w:t>–</w:t>
      </w:r>
      <w:r>
        <w:rPr>
          <w:rFonts w:hint="cs"/>
          <w:sz w:val="24"/>
          <w:szCs w:val="24"/>
          <w:rtl/>
        </w:rPr>
        <w:t xml:space="preserve"> הכהן הגדול טובל שלוש טבילות ומקדש ידיו ורגליו שישה קידושים, ואילו אנו מקובלים במסורת שהיו חמש טבילות ועשרה קידושים.</w:t>
      </w:r>
    </w:p>
    <w:p w:rsidR="00C26E1A" w:rsidRDefault="00C26E1A" w:rsidP="00C26E1A">
      <w:pPr>
        <w:spacing w:before="200" w:line="276" w:lineRule="auto"/>
        <w:ind w:firstLine="266"/>
        <w:rPr>
          <w:sz w:val="24"/>
          <w:szCs w:val="24"/>
          <w:rtl/>
        </w:rPr>
      </w:pPr>
      <w:r>
        <w:rPr>
          <w:rFonts w:hint="cs"/>
          <w:sz w:val="24"/>
          <w:szCs w:val="24"/>
          <w:rtl/>
        </w:rPr>
        <w:t>דברי הגמרא, "שכל הפרשה כולה נאמרה על הסדר חוץ מפסוק זה", מעלים שתי תמיהות:</w:t>
      </w:r>
    </w:p>
    <w:p w:rsidR="00C26E1A" w:rsidRDefault="00C26E1A" w:rsidP="00C26E1A">
      <w:pPr>
        <w:pStyle w:val="a8"/>
        <w:numPr>
          <w:ilvl w:val="0"/>
          <w:numId w:val="7"/>
        </w:numPr>
        <w:spacing w:before="200" w:line="276" w:lineRule="auto"/>
        <w:rPr>
          <w:sz w:val="24"/>
          <w:szCs w:val="24"/>
        </w:rPr>
      </w:pPr>
      <w:r>
        <w:rPr>
          <w:rFonts w:hint="cs"/>
          <w:sz w:val="24"/>
          <w:szCs w:val="24"/>
          <w:rtl/>
        </w:rPr>
        <w:t>אם אכן הוצאת הכף והמחתה נעשתה רק לאחר מכן, מדוע התורה כתבה אותה שלא במקומה</w:t>
      </w:r>
      <w:r>
        <w:rPr>
          <w:rStyle w:val="a7"/>
          <w:sz w:val="24"/>
          <w:szCs w:val="24"/>
          <w:rtl/>
        </w:rPr>
        <w:footnoteReference w:id="179"/>
      </w:r>
      <w:r>
        <w:rPr>
          <w:rFonts w:hint="cs"/>
          <w:sz w:val="24"/>
          <w:szCs w:val="24"/>
          <w:rtl/>
        </w:rPr>
        <w:t>?</w:t>
      </w:r>
    </w:p>
    <w:p w:rsidR="00C26E1A" w:rsidRDefault="00C26E1A" w:rsidP="00C26E1A">
      <w:pPr>
        <w:pStyle w:val="a8"/>
        <w:numPr>
          <w:ilvl w:val="0"/>
          <w:numId w:val="7"/>
        </w:numPr>
        <w:spacing w:before="200" w:line="276" w:lineRule="auto"/>
        <w:rPr>
          <w:sz w:val="24"/>
          <w:szCs w:val="24"/>
        </w:rPr>
      </w:pPr>
      <w:r>
        <w:rPr>
          <w:rFonts w:hint="cs"/>
          <w:sz w:val="24"/>
          <w:szCs w:val="24"/>
          <w:rtl/>
        </w:rPr>
        <w:t>לכאורה, דווקא סדר המקראות בתורה הוא המסתבר: מיד לאחר סיום עבודות הכפרה יש להוציא את הכף והמחתה, ולאחר מכן שאר עבודות היום נעשות ברצף אחד. לעומת זאת, הסדר ההלכתי טעון ביאור: מדוע יש לדחות את הוצאת הכף והמחתה ולעשות אותה באמצע השלמת עבודות היום? מדוע עבודות היום אינן נעשות ברצף אחד?</w:t>
      </w:r>
    </w:p>
    <w:p w:rsidR="00C26E1A" w:rsidRDefault="00C26E1A" w:rsidP="00C26E1A">
      <w:pPr>
        <w:spacing w:before="200" w:line="276" w:lineRule="auto"/>
        <w:ind w:left="266"/>
        <w:rPr>
          <w:sz w:val="24"/>
          <w:szCs w:val="24"/>
          <w:rtl/>
        </w:rPr>
      </w:pPr>
      <w:r>
        <w:rPr>
          <w:rFonts w:hint="cs"/>
          <w:sz w:val="24"/>
          <w:szCs w:val="24"/>
          <w:rtl/>
        </w:rPr>
        <w:t>בשם הגר"א מובא יישוב לתמיהות אלו:</w:t>
      </w:r>
    </w:p>
    <w:p w:rsidR="00C26E1A" w:rsidRPr="008F4F04" w:rsidRDefault="00C26E1A" w:rsidP="00C26E1A">
      <w:pPr>
        <w:spacing w:before="200" w:line="276" w:lineRule="auto"/>
        <w:ind w:left="720"/>
        <w:rPr>
          <w:sz w:val="20"/>
          <w:szCs w:val="20"/>
          <w:rtl/>
        </w:rPr>
      </w:pPr>
      <w:r w:rsidRPr="008D0D3B">
        <w:rPr>
          <w:sz w:val="24"/>
          <w:szCs w:val="24"/>
          <w:rtl/>
        </w:rPr>
        <w:t xml:space="preserve">ונראה לי על פי מה ששמעתי בשם מחותני הגאון החסיד מוה"ר אליהו, שדקדק מה שאמרו בגמרא הביאו רש"י על פס' 'ובא אהרן', ופירש רש"י: 'כל הפרשה נאמרה על הסדר חוץ מפסוק הזה', ע"ש ברש"י. וקשה, וכי לא יוכל התורה לסדר הפסוקים כמו שסידרם רש"י, ורמב"ן דחק בזה. ותירץ הוא ז"ל על פי מדרש רבה בפרשה זו פרשה כ"א: 'אמר רבי יודן בר </w:t>
      </w:r>
      <w:r w:rsidRPr="008D0D3B">
        <w:rPr>
          <w:sz w:val="24"/>
          <w:szCs w:val="24"/>
          <w:rtl/>
        </w:rPr>
        <w:lastRenderedPageBreak/>
        <w:t>סימן: צער גדול כו' ואל יבא בכל עת – יש עת לשבעה שנים ויש עת לשבעים שנים כו', א"ל הקב"ה: לא עת לשנה ולא לז' שנים כו', אלא בכל שעה שהוא רוצה לכנוס יכנוס, רק שיכנס כסדר הזה', עד כאן. נשמע מזה שדוקא שאר כהנים גדולים אסורים לכנוס לקדשי קדשים אלא ביום הכפורים, אבל אהרן היה מותר לכנוס בכל שעה ושעה רק שיכנוס בסדר העבודה שנאמר בפרשה זו. ולפי זה התורה דקדקה בסדר, שהרי הטעם שאמרו בגמרא דקרא ד'ובא אהרן' הוא שלא כסדר, דגמירי דה' טבילות וי' קדושין לכהן גדול ביום הכפורים ואי כסדר הכתוב לא משכחת אלא ג', וזה דוקא ביום הכפורים היה הלכה למשה מסיני דצריך ה' טבילות, אבל כשירצה אהרן לעבוד בשאר ימות השנה לא גמירי הלכתא, ואם כן באמת אינו אלא ג' ועובד כסדר האמור בפרשה. ואם כן הפסוק 'ובא אהרן' נכתב כסדר, משום אהרן בשעת ימות השנה. עד כאן דברי הגאון, ותורת אמת היתה בפיהו ושפתיים יישק.</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[חכמת אדם סוף הלכות אבלות]</w:t>
      </w:r>
    </w:p>
    <w:p w:rsidR="00C26E1A" w:rsidRDefault="00C26E1A" w:rsidP="00C26E1A">
      <w:pPr>
        <w:spacing w:before="200" w:line="276" w:lineRule="auto"/>
        <w:ind w:left="266" w:firstLine="227"/>
        <w:rPr>
          <w:sz w:val="24"/>
          <w:szCs w:val="24"/>
          <w:rtl/>
        </w:rPr>
      </w:pPr>
      <w:r>
        <w:rPr>
          <w:rFonts w:hint="cs"/>
          <w:sz w:val="24"/>
          <w:szCs w:val="24"/>
          <w:rtl/>
        </w:rPr>
        <w:t>לדברי הגר"א, הסדר הכתוב בתורה מתאר את סדר כניסת אהרן הכהן ליום הכיפורים בכל ימות השנה</w:t>
      </w:r>
      <w:r>
        <w:rPr>
          <w:rStyle w:val="a7"/>
          <w:sz w:val="24"/>
          <w:szCs w:val="24"/>
          <w:rtl/>
        </w:rPr>
        <w:footnoteReference w:id="180"/>
      </w:r>
      <w:r>
        <w:rPr>
          <w:rFonts w:hint="cs"/>
          <w:sz w:val="24"/>
          <w:szCs w:val="24"/>
          <w:rtl/>
        </w:rPr>
        <w:t>. אמנם, שאר הכהנים הגדולים יכולים להיכנס לקודש הקדשים רק ביום הכיפורים, וביום הכיפורים נאמרה הלכה מיוחדת: "גמירי, חמש טבילות ועשרה קידושין טובל כהן גדול ומקדש בו ביום". לכן, כדי שיהיו חמש טבילות ועשרה קידושים, יש צורך לדחות את הוצאת הכף והמחתה ולעשותה באמצע השלמת עבודות היום.</w:t>
      </w:r>
    </w:p>
    <w:p w:rsidR="00C26E1A" w:rsidRDefault="00C26E1A" w:rsidP="00C26E1A">
      <w:pPr>
        <w:spacing w:before="200" w:line="276" w:lineRule="auto"/>
        <w:ind w:left="266" w:firstLine="227"/>
        <w:rPr>
          <w:sz w:val="24"/>
          <w:szCs w:val="24"/>
          <w:rtl/>
        </w:rPr>
      </w:pPr>
      <w:r>
        <w:rPr>
          <w:rFonts w:hint="cs"/>
          <w:sz w:val="24"/>
          <w:szCs w:val="24"/>
          <w:rtl/>
        </w:rPr>
        <w:t xml:space="preserve">מדברי הגר"א משתמע כי מצד העיקרון ראוי היה להצמיד את הוצאת הכף והמחתה לסיום עבודות הכפרה, אלא שקיים אילוץ לדחות אותה לאחר מכן, כדי שיהיו חמש טבילות ועשרה קידושין. דברים אלו מבוססים על ההבנה שקיים דין עצמאי של 'חמש טבילות ועשרה קידושין', אולם </w:t>
      </w:r>
      <w:r>
        <w:rPr>
          <w:sz w:val="24"/>
          <w:szCs w:val="24"/>
          <w:rtl/>
        </w:rPr>
        <w:t>–</w:t>
      </w:r>
      <w:r>
        <w:rPr>
          <w:rFonts w:hint="cs"/>
          <w:sz w:val="24"/>
          <w:szCs w:val="24"/>
          <w:rtl/>
        </w:rPr>
        <w:t xml:space="preserve"> כפי שהתבאר בשיעור השביעי </w:t>
      </w:r>
      <w:r>
        <w:rPr>
          <w:rFonts w:hint="cs"/>
          <w:sz w:val="20"/>
          <w:szCs w:val="20"/>
          <w:rtl/>
        </w:rPr>
        <w:t>['חמש טבילות']</w:t>
      </w:r>
      <w:r>
        <w:rPr>
          <w:rFonts w:hint="cs"/>
          <w:sz w:val="24"/>
          <w:szCs w:val="24"/>
          <w:rtl/>
        </w:rPr>
        <w:t xml:space="preserve"> </w:t>
      </w:r>
      <w:r>
        <w:rPr>
          <w:sz w:val="24"/>
          <w:szCs w:val="24"/>
          <w:rtl/>
        </w:rPr>
        <w:t>–</w:t>
      </w:r>
      <w:r>
        <w:rPr>
          <w:rFonts w:hint="cs"/>
          <w:sz w:val="24"/>
          <w:szCs w:val="24"/>
          <w:rtl/>
        </w:rPr>
        <w:t xml:space="preserve"> תוספות ישנים </w:t>
      </w:r>
      <w:r>
        <w:rPr>
          <w:rFonts w:hint="cs"/>
          <w:sz w:val="20"/>
          <w:szCs w:val="20"/>
          <w:rtl/>
        </w:rPr>
        <w:t>[לב. ד"ה גמירי]</w:t>
      </w:r>
      <w:r>
        <w:rPr>
          <w:rFonts w:hint="cs"/>
          <w:sz w:val="24"/>
          <w:szCs w:val="24"/>
          <w:rtl/>
        </w:rPr>
        <w:t xml:space="preserve"> נוקטים לא כך, ולדבריהם ההלכה המוקבלת במסורת ("גמירי חמש טבילות ועשרה קידושין") לא לימדה על חובה לטבול חמש טבילות, אלא על מספר השינויים מבגדי זהב לבגדי לבן ומבגדי לבן לבגדי זהב. לשיטתם, אין דין של 'חמש טבילות ועשרה קידושין', אלא יסוד הדין הוא שהעבודות צריכות להיעשות בסדר מסוים, וממנו עולה שבהכרח הכהן טובל חמש טבילות. לפי שיטה זו, יש ליישב את התמיהות דלעיל באופן אחר. </w:t>
      </w:r>
    </w:p>
    <w:p w:rsidR="00C26E1A" w:rsidRDefault="00C26E1A" w:rsidP="00C26E1A">
      <w:pPr>
        <w:spacing w:before="200" w:line="276" w:lineRule="auto"/>
        <w:ind w:left="266" w:firstLine="227"/>
        <w:rPr>
          <w:sz w:val="24"/>
          <w:szCs w:val="24"/>
          <w:rtl/>
        </w:rPr>
      </w:pPr>
      <w:r>
        <w:rPr>
          <w:rFonts w:hint="cs"/>
          <w:sz w:val="24"/>
          <w:szCs w:val="24"/>
          <w:rtl/>
        </w:rPr>
        <w:t xml:space="preserve">לפי שיטתם נראה לבאר, כי דחיית הוצאת והמחתה ועשייתה באמצע השלמת עבודות היום, יוצרת הבחנה בין שני סוגי עבודות: עבודות המשלימות את עבודות הכפרה, ועבודות אחרות שאינן קשורות לעבודות הכפרה. העבודות הנעשות לפני הוצאת הכף והמחתה משלימות את עבודות הכפרה ונלוות אליהן, ואילו העבודות הנעשות לאחר הוצאת הכף והמחתה אינן קשורות לעבודות הכפרה. </w:t>
      </w:r>
    </w:p>
    <w:p w:rsidR="00C26E1A" w:rsidRDefault="00C26E1A" w:rsidP="00C26E1A">
      <w:pPr>
        <w:spacing w:before="200" w:line="276" w:lineRule="auto"/>
        <w:ind w:left="266" w:firstLine="227"/>
        <w:rPr>
          <w:sz w:val="24"/>
          <w:szCs w:val="24"/>
          <w:rtl/>
        </w:rPr>
      </w:pPr>
      <w:r>
        <w:rPr>
          <w:rFonts w:hint="cs"/>
          <w:sz w:val="24"/>
          <w:szCs w:val="24"/>
          <w:rtl/>
        </w:rPr>
        <w:t>הרב ספי מרקוס מציע הבנה זו בתוספת עומק:</w:t>
      </w:r>
    </w:p>
    <w:p w:rsidR="00C26E1A" w:rsidRDefault="00C26E1A" w:rsidP="00C26E1A">
      <w:pPr>
        <w:spacing w:before="200" w:line="276" w:lineRule="auto"/>
        <w:ind w:left="720"/>
        <w:rPr>
          <w:sz w:val="24"/>
          <w:szCs w:val="24"/>
          <w:rtl/>
        </w:rPr>
      </w:pPr>
      <w:r w:rsidRPr="00BF1945">
        <w:rPr>
          <w:sz w:val="24"/>
          <w:szCs w:val="24"/>
          <w:rtl/>
        </w:rPr>
        <w:t>נראה להציע שהדחייה של הוצאת הכף ומחתה קשורה קשר עמוק למשמעות הקטרת הקטורת ביום הכיפורים.</w:t>
      </w:r>
      <w:r>
        <w:rPr>
          <w:rFonts w:hint="cs"/>
          <w:sz w:val="24"/>
          <w:szCs w:val="24"/>
          <w:rtl/>
        </w:rPr>
        <w:t>..</w:t>
      </w:r>
      <w:r w:rsidRPr="00BF1945">
        <w:rPr>
          <w:sz w:val="24"/>
          <w:szCs w:val="24"/>
          <w:rtl/>
        </w:rPr>
        <w:t xml:space="preserve"> שענן הקטורת מהווה למעשה את חידוש התגלות השכינה, המתגלה (כתמיד) בענן, כאשר יום הכיפורים מהווה יום של חניכה מחודשת של המקדש וחידוש הקשר בין ישראל לקב"ה.</w:t>
      </w:r>
      <w:r>
        <w:rPr>
          <w:rFonts w:hint="cs"/>
          <w:sz w:val="24"/>
          <w:szCs w:val="24"/>
          <w:rtl/>
        </w:rPr>
        <w:t xml:space="preserve"> </w:t>
      </w:r>
      <w:r w:rsidRPr="00BF1945">
        <w:rPr>
          <w:sz w:val="24"/>
          <w:szCs w:val="24"/>
          <w:rtl/>
        </w:rPr>
        <w:t>לאור הבנה זו נראה להציע</w:t>
      </w:r>
      <w:r>
        <w:rPr>
          <w:rFonts w:hint="cs"/>
          <w:sz w:val="24"/>
          <w:szCs w:val="24"/>
          <w:rtl/>
        </w:rPr>
        <w:t>...</w:t>
      </w:r>
      <w:r w:rsidRPr="00BF1945">
        <w:rPr>
          <w:sz w:val="24"/>
          <w:szCs w:val="24"/>
          <w:rtl/>
        </w:rPr>
        <w:t xml:space="preserve"> שדחיית הוצאת הכף והמחתה עד לאחר עשיית אילו ואיל העם מלמדת שלמעשה גם קורבנות אלו הם חלק אינטגראלי מסדר עבודת הכפרה והריצוי של יום הכיפורים. כשם שיש להזות א</w:t>
      </w:r>
      <w:r>
        <w:rPr>
          <w:sz w:val="24"/>
          <w:szCs w:val="24"/>
          <w:rtl/>
        </w:rPr>
        <w:t>ת הדם בזמן שהקטורת מתמרת לה בק</w:t>
      </w:r>
      <w:r>
        <w:rPr>
          <w:rFonts w:hint="cs"/>
          <w:sz w:val="24"/>
          <w:szCs w:val="24"/>
          <w:rtl/>
        </w:rPr>
        <w:t>ודש הקדשים</w:t>
      </w:r>
      <w:r w:rsidRPr="00BF1945">
        <w:rPr>
          <w:sz w:val="24"/>
          <w:szCs w:val="24"/>
          <w:rtl/>
        </w:rPr>
        <w:t>, כך כל עבודה ש</w:t>
      </w:r>
      <w:r>
        <w:rPr>
          <w:sz w:val="24"/>
          <w:szCs w:val="24"/>
          <w:rtl/>
        </w:rPr>
        <w:t>נעשית בזמן שענן הקטורת קיים בק</w:t>
      </w:r>
      <w:r>
        <w:rPr>
          <w:rFonts w:hint="cs"/>
          <w:sz w:val="24"/>
          <w:szCs w:val="24"/>
          <w:rtl/>
        </w:rPr>
        <w:t>ודש הקדשים</w:t>
      </w:r>
      <w:r w:rsidRPr="00BF1945">
        <w:rPr>
          <w:sz w:val="24"/>
          <w:szCs w:val="24"/>
          <w:rtl/>
        </w:rPr>
        <w:t>, נחשבת לעבודה מהותית הקשורה לכפרת היום</w:t>
      </w:r>
      <w:r>
        <w:rPr>
          <w:rFonts w:hint="cs"/>
          <w:sz w:val="24"/>
          <w:szCs w:val="24"/>
          <w:rtl/>
        </w:rPr>
        <w:t xml:space="preserve">. </w:t>
      </w:r>
    </w:p>
    <w:p w:rsidR="00C26E1A" w:rsidRDefault="00C26E1A" w:rsidP="00C26E1A">
      <w:pPr>
        <w:spacing w:before="200" w:line="276" w:lineRule="auto"/>
        <w:ind w:left="720"/>
        <w:jc w:val="right"/>
        <w:rPr>
          <w:sz w:val="20"/>
          <w:szCs w:val="20"/>
          <w:rtl/>
        </w:rPr>
      </w:pPr>
      <w:r>
        <w:rPr>
          <w:rFonts w:hint="cs"/>
          <w:sz w:val="20"/>
          <w:szCs w:val="20"/>
          <w:rtl/>
        </w:rPr>
        <w:t>[</w:t>
      </w:r>
      <w:hyperlink r:id="rId28" w:history="1">
        <w:r>
          <w:rPr>
            <w:rStyle w:val="Hyperlink"/>
            <w:sz w:val="20"/>
            <w:szCs w:val="20"/>
          </w:rPr>
          <w:t>'</w:t>
        </w:r>
        <w:r>
          <w:rPr>
            <w:rStyle w:val="Hyperlink"/>
            <w:sz w:val="20"/>
            <w:szCs w:val="20"/>
            <w:rtl/>
          </w:rPr>
          <w:t>שיעורים במסכת יומא בעיון ובהלכה' - שיעור 18, באתר 'תורת הר עציון</w:t>
        </w:r>
        <w:r>
          <w:rPr>
            <w:rStyle w:val="Hyperlink"/>
            <w:sz w:val="20"/>
            <w:szCs w:val="20"/>
          </w:rPr>
          <w:t>'</w:t>
        </w:r>
      </w:hyperlink>
      <w:r>
        <w:rPr>
          <w:rFonts w:hint="cs"/>
          <w:sz w:val="20"/>
          <w:szCs w:val="20"/>
          <w:rtl/>
        </w:rPr>
        <w:t>]</w:t>
      </w:r>
    </w:p>
    <w:p w:rsidR="00C26E1A" w:rsidRDefault="00C26E1A" w:rsidP="00C26E1A">
      <w:pPr>
        <w:spacing w:before="200" w:line="276" w:lineRule="auto"/>
        <w:ind w:left="266" w:firstLine="227"/>
        <w:rPr>
          <w:sz w:val="24"/>
          <w:szCs w:val="24"/>
          <w:rtl/>
        </w:rPr>
      </w:pPr>
      <w:r>
        <w:rPr>
          <w:rFonts w:hint="cs"/>
          <w:sz w:val="24"/>
          <w:szCs w:val="24"/>
          <w:rtl/>
        </w:rPr>
        <w:t>לדבריו, הקטורת גורמת להשראת שכינה בקודש הקדשים</w:t>
      </w:r>
      <w:r>
        <w:rPr>
          <w:rStyle w:val="a7"/>
          <w:sz w:val="24"/>
          <w:szCs w:val="24"/>
          <w:rtl/>
        </w:rPr>
        <w:footnoteReference w:id="181"/>
      </w:r>
      <w:r>
        <w:rPr>
          <w:rFonts w:hint="cs"/>
          <w:sz w:val="24"/>
          <w:szCs w:val="24"/>
          <w:rtl/>
        </w:rPr>
        <w:t xml:space="preserve">. מטעם זה, ענן הכבוד של השכינה צריך להיות נוכח עד שעת סיום העבודה, ורק לאחר מכן מוציאים את הכף והמחתה, ובכך </w:t>
      </w:r>
      <w:r>
        <w:rPr>
          <w:rFonts w:hint="cs"/>
          <w:sz w:val="24"/>
          <w:szCs w:val="24"/>
          <w:rtl/>
        </w:rPr>
        <w:lastRenderedPageBreak/>
        <w:t>מסתיימת השראת השכינה המיוחדת של יום הכיפורים. בהתאם לכך, העבודות המשלימות את עבודות הכפרה והנלוות אליהן צריכות להיעשות כאשר הכף והמחתה עודן בקודש הקדשים, ואילו העבודות שאינן קשורות לעבודות הכפרה נעשות לאחר מכן, לאחר הוצאת הכף והמחתה וסילוק השראת השכינה המיוחדת ליום הכיפורים.</w:t>
      </w:r>
    </w:p>
    <w:p w:rsidR="00C26E1A" w:rsidRDefault="00C26E1A" w:rsidP="00C26E1A">
      <w:pPr>
        <w:spacing w:before="200" w:line="276" w:lineRule="auto"/>
        <w:ind w:left="266" w:firstLine="227"/>
        <w:rPr>
          <w:sz w:val="24"/>
          <w:szCs w:val="24"/>
          <w:rtl/>
        </w:rPr>
      </w:pPr>
      <w:r>
        <w:rPr>
          <w:rFonts w:hint="cs"/>
          <w:sz w:val="24"/>
          <w:szCs w:val="24"/>
          <w:rtl/>
        </w:rPr>
        <w:t xml:space="preserve">כדי לבחון טענה זו, יש לעיין אלו עבודות נעשות לפני הוצאת הכף והמחתה (בטבילה השלישית) ואלו עבודות נעשות לאחריה (בטבילה החמישית). </w:t>
      </w:r>
    </w:p>
    <w:p w:rsidR="00C26E1A" w:rsidRDefault="00C26E1A" w:rsidP="00C26E1A">
      <w:pPr>
        <w:spacing w:before="200" w:line="276" w:lineRule="auto"/>
        <w:ind w:left="266" w:firstLine="227"/>
        <w:rPr>
          <w:sz w:val="24"/>
          <w:szCs w:val="24"/>
          <w:rtl/>
        </w:rPr>
      </w:pPr>
    </w:p>
    <w:p w:rsidR="00C26E1A" w:rsidRDefault="00C26E1A" w:rsidP="00C26E1A">
      <w:pPr>
        <w:spacing w:before="200" w:line="276" w:lineRule="auto"/>
        <w:ind w:left="266" w:firstLine="227"/>
        <w:rPr>
          <w:sz w:val="24"/>
          <w:szCs w:val="24"/>
          <w:rtl/>
        </w:rPr>
      </w:pPr>
      <w:r>
        <w:rPr>
          <w:rFonts w:hint="cs"/>
          <w:sz w:val="24"/>
          <w:szCs w:val="24"/>
          <w:rtl/>
        </w:rPr>
        <w:t>במשנה דלעיל נאמר כי 'אילו ואיל העם' היה נעשה לפני הוצאת הכף והמחתה, ואילו הקטורת והטבת הנרות היו נעשות לאחריה. לא מפורשת במשנה שעת הקרבת תמיד של בין הערבים, ונחלקו בכך הראשונים.</w:t>
      </w:r>
    </w:p>
    <w:p w:rsidR="00782FFD" w:rsidRDefault="00C26E1A" w:rsidP="00782FFD">
      <w:pPr>
        <w:spacing w:before="200" w:line="276" w:lineRule="auto"/>
        <w:ind w:left="266" w:firstLine="227"/>
        <w:rPr>
          <w:sz w:val="24"/>
          <w:szCs w:val="24"/>
          <w:rtl/>
        </w:rPr>
      </w:pPr>
      <w:r>
        <w:rPr>
          <w:rFonts w:hint="cs"/>
          <w:sz w:val="24"/>
          <w:szCs w:val="24"/>
          <w:rtl/>
        </w:rPr>
        <w:t>רש"י כותב:</w:t>
      </w:r>
    </w:p>
    <w:p w:rsidR="00C26E1A" w:rsidRPr="00782FFD" w:rsidRDefault="00C26E1A" w:rsidP="00782FFD">
      <w:pPr>
        <w:spacing w:before="200" w:line="276" w:lineRule="auto"/>
        <w:ind w:left="266" w:firstLine="454"/>
        <w:rPr>
          <w:sz w:val="24"/>
          <w:szCs w:val="24"/>
          <w:rtl/>
        </w:rPr>
      </w:pPr>
      <w:r>
        <w:rPr>
          <w:sz w:val="24"/>
          <w:szCs w:val="24"/>
          <w:rtl/>
        </w:rPr>
        <w:t>ואחר כך תמיד של בין הערבים</w:t>
      </w:r>
      <w:r>
        <w:rPr>
          <w:rFonts w:hint="cs"/>
          <w:sz w:val="24"/>
          <w:szCs w:val="24"/>
          <w:rtl/>
        </w:rPr>
        <w:t xml:space="preserve"> </w:t>
      </w:r>
      <w:r>
        <w:rPr>
          <w:sz w:val="24"/>
          <w:szCs w:val="24"/>
          <w:rtl/>
        </w:rPr>
        <w:t>–</w:t>
      </w:r>
      <w:r w:rsidRPr="00EA23DC">
        <w:rPr>
          <w:sz w:val="24"/>
          <w:szCs w:val="24"/>
          <w:rtl/>
        </w:rPr>
        <w:t xml:space="preserve"> בטבילה חמישית</w:t>
      </w:r>
      <w:r>
        <w:rPr>
          <w:rFonts w:hint="cs"/>
          <w:sz w:val="24"/>
          <w:szCs w:val="24"/>
          <w:rtl/>
        </w:rPr>
        <w:t>.</w:t>
      </w:r>
      <w:r>
        <w:rPr>
          <w:sz w:val="24"/>
          <w:szCs w:val="24"/>
          <w:rtl/>
        </w:rPr>
        <w:tab/>
      </w:r>
      <w:r>
        <w:rPr>
          <w:sz w:val="24"/>
          <w:szCs w:val="24"/>
          <w:rtl/>
        </w:rPr>
        <w:tab/>
      </w:r>
      <w:r>
        <w:rPr>
          <w:rFonts w:hint="cs"/>
          <w:sz w:val="24"/>
          <w:szCs w:val="24"/>
          <w:rtl/>
        </w:rPr>
        <w:t xml:space="preserve">    </w:t>
      </w:r>
      <w:r>
        <w:rPr>
          <w:rFonts w:hint="cs"/>
          <w:sz w:val="20"/>
          <w:szCs w:val="20"/>
          <w:rtl/>
        </w:rPr>
        <w:t>[רש"י ע: ד"ה ואחר כך]</w:t>
      </w:r>
    </w:p>
    <w:p w:rsidR="00C26E1A" w:rsidRDefault="00C26E1A" w:rsidP="00C26E1A">
      <w:pPr>
        <w:spacing w:before="200" w:line="276" w:lineRule="auto"/>
        <w:ind w:left="266" w:firstLine="227"/>
        <w:rPr>
          <w:sz w:val="24"/>
          <w:szCs w:val="24"/>
          <w:rtl/>
        </w:rPr>
      </w:pPr>
      <w:r>
        <w:rPr>
          <w:rFonts w:hint="cs"/>
          <w:sz w:val="24"/>
          <w:szCs w:val="24"/>
          <w:rtl/>
        </w:rPr>
        <w:t>לדבריו, תמיד של בין הערבים נעשה בטבילה החמישית, לאחר הוצאת הכף והמחתה</w:t>
      </w:r>
      <w:r>
        <w:rPr>
          <w:rStyle w:val="a7"/>
          <w:sz w:val="24"/>
          <w:szCs w:val="24"/>
          <w:rtl/>
        </w:rPr>
        <w:footnoteReference w:id="182"/>
      </w:r>
      <w:r>
        <w:rPr>
          <w:rFonts w:hint="cs"/>
          <w:sz w:val="24"/>
          <w:szCs w:val="24"/>
          <w:rtl/>
        </w:rPr>
        <w:t xml:space="preserve">. </w:t>
      </w:r>
    </w:p>
    <w:p w:rsidR="00C26E1A" w:rsidRDefault="00C26E1A" w:rsidP="00C26E1A">
      <w:pPr>
        <w:spacing w:before="200" w:line="276" w:lineRule="auto"/>
        <w:ind w:left="266" w:firstLine="227"/>
        <w:rPr>
          <w:sz w:val="24"/>
          <w:szCs w:val="24"/>
          <w:rtl/>
        </w:rPr>
      </w:pPr>
      <w:r>
        <w:rPr>
          <w:rFonts w:hint="cs"/>
          <w:sz w:val="24"/>
          <w:szCs w:val="24"/>
          <w:rtl/>
        </w:rPr>
        <w:t>לעומתו, הרמב"ם פוסק:</w:t>
      </w:r>
    </w:p>
    <w:p w:rsidR="00C26E1A" w:rsidRPr="006257D3" w:rsidRDefault="00C26E1A" w:rsidP="00C26E1A">
      <w:pPr>
        <w:spacing w:before="200" w:line="276" w:lineRule="auto"/>
        <w:ind w:left="720"/>
        <w:rPr>
          <w:sz w:val="20"/>
          <w:szCs w:val="20"/>
          <w:rtl/>
        </w:rPr>
      </w:pPr>
      <w:r w:rsidRPr="006257D3">
        <w:rPr>
          <w:sz w:val="24"/>
          <w:szCs w:val="24"/>
          <w:rtl/>
        </w:rPr>
        <w:t xml:space="preserve">ואחר כך מקדש ידיו ורגליו ופושט בגדי לבן וטובל ועולה ומסתפג, ולובש בגדי זהב ומקדש ידיו ורגליו, ומקריב שעיר חטאת של מוסף היום ואילו ואיל העם, והם עולות, ומקטיר אימורי פר ושעיר הנשרפין, </w:t>
      </w:r>
      <w:r w:rsidRPr="006257D3">
        <w:rPr>
          <w:b/>
          <w:bCs/>
          <w:sz w:val="24"/>
          <w:szCs w:val="24"/>
          <w:rtl/>
        </w:rPr>
        <w:t>ומקריב תמיד של בין הערבים</w:t>
      </w:r>
      <w:r>
        <w:rPr>
          <w:rFonts w:hint="cs"/>
          <w:sz w:val="24"/>
          <w:szCs w:val="24"/>
          <w:rtl/>
        </w:rPr>
        <w:t>.</w:t>
      </w:r>
      <w:r w:rsidRPr="006257D3">
        <w:rPr>
          <w:sz w:val="24"/>
          <w:szCs w:val="24"/>
          <w:rtl/>
        </w:rPr>
        <w:t xml:space="preserve"> ואחר כך מקדש ידיו ורגליו ופושט בגדי זהב, וטובל ועולה ומסתפג ולובש בגדי לבן, ומקדש ידיו ורגליו, ונכנס לקדש הקדשי</w:t>
      </w:r>
      <w:r>
        <w:rPr>
          <w:sz w:val="24"/>
          <w:szCs w:val="24"/>
          <w:rtl/>
        </w:rPr>
        <w:t>ם, ומוציא משם את הכף ואת המחת</w:t>
      </w:r>
      <w:r>
        <w:rPr>
          <w:rFonts w:hint="cs"/>
          <w:sz w:val="24"/>
          <w:szCs w:val="24"/>
          <w:rtl/>
        </w:rPr>
        <w:t xml:space="preserve">ה. </w:t>
      </w:r>
      <w:r w:rsidRPr="006257D3">
        <w:rPr>
          <w:sz w:val="24"/>
          <w:szCs w:val="24"/>
          <w:rtl/>
        </w:rPr>
        <w:t>ואחר כך מקדש ידיו ורגליו ופושט בגדי לבן, וטובל ועולה ומסתפג, ולובש בגדי זהב ומקדש ידיו ורגליו, ומקטיר קטרת של בין הערבים של כל יום ומטיב את הנרות בין הערבים</w:t>
      </w:r>
      <w:r>
        <w:rPr>
          <w:rFonts w:hint="cs"/>
          <w:sz w:val="24"/>
          <w:szCs w:val="24"/>
          <w:rtl/>
        </w:rPr>
        <w:t>.</w:t>
      </w:r>
      <w:r w:rsidRPr="006257D3">
        <w:rPr>
          <w:sz w:val="24"/>
          <w:szCs w:val="24"/>
          <w:rtl/>
        </w:rPr>
        <w:t xml:space="preserve"> ומקדש ידיו ורגליו, ופושט בגדי זהב ולובש בגדי חול ויוצא.</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[הל' עבודת יום הכיפורים פ"ב ה"ב]</w:t>
      </w:r>
    </w:p>
    <w:p w:rsidR="00C26E1A" w:rsidRDefault="00C26E1A" w:rsidP="00C26E1A">
      <w:pPr>
        <w:spacing w:before="200" w:line="276" w:lineRule="auto"/>
        <w:ind w:left="266" w:firstLine="227"/>
        <w:rPr>
          <w:sz w:val="24"/>
          <w:szCs w:val="24"/>
          <w:rtl/>
        </w:rPr>
      </w:pPr>
      <w:r>
        <w:rPr>
          <w:rFonts w:hint="cs"/>
          <w:sz w:val="24"/>
          <w:szCs w:val="24"/>
          <w:rtl/>
        </w:rPr>
        <w:t>לשיטתו, תמיד של בין הערבים קרב בטבילה השלישית, לפני הוצאת הכף והמחתה</w:t>
      </w:r>
      <w:r>
        <w:rPr>
          <w:rStyle w:val="a7"/>
          <w:sz w:val="24"/>
          <w:szCs w:val="24"/>
          <w:rtl/>
        </w:rPr>
        <w:footnoteReference w:id="183"/>
      </w:r>
      <w:r>
        <w:rPr>
          <w:rFonts w:hint="cs"/>
          <w:sz w:val="24"/>
          <w:szCs w:val="24"/>
          <w:rtl/>
        </w:rPr>
        <w:t xml:space="preserve">. </w:t>
      </w:r>
    </w:p>
    <w:p w:rsidR="00C26E1A" w:rsidRDefault="00C26E1A" w:rsidP="00C26E1A">
      <w:pPr>
        <w:spacing w:before="200" w:line="276" w:lineRule="auto"/>
        <w:ind w:left="266" w:firstLine="227"/>
        <w:rPr>
          <w:sz w:val="24"/>
          <w:szCs w:val="24"/>
          <w:rtl/>
        </w:rPr>
      </w:pPr>
      <w:r>
        <w:rPr>
          <w:rFonts w:hint="cs"/>
          <w:sz w:val="24"/>
          <w:szCs w:val="24"/>
          <w:rtl/>
        </w:rPr>
        <w:t>שיטת הרמב"ם, ככל הנראה, מבוססת על ההבנה שהוצאת הכף והמחתה צריכה להיעשות לאחר כל עבודות היום; לכן גם התמיד נעשה לפניה, ורק הקטרת הקטורת והטבת הנרות נעשו לאחר מכן</w:t>
      </w:r>
      <w:r>
        <w:rPr>
          <w:rStyle w:val="a7"/>
          <w:sz w:val="24"/>
          <w:szCs w:val="24"/>
          <w:rtl/>
        </w:rPr>
        <w:footnoteReference w:id="184"/>
      </w:r>
      <w:r>
        <w:rPr>
          <w:rFonts w:hint="cs"/>
          <w:sz w:val="24"/>
          <w:szCs w:val="24"/>
          <w:rtl/>
        </w:rPr>
        <w:t>. אולם, שיטת רש"י טעונה ביאור: מדוע 'אילו ואיל העם' נעשה לפני הוצאת הכף והמחתה, ואילו השלמת שאר קרבנות היום נעשית לאחריה?</w:t>
      </w:r>
    </w:p>
    <w:p w:rsidR="00C26E1A" w:rsidRDefault="00C26E1A" w:rsidP="00C26E1A">
      <w:pPr>
        <w:spacing w:before="200" w:line="276" w:lineRule="auto"/>
        <w:ind w:left="266" w:firstLine="227"/>
        <w:rPr>
          <w:sz w:val="24"/>
          <w:szCs w:val="24"/>
          <w:rtl/>
        </w:rPr>
      </w:pPr>
      <w:r>
        <w:rPr>
          <w:rFonts w:hint="cs"/>
          <w:sz w:val="24"/>
          <w:szCs w:val="24"/>
          <w:rtl/>
        </w:rPr>
        <w:t>ביאור לכך עולה מדברי הרא"ש</w:t>
      </w:r>
      <w:r>
        <w:rPr>
          <w:rStyle w:val="a7"/>
          <w:sz w:val="24"/>
          <w:szCs w:val="24"/>
          <w:rtl/>
        </w:rPr>
        <w:footnoteReference w:id="185"/>
      </w:r>
      <w:r>
        <w:rPr>
          <w:rFonts w:hint="cs"/>
          <w:sz w:val="24"/>
          <w:szCs w:val="24"/>
          <w:rtl/>
        </w:rPr>
        <w:t>:</w:t>
      </w:r>
    </w:p>
    <w:p w:rsidR="00C26E1A" w:rsidRPr="00BC03BF" w:rsidRDefault="00C26E1A" w:rsidP="00C26E1A">
      <w:pPr>
        <w:spacing w:before="200" w:line="276" w:lineRule="auto"/>
        <w:ind w:left="720"/>
        <w:rPr>
          <w:sz w:val="20"/>
          <w:szCs w:val="20"/>
          <w:rtl/>
        </w:rPr>
      </w:pPr>
      <w:r w:rsidRPr="00BC03BF">
        <w:rPr>
          <w:sz w:val="24"/>
          <w:szCs w:val="24"/>
          <w:rtl/>
        </w:rPr>
        <w:t xml:space="preserve">ואיכא למימר שגם אימורי פר ושעיר היו קריבין אחר הוצאת כף ומחתה </w:t>
      </w:r>
      <w:r w:rsidRPr="00BC03BF">
        <w:rPr>
          <w:b/>
          <w:bCs/>
          <w:sz w:val="24"/>
          <w:szCs w:val="24"/>
          <w:rtl/>
        </w:rPr>
        <w:t>כדי שנמעט ההפסקה בין עבודת היום ובין הוצאת כף ומחתה</w:t>
      </w:r>
      <w:r>
        <w:rPr>
          <w:rFonts w:hint="cs"/>
          <w:sz w:val="24"/>
          <w:szCs w:val="24"/>
          <w:rtl/>
        </w:rPr>
        <w:t>,</w:t>
      </w:r>
      <w:r w:rsidRPr="00BC03BF">
        <w:rPr>
          <w:sz w:val="24"/>
          <w:szCs w:val="24"/>
          <w:rtl/>
        </w:rPr>
        <w:t xml:space="preserve"> שהרי הם כתובים מיד אחר עבודת היום </w:t>
      </w:r>
      <w:r w:rsidRPr="00BC03BF">
        <w:rPr>
          <w:sz w:val="24"/>
          <w:szCs w:val="24"/>
          <w:rtl/>
        </w:rPr>
        <w:lastRenderedPageBreak/>
        <w:t>והיה ראוי לעשותן מיד</w:t>
      </w:r>
      <w:r w:rsidRPr="00BC03BF">
        <w:rPr>
          <w:rFonts w:hint="cs"/>
          <w:sz w:val="24"/>
          <w:szCs w:val="24"/>
          <w:rtl/>
        </w:rPr>
        <w:t>,</w:t>
      </w:r>
      <w:r w:rsidRPr="00BC03BF">
        <w:rPr>
          <w:sz w:val="24"/>
          <w:szCs w:val="24"/>
          <w:rtl/>
        </w:rPr>
        <w:t xml:space="preserve"> אלא שאנו צריכין להקדים אילו ואיל העם לקיים חמש טבילות ועשרה קידושין דגמירי שצריך לעשות ביום הכ</w:t>
      </w:r>
      <w:r>
        <w:rPr>
          <w:rFonts w:hint="cs"/>
          <w:sz w:val="24"/>
          <w:szCs w:val="24"/>
          <w:rtl/>
        </w:rPr>
        <w:t>י</w:t>
      </w:r>
      <w:r w:rsidRPr="00BC03BF">
        <w:rPr>
          <w:sz w:val="24"/>
          <w:szCs w:val="24"/>
          <w:rtl/>
        </w:rPr>
        <w:t>פורים. הלכך כל מה שנוכל למעט ההפסק עדיף טפי.</w:t>
      </w:r>
      <w:r>
        <w:rPr>
          <w:sz w:val="20"/>
          <w:szCs w:val="20"/>
          <w:rtl/>
        </w:rPr>
        <w:tab/>
      </w:r>
      <w:r>
        <w:rPr>
          <w:sz w:val="20"/>
          <w:szCs w:val="20"/>
          <w:rtl/>
        </w:rPr>
        <w:tab/>
      </w:r>
      <w:r>
        <w:rPr>
          <w:sz w:val="20"/>
          <w:szCs w:val="20"/>
          <w:rtl/>
        </w:rPr>
        <w:tab/>
      </w:r>
      <w:r>
        <w:rPr>
          <w:sz w:val="20"/>
          <w:szCs w:val="20"/>
          <w:rtl/>
        </w:rPr>
        <w:tab/>
      </w:r>
      <w:r>
        <w:rPr>
          <w:sz w:val="20"/>
          <w:szCs w:val="20"/>
          <w:rtl/>
        </w:rPr>
        <w:tab/>
      </w:r>
      <w:r>
        <w:rPr>
          <w:rFonts w:hint="cs"/>
          <w:sz w:val="20"/>
          <w:szCs w:val="20"/>
          <w:rtl/>
        </w:rPr>
        <w:t xml:space="preserve">            [רא"ש הל' סדר עבודת יום הכיפורים]</w:t>
      </w:r>
    </w:p>
    <w:p w:rsidR="00C26E1A" w:rsidRDefault="00C26E1A" w:rsidP="00C26E1A">
      <w:pPr>
        <w:spacing w:before="200" w:line="276" w:lineRule="auto"/>
        <w:ind w:left="266" w:firstLine="227"/>
        <w:rPr>
          <w:sz w:val="24"/>
          <w:szCs w:val="24"/>
          <w:rtl/>
        </w:rPr>
      </w:pPr>
      <w:r>
        <w:rPr>
          <w:rFonts w:hint="cs"/>
          <w:sz w:val="24"/>
          <w:szCs w:val="24"/>
          <w:rtl/>
        </w:rPr>
        <w:t xml:space="preserve">הרא"ש מבאר </w:t>
      </w:r>
      <w:r>
        <w:rPr>
          <w:sz w:val="24"/>
          <w:szCs w:val="24"/>
          <w:rtl/>
        </w:rPr>
        <w:t>–</w:t>
      </w:r>
      <w:r>
        <w:rPr>
          <w:rFonts w:hint="cs"/>
          <w:sz w:val="24"/>
          <w:szCs w:val="24"/>
          <w:rtl/>
        </w:rPr>
        <w:t xml:space="preserve"> כעין דברי הגר"א דלעיל </w:t>
      </w:r>
      <w:r>
        <w:rPr>
          <w:sz w:val="24"/>
          <w:szCs w:val="24"/>
          <w:rtl/>
        </w:rPr>
        <w:t>–</w:t>
      </w:r>
      <w:r>
        <w:rPr>
          <w:rFonts w:hint="cs"/>
          <w:sz w:val="24"/>
          <w:szCs w:val="24"/>
          <w:rtl/>
        </w:rPr>
        <w:t xml:space="preserve"> כי מצד הדין ראוי היה להצמיד את הוצאת הכף והמחתה לעבודות הכפרה, אלא שאנו נאלצים לדחותה כדי "לקיים חמש טבילות ועשרה קידושין דגמירי שצריך לעשות ביום הכיפורים". בשל כך, יש למעט את ההפסק בין עבודות הכפרה להוצאת הכף והמחתה ככל הניתן, ולכן רק 'אילו ואיל העם' נעשה ביניהן ולא הקטרת אימורי הפר והשעיר. מדבריו עולה, כי המקום הטבעי של השלמת עבודות היום הוא לאחר הוצאת הכף והמחתה, ורק 'אילו ואיל העם' נעשה קודם לכן מחמת ההכרח </w:t>
      </w:r>
      <w:r>
        <w:rPr>
          <w:sz w:val="24"/>
          <w:szCs w:val="24"/>
          <w:rtl/>
        </w:rPr>
        <w:t>–</w:t>
      </w:r>
      <w:r>
        <w:rPr>
          <w:rFonts w:hint="cs"/>
          <w:sz w:val="24"/>
          <w:szCs w:val="24"/>
          <w:rtl/>
        </w:rPr>
        <w:t xml:space="preserve"> "לקיים חמש טבילות ועשרה קידושין". </w:t>
      </w:r>
    </w:p>
    <w:p w:rsidR="00C26E1A" w:rsidRDefault="00C26E1A" w:rsidP="00C26E1A">
      <w:pPr>
        <w:spacing w:before="200" w:line="276" w:lineRule="auto"/>
        <w:ind w:left="266" w:firstLine="227"/>
        <w:rPr>
          <w:sz w:val="24"/>
          <w:szCs w:val="24"/>
          <w:rtl/>
        </w:rPr>
      </w:pPr>
      <w:r>
        <w:rPr>
          <w:rFonts w:hint="cs"/>
          <w:sz w:val="24"/>
          <w:szCs w:val="24"/>
          <w:rtl/>
        </w:rPr>
        <w:t>דברי הרא"ש מבוססים על ההבנה העקרונית שקיים דין של 'חמש טבילות ועשרה קידושין'. לפי ההבנה החולקת, נראה לבאר את טעם שיטת רש"י, שהתמיד קרב בטבילה החמישית, על פי ביאורו של הגרי"ד סולוביצ'יק:</w:t>
      </w:r>
    </w:p>
    <w:p w:rsidR="00C26E1A" w:rsidRDefault="00C26E1A" w:rsidP="00C26E1A">
      <w:pPr>
        <w:spacing w:before="200" w:line="276" w:lineRule="auto"/>
        <w:ind w:left="720"/>
        <w:rPr>
          <w:sz w:val="24"/>
          <w:szCs w:val="24"/>
          <w:rtl/>
        </w:rPr>
      </w:pPr>
      <w:r>
        <w:rPr>
          <w:rFonts w:hint="cs"/>
          <w:sz w:val="24"/>
          <w:szCs w:val="24"/>
          <w:rtl/>
        </w:rPr>
        <w:t>על מנת להסביר את שיטת רש"י, יש לעיין בגמרא לקמן (ע, ב): 'תנו רבנן, ובא אהרן אל אהל מועד, למה הוא בא? להוציא את הכף ואת המחתה, שכל הפרשה כולה נאמרה על הסדר חוץ מפסוק זה". ויש להבין, מדוע באמת כתבה התורה את הפסוק הזה שלא כסדר. ונראה, שבאמת הוצאת הכף והמחתה צריכה להצטרף אל שאר העבודות הנעשות בבגדי לבן... והרי רבי סובר: 'איל אחד האמור כאן הוא האמור בחומש הפקודים', ומשמעות הדבר היא שיש בהקרבת איל המוספים קיום של עבודת היום... על רקע זה ניתן להבין מדוע לא מקריבים את קרבן התמיד של בין הערבים לפני הוצאת הכף והמחתה. שהרי, קרבן זה איננו קשור לעבודת היום של פרשת אחרי מות, והקרבתו במסגרת העבודות של הטבילה השלישית, היתה גורמת לחיץ בין העבודות הנעשות בבגדי לבן שבטבילה שנייה, לבין הוצאת הכף והמחתה שצריכה להתייחס אליהן.</w:t>
      </w:r>
    </w:p>
    <w:p w:rsidR="00C26E1A" w:rsidRPr="00B41191" w:rsidRDefault="00C26E1A" w:rsidP="00C26E1A">
      <w:pPr>
        <w:spacing w:before="200" w:line="276" w:lineRule="auto"/>
        <w:ind w:left="720"/>
        <w:jc w:val="right"/>
        <w:rPr>
          <w:sz w:val="20"/>
          <w:szCs w:val="20"/>
          <w:rtl/>
        </w:rPr>
      </w:pPr>
      <w:r>
        <w:rPr>
          <w:rFonts w:hint="cs"/>
          <w:sz w:val="20"/>
          <w:szCs w:val="20"/>
          <w:rtl/>
        </w:rPr>
        <w:t>[שיעורי הגרי"ד ע., עמ' קסב]</w:t>
      </w:r>
    </w:p>
    <w:p w:rsidR="00C26E1A" w:rsidRDefault="00C26E1A" w:rsidP="00C26E1A">
      <w:pPr>
        <w:spacing w:before="200" w:line="276" w:lineRule="auto"/>
        <w:ind w:left="266" w:firstLine="227"/>
        <w:rPr>
          <w:sz w:val="24"/>
          <w:szCs w:val="24"/>
          <w:rtl/>
        </w:rPr>
      </w:pPr>
      <w:r>
        <w:rPr>
          <w:rFonts w:hint="cs"/>
          <w:sz w:val="24"/>
          <w:szCs w:val="24"/>
          <w:rtl/>
        </w:rPr>
        <w:t xml:space="preserve"> הגרי"ד טוען כי בין עבודות הכפרה להוצאת הכף והמחתה יש לעשות רק עבודות הקשורות במהותן לעבודות הכפרה. על פי זה מבחין הגרי"ד סולוביצ'יק בין 'אילו ואיל העם' לבין שאר עבודות היום: 'אילו ואיל העם' הוא חלק מסדר עבודת יום הכיפורים (ומקורו בפרשת אחרי מות), ולכן יש לעשותו יחד עם עבודות הכפרה</w:t>
      </w:r>
      <w:r>
        <w:rPr>
          <w:rStyle w:val="a7"/>
          <w:sz w:val="24"/>
          <w:szCs w:val="24"/>
          <w:rtl/>
        </w:rPr>
        <w:footnoteReference w:id="186"/>
      </w:r>
      <w:r>
        <w:rPr>
          <w:rFonts w:hint="cs"/>
          <w:sz w:val="24"/>
          <w:szCs w:val="24"/>
          <w:rtl/>
        </w:rPr>
        <w:t>; ואילו את שאר הקרבנות, שאינם חלק מסדר עבודת יום הכיפורים, יש לעשות לאחר מכן.</w:t>
      </w:r>
    </w:p>
    <w:p w:rsidR="00C26E1A" w:rsidRDefault="00C26E1A" w:rsidP="00C26E1A">
      <w:pPr>
        <w:spacing w:before="200" w:line="276" w:lineRule="auto"/>
        <w:ind w:left="266" w:firstLine="227"/>
        <w:rPr>
          <w:sz w:val="24"/>
          <w:szCs w:val="24"/>
          <w:rtl/>
        </w:rPr>
      </w:pPr>
      <w:r>
        <w:rPr>
          <w:rFonts w:hint="cs"/>
          <w:sz w:val="24"/>
          <w:szCs w:val="24"/>
          <w:rtl/>
        </w:rPr>
        <w:t>נמצא, כי הבנה זו בשיטת רש"י מתאימה להצעתנו דלעיל, כי העבודות הנעשות לפני הוצאת הכף והמחתה הן חלק מסדר עבודות הכפרה, ואילו העבודות הנעשות לאחר הוצאת הכף והמחתה אינן חלק מסדר זה.</w:t>
      </w:r>
    </w:p>
    <w:p w:rsidR="00C26E1A" w:rsidRDefault="00C26E1A" w:rsidP="00C26E1A">
      <w:pPr>
        <w:spacing w:before="200" w:line="276" w:lineRule="auto"/>
        <w:ind w:left="266" w:firstLine="227"/>
        <w:rPr>
          <w:sz w:val="24"/>
          <w:szCs w:val="24"/>
          <w:rtl/>
        </w:rPr>
      </w:pPr>
    </w:p>
    <w:p w:rsidR="00C26E1A" w:rsidRDefault="00C26E1A" w:rsidP="00C26E1A">
      <w:pPr>
        <w:spacing w:before="200" w:line="276" w:lineRule="auto"/>
        <w:ind w:left="266" w:firstLine="227"/>
        <w:rPr>
          <w:sz w:val="24"/>
          <w:szCs w:val="24"/>
          <w:rtl/>
        </w:rPr>
      </w:pPr>
      <w:r>
        <w:rPr>
          <w:rFonts w:hint="cs"/>
          <w:sz w:val="24"/>
          <w:szCs w:val="24"/>
          <w:rtl/>
        </w:rPr>
        <w:t>הבחנה זו מבארת יפה את החילוק בין 'אילו ואיל העם' לבין התמידים והמוספים, אמנם עדיין יש לבאר על פיה את זמן הקרבתו של שעיר המוסף. לכאורה, השעיר הוא חלק מקרבן המוסף, ולכן יש להקריבו ביחד עם שאר קרבנות המוסף. עם זאת, רבי עקיבא סובר שהשעיר היה קרב יחד 'אילו ואיל העם':</w:t>
      </w:r>
    </w:p>
    <w:p w:rsidR="00C26E1A" w:rsidRDefault="00C26E1A" w:rsidP="00C26E1A">
      <w:pPr>
        <w:spacing w:before="200" w:line="276" w:lineRule="auto"/>
        <w:ind w:left="720"/>
        <w:rPr>
          <w:sz w:val="20"/>
          <w:szCs w:val="20"/>
          <w:rtl/>
        </w:rPr>
      </w:pPr>
      <w:r>
        <w:rPr>
          <w:rFonts w:hint="cs"/>
          <w:sz w:val="24"/>
          <w:szCs w:val="24"/>
          <w:rtl/>
        </w:rPr>
        <w:t>רבי עקיבא אומר: פר העולה ושבעת כבשים עם תמיד של שחר היו קרבין, שנאמר: 'מלבד עולת הבקר אשר לעלת התמיד'. ואחר כך עבודת היום, ואחר כך שעיר הנעשה בחוץ, שנאמר 'שעיר עזים אחד לחטאת מלבד חטאת הכפורים', ואחר כך אילו ואיל העם.</w:t>
      </w:r>
      <w:r>
        <w:rPr>
          <w:sz w:val="24"/>
          <w:szCs w:val="24"/>
          <w:rtl/>
        </w:rPr>
        <w:tab/>
      </w:r>
      <w:r>
        <w:rPr>
          <w:rFonts w:hint="cs"/>
          <w:sz w:val="24"/>
          <w:szCs w:val="24"/>
          <w:rtl/>
        </w:rPr>
        <w:t xml:space="preserve">     </w:t>
      </w:r>
      <w:r>
        <w:rPr>
          <w:rFonts w:hint="cs"/>
          <w:sz w:val="20"/>
          <w:szCs w:val="20"/>
          <w:rtl/>
        </w:rPr>
        <w:t>[יומא ע.-:]</w:t>
      </w:r>
    </w:p>
    <w:p w:rsidR="00C26E1A" w:rsidRDefault="00C26E1A" w:rsidP="00C26E1A">
      <w:pPr>
        <w:spacing w:before="200" w:line="276" w:lineRule="auto"/>
        <w:ind w:left="266" w:firstLine="227"/>
        <w:rPr>
          <w:sz w:val="24"/>
          <w:szCs w:val="24"/>
          <w:rtl/>
        </w:rPr>
      </w:pPr>
      <w:r>
        <w:rPr>
          <w:rFonts w:hint="cs"/>
          <w:sz w:val="24"/>
          <w:szCs w:val="24"/>
          <w:rtl/>
        </w:rPr>
        <w:lastRenderedPageBreak/>
        <w:t>לשיטתו, רוב קרבנות המוסף היו קרבים יחד עם תמיד של שחר (בטבילה ראשונה), ואילו שעיר המוסף היה קרב יחד עם 'אילו ואיל העם' (בטבילה שלישית)</w:t>
      </w:r>
      <w:r>
        <w:rPr>
          <w:rStyle w:val="a7"/>
          <w:sz w:val="24"/>
          <w:szCs w:val="24"/>
          <w:rtl/>
        </w:rPr>
        <w:footnoteReference w:id="187"/>
      </w:r>
      <w:r>
        <w:rPr>
          <w:rFonts w:hint="cs"/>
          <w:sz w:val="24"/>
          <w:szCs w:val="24"/>
          <w:rtl/>
        </w:rPr>
        <w:t>. שיטה זו מבוססת על הכתוב "מלבד חטאת הכפורים", המלמד שיש להקריב את שעיר המוסף בסמוך לחטאות הפנימיות, אך טעם הדבר טעון ביאור: מדוע השעיר מוקרב בנפרד משאר קרבנות המוסף?</w:t>
      </w:r>
    </w:p>
    <w:p w:rsidR="00C26E1A" w:rsidRDefault="00C26E1A" w:rsidP="00C26E1A">
      <w:pPr>
        <w:spacing w:before="200" w:line="276" w:lineRule="auto"/>
        <w:ind w:left="266" w:firstLine="227"/>
        <w:rPr>
          <w:color w:val="FF0000"/>
          <w:sz w:val="24"/>
          <w:szCs w:val="24"/>
          <w:rtl/>
        </w:rPr>
      </w:pPr>
      <w:r>
        <w:rPr>
          <w:rFonts w:hint="cs"/>
          <w:sz w:val="24"/>
          <w:szCs w:val="24"/>
          <w:rtl/>
        </w:rPr>
        <w:t>הגרי"ד סולוביצ'יק לומד מכך כי קיים קשר הדוק בין שעיר המוסף לבין החטאות הפנימיות:</w:t>
      </w:r>
    </w:p>
    <w:p w:rsidR="00C26E1A" w:rsidRPr="0022609B" w:rsidRDefault="00C26E1A" w:rsidP="00C26E1A">
      <w:pPr>
        <w:spacing w:before="200" w:line="276" w:lineRule="auto"/>
        <w:ind w:left="720"/>
        <w:rPr>
          <w:color w:val="FF0000"/>
          <w:sz w:val="20"/>
          <w:szCs w:val="20"/>
          <w:rtl/>
        </w:rPr>
      </w:pPr>
      <w:r>
        <w:rPr>
          <w:rFonts w:hint="cs"/>
          <w:sz w:val="24"/>
          <w:szCs w:val="24"/>
          <w:rtl/>
        </w:rPr>
        <w:t xml:space="preserve">נראה פשוט שאין כאן רק גזירת הכתוב ערטילאית </w:t>
      </w:r>
      <w:r>
        <w:rPr>
          <w:sz w:val="24"/>
          <w:szCs w:val="24"/>
          <w:rtl/>
        </w:rPr>
        <w:t>–</w:t>
      </w:r>
      <w:r>
        <w:rPr>
          <w:rFonts w:hint="cs"/>
          <w:sz w:val="24"/>
          <w:szCs w:val="24"/>
          <w:rtl/>
        </w:rPr>
        <w:t xml:space="preserve"> המבוססת על המילה 'מלבד', אשר משמעותה 'אחר' </w:t>
      </w:r>
      <w:r>
        <w:rPr>
          <w:sz w:val="24"/>
          <w:szCs w:val="24"/>
          <w:rtl/>
        </w:rPr>
        <w:t>–</w:t>
      </w:r>
      <w:r>
        <w:rPr>
          <w:rFonts w:hint="cs"/>
          <w:sz w:val="24"/>
          <w:szCs w:val="24"/>
          <w:rtl/>
        </w:rPr>
        <w:t xml:space="preserve"> אלא שלדעתו ניתן ללמוד מן הפסוק שיש צירוף כפרה בין שעיר החטאת החיצון, המקביל לשעיר הקרב בשאר המועדים, לבין השעיר הפנימי, המיוחד ליום הכפורים; וצירוף זה הוא המחייב את הקדמת השעיר הפנימי על מנת שהשעיר החיצון יוכל להתלוות אליו, שכן אילו היה השעיר החיצון קרב קודם </w:t>
      </w:r>
      <w:r>
        <w:rPr>
          <w:sz w:val="24"/>
          <w:szCs w:val="24"/>
          <w:rtl/>
        </w:rPr>
        <w:t>–</w:t>
      </w:r>
      <w:r>
        <w:rPr>
          <w:rFonts w:hint="cs"/>
          <w:sz w:val="24"/>
          <w:szCs w:val="24"/>
          <w:rtl/>
        </w:rPr>
        <w:t xml:space="preserve"> לא היה מתגשם בו אלא הקיום הכללי של מוספי מועדים.</w:t>
      </w:r>
      <w:r>
        <w:rPr>
          <w:sz w:val="20"/>
          <w:szCs w:val="20"/>
          <w:rtl/>
        </w:rPr>
        <w:tab/>
      </w:r>
      <w:r>
        <w:rPr>
          <w:sz w:val="20"/>
          <w:szCs w:val="20"/>
          <w:rtl/>
        </w:rPr>
        <w:tab/>
      </w:r>
      <w:r>
        <w:rPr>
          <w:sz w:val="20"/>
          <w:szCs w:val="20"/>
          <w:rtl/>
        </w:rPr>
        <w:tab/>
      </w:r>
      <w:r>
        <w:rPr>
          <w:rFonts w:hint="cs"/>
          <w:sz w:val="20"/>
          <w:szCs w:val="20"/>
          <w:rtl/>
        </w:rPr>
        <w:t xml:space="preserve">       </w:t>
      </w:r>
      <w:r>
        <w:rPr>
          <w:sz w:val="20"/>
          <w:szCs w:val="20"/>
          <w:rtl/>
        </w:rPr>
        <w:tab/>
      </w:r>
      <w:r>
        <w:rPr>
          <w:rFonts w:hint="cs"/>
          <w:sz w:val="20"/>
          <w:szCs w:val="20"/>
          <w:rtl/>
        </w:rPr>
        <w:t xml:space="preserve">      [שיעורי הגרי"ד כב., עמ' מב-מג]</w:t>
      </w:r>
    </w:p>
    <w:p w:rsidR="00C26E1A" w:rsidRDefault="00C26E1A" w:rsidP="00C26E1A">
      <w:pPr>
        <w:spacing w:before="200" w:line="276" w:lineRule="auto"/>
        <w:ind w:left="266" w:firstLine="227"/>
        <w:rPr>
          <w:sz w:val="24"/>
          <w:szCs w:val="24"/>
          <w:rtl/>
        </w:rPr>
      </w:pPr>
      <w:r>
        <w:rPr>
          <w:rFonts w:hint="cs"/>
          <w:sz w:val="24"/>
          <w:szCs w:val="24"/>
          <w:rtl/>
        </w:rPr>
        <w:t>לדבריו, אמנם השעיר החיצון הוא חלק מקרבן המוסף, אך כפרתו מצטרפת עם כפרת השעיר הפנימי לכפרה אחת, ולכן יש להקריב אותם בסמיכות</w:t>
      </w:r>
      <w:r>
        <w:rPr>
          <w:rStyle w:val="a7"/>
          <w:sz w:val="24"/>
          <w:szCs w:val="24"/>
          <w:rtl/>
        </w:rPr>
        <w:footnoteReference w:id="188"/>
      </w:r>
      <w:r>
        <w:rPr>
          <w:rFonts w:hint="cs"/>
          <w:sz w:val="24"/>
          <w:szCs w:val="24"/>
          <w:rtl/>
        </w:rPr>
        <w:t xml:space="preserve">. בשל כך, בדומה ל'אילו ואיל העם', גם השעיר המוסף, הוא נלווה לעבודות הכפרה, ולכן יש להקריבו לפני הוצאת הכף והמחתה. </w:t>
      </w:r>
    </w:p>
    <w:p w:rsidR="00C26E1A" w:rsidRDefault="00C26E1A" w:rsidP="00C26E1A">
      <w:pPr>
        <w:spacing w:before="200" w:line="276" w:lineRule="auto"/>
        <w:ind w:left="266" w:firstLine="227"/>
        <w:rPr>
          <w:sz w:val="24"/>
          <w:szCs w:val="24"/>
          <w:rtl/>
        </w:rPr>
      </w:pPr>
    </w:p>
    <w:p w:rsidR="00C26E1A" w:rsidRPr="00726CFC" w:rsidRDefault="00C26E1A" w:rsidP="00C26E1A">
      <w:pPr>
        <w:spacing w:before="200" w:line="276" w:lineRule="auto"/>
        <w:ind w:left="266" w:firstLine="227"/>
        <w:rPr>
          <w:sz w:val="24"/>
          <w:szCs w:val="24"/>
          <w:rtl/>
        </w:rPr>
      </w:pPr>
      <w:r>
        <w:rPr>
          <w:rFonts w:hint="cs"/>
          <w:sz w:val="24"/>
          <w:szCs w:val="24"/>
          <w:rtl/>
        </w:rPr>
        <w:t xml:space="preserve">בשולי הדברים נעלה הצעה נוספת בטעם איחור הוצאת הכף והמחתה ועשייתה באמצע השלמת עבודות היום. ייתכן ואיחור זה נועד ליצור מארג מיוחד של מעברים מעבודה לעבודה </w:t>
      </w:r>
      <w:r>
        <w:rPr>
          <w:sz w:val="24"/>
          <w:szCs w:val="24"/>
          <w:rtl/>
        </w:rPr>
        <w:t>–</w:t>
      </w:r>
      <w:r>
        <w:rPr>
          <w:rFonts w:hint="cs"/>
          <w:sz w:val="24"/>
          <w:szCs w:val="24"/>
          <w:rtl/>
        </w:rPr>
        <w:t xml:space="preserve"> מבגדי לבן לבגדי זהב, מבגדי זהב לבגדי לבן, ולבסוף </w:t>
      </w:r>
      <w:r>
        <w:rPr>
          <w:sz w:val="24"/>
          <w:szCs w:val="24"/>
          <w:rtl/>
        </w:rPr>
        <w:t>–</w:t>
      </w:r>
      <w:r>
        <w:rPr>
          <w:rFonts w:hint="cs"/>
          <w:sz w:val="24"/>
          <w:szCs w:val="24"/>
          <w:rtl/>
        </w:rPr>
        <w:t xml:space="preserve"> מבגדי לבן לבגדי זהב. זהו ביטוי לקשר הקיים בין עבודות הכפרה המיוחדות ליום הכיפורים לעבודות היומיומיות הנעשות כבכל יום</w:t>
      </w:r>
      <w:r>
        <w:rPr>
          <w:rStyle w:val="a7"/>
          <w:sz w:val="24"/>
          <w:szCs w:val="24"/>
          <w:rtl/>
        </w:rPr>
        <w:footnoteReference w:id="189"/>
      </w:r>
      <w:r>
        <w:rPr>
          <w:rFonts w:hint="cs"/>
          <w:sz w:val="24"/>
          <w:szCs w:val="24"/>
          <w:rtl/>
        </w:rPr>
        <w:t xml:space="preserve">. על פי הבנה זו, 'סדר עבודת יום הכיפורים' אינו מורכב מעבודות הכפרה האמורות בפרשת 'אחרי מות' בלבד, אלא כל עבודות היום מתלכדות עמן למערכת אחת, וגם הן מהוות חלק מ'סדר עבודת יום הכיפורים'. </w:t>
      </w:r>
    </w:p>
    <w:p w:rsidR="00C26E1A" w:rsidRPr="00AA67FB" w:rsidRDefault="00C26E1A" w:rsidP="00C26E1A">
      <w:pPr>
        <w:spacing w:before="120" w:after="0" w:line="276" w:lineRule="auto"/>
        <w:ind w:firstLine="227"/>
        <w:jc w:val="right"/>
        <w:rPr>
          <w:sz w:val="24"/>
          <w:szCs w:val="24"/>
        </w:rPr>
      </w:pPr>
      <w:r w:rsidRPr="00AA67FB">
        <w:rPr>
          <w:rFonts w:hint="cs"/>
          <w:sz w:val="24"/>
          <w:szCs w:val="24"/>
          <w:u w:val="single"/>
          <w:rtl/>
        </w:rPr>
        <w:t>להערות ולתגובות</w:t>
      </w:r>
      <w:r w:rsidRPr="00AA67FB">
        <w:rPr>
          <w:rFonts w:hint="cs"/>
          <w:sz w:val="24"/>
          <w:szCs w:val="24"/>
          <w:rtl/>
        </w:rPr>
        <w:t>: שלמה ליפשיץ</w:t>
      </w:r>
    </w:p>
    <w:p w:rsidR="0010620B" w:rsidRDefault="00C26E1A" w:rsidP="00C26E1A">
      <w:pPr>
        <w:spacing w:before="120" w:after="0" w:line="276" w:lineRule="auto"/>
        <w:ind w:firstLine="227"/>
        <w:jc w:val="right"/>
        <w:rPr>
          <w:sz w:val="24"/>
          <w:szCs w:val="24"/>
        </w:rPr>
      </w:pPr>
      <w:hyperlink r:id="rId29" w:history="1">
        <w:r w:rsidRPr="00AA67FB">
          <w:rPr>
            <w:rStyle w:val="Hyperlink"/>
            <w:sz w:val="24"/>
            <w:szCs w:val="24"/>
          </w:rPr>
          <w:t>lshlomo26@gmail.com</w:t>
        </w:r>
      </w:hyperlink>
    </w:p>
    <w:p w:rsidR="0010620B" w:rsidRDefault="0010620B">
      <w:pPr>
        <w:spacing w:after="0" w:line="240" w:lineRule="auto"/>
        <w:rPr>
          <w:sz w:val="24"/>
          <w:szCs w:val="24"/>
        </w:rPr>
      </w:pPr>
      <w:r>
        <w:rPr>
          <w:sz w:val="24"/>
          <w:szCs w:val="24"/>
        </w:rPr>
        <w:br w:type="page"/>
      </w:r>
    </w:p>
    <w:p w:rsidR="0010620B" w:rsidRPr="00A02690" w:rsidRDefault="0010620B" w:rsidP="0010620B">
      <w:pPr>
        <w:keepNext/>
        <w:keepLines/>
        <w:spacing w:before="240" w:after="0" w:line="276" w:lineRule="auto"/>
        <w:jc w:val="center"/>
        <w:outlineLvl w:val="0"/>
        <w:rPr>
          <w:rFonts w:asciiTheme="majorHAnsi" w:eastAsiaTheme="majorEastAsia" w:hAnsiTheme="majorHAnsi"/>
          <w:bCs/>
          <w:sz w:val="36"/>
          <w:szCs w:val="36"/>
          <w:rtl/>
        </w:rPr>
      </w:pPr>
      <w:bookmarkStart w:id="114" w:name="_Toc76719207"/>
      <w:r w:rsidRPr="00A02690">
        <w:rPr>
          <w:rFonts w:asciiTheme="majorHAnsi" w:eastAsiaTheme="majorEastAsia" w:hAnsiTheme="majorHAnsi" w:hint="cs"/>
          <w:bCs/>
          <w:sz w:val="40"/>
          <w:szCs w:val="40"/>
          <w:rtl/>
        </w:rPr>
        <w:lastRenderedPageBreak/>
        <w:t>יסודות יומא</w:t>
      </w:r>
      <w:bookmarkEnd w:id="114"/>
    </w:p>
    <w:p w:rsidR="0010620B" w:rsidRPr="00A02690" w:rsidRDefault="0010620B" w:rsidP="0010620B">
      <w:pPr>
        <w:keepNext/>
        <w:keepLines/>
        <w:spacing w:before="240" w:after="0" w:line="276" w:lineRule="auto"/>
        <w:jc w:val="center"/>
        <w:outlineLvl w:val="0"/>
        <w:rPr>
          <w:rFonts w:asciiTheme="majorHAnsi" w:eastAsiaTheme="majorEastAsia" w:hAnsiTheme="majorHAnsi"/>
          <w:b/>
          <w:sz w:val="32"/>
          <w:szCs w:val="32"/>
          <w:rtl/>
        </w:rPr>
      </w:pPr>
      <w:bookmarkStart w:id="115" w:name="_Toc76719208"/>
      <w:r w:rsidRPr="00A02690">
        <w:rPr>
          <w:rFonts w:asciiTheme="majorHAnsi" w:eastAsiaTheme="majorEastAsia" w:hAnsiTheme="majorHAnsi" w:hint="cs"/>
          <w:b/>
          <w:sz w:val="32"/>
          <w:szCs w:val="32"/>
          <w:rtl/>
        </w:rPr>
        <w:t>שיעור עשרים ושנים</w:t>
      </w:r>
      <w:bookmarkEnd w:id="115"/>
    </w:p>
    <w:p w:rsidR="0010620B" w:rsidRPr="00A02690" w:rsidRDefault="0010620B" w:rsidP="0010620B">
      <w:pPr>
        <w:keepNext/>
        <w:keepLines/>
        <w:spacing w:before="240" w:after="0" w:line="276" w:lineRule="auto"/>
        <w:jc w:val="center"/>
        <w:outlineLvl w:val="0"/>
        <w:rPr>
          <w:rFonts w:asciiTheme="majorHAnsi" w:eastAsiaTheme="majorEastAsia" w:hAnsiTheme="majorHAnsi"/>
          <w:bCs/>
          <w:sz w:val="32"/>
          <w:szCs w:val="32"/>
          <w:rtl/>
        </w:rPr>
      </w:pPr>
      <w:bookmarkStart w:id="116" w:name="_Toc76719209"/>
      <w:r w:rsidRPr="00A02690">
        <w:rPr>
          <w:rFonts w:asciiTheme="majorHAnsi" w:eastAsiaTheme="majorEastAsia" w:hAnsiTheme="majorHAnsi" w:hint="cs"/>
          <w:bCs/>
          <w:sz w:val="36"/>
          <w:szCs w:val="36"/>
          <w:rtl/>
        </w:rPr>
        <w:t>סדר עבודת יום הכיפורים</w:t>
      </w:r>
      <w:r w:rsidRPr="00A02690">
        <w:rPr>
          <w:rFonts w:asciiTheme="majorHAnsi" w:eastAsiaTheme="majorEastAsia" w:hAnsiTheme="majorHAnsi" w:hint="cs"/>
          <w:bCs/>
          <w:sz w:val="32"/>
          <w:szCs w:val="32"/>
          <w:rtl/>
        </w:rPr>
        <w:t xml:space="preserve"> </w:t>
      </w:r>
      <w:r w:rsidRPr="00A02690">
        <w:rPr>
          <w:rFonts w:asciiTheme="majorHAnsi" w:eastAsiaTheme="majorEastAsia" w:hAnsiTheme="majorHAnsi"/>
          <w:bCs/>
          <w:sz w:val="32"/>
          <w:szCs w:val="32"/>
          <w:rtl/>
        </w:rPr>
        <w:t>–</w:t>
      </w:r>
      <w:r w:rsidRPr="00A02690">
        <w:rPr>
          <w:rFonts w:asciiTheme="majorHAnsi" w:eastAsiaTheme="majorEastAsia" w:hAnsiTheme="majorHAnsi" w:hint="cs"/>
          <w:bCs/>
          <w:sz w:val="32"/>
          <w:szCs w:val="32"/>
          <w:rtl/>
        </w:rPr>
        <w:t xml:space="preserve"> שיעור סיכום</w:t>
      </w:r>
      <w:bookmarkEnd w:id="116"/>
    </w:p>
    <w:p w:rsidR="0010620B" w:rsidRPr="00741569" w:rsidRDefault="0010620B" w:rsidP="0010620B">
      <w:pPr>
        <w:spacing w:line="276" w:lineRule="auto"/>
        <w:rPr>
          <w:highlight w:val="yellow"/>
          <w:rtl/>
        </w:rPr>
      </w:pPr>
    </w:p>
    <w:p w:rsidR="0010620B" w:rsidRDefault="0010620B" w:rsidP="0010620B">
      <w:pPr>
        <w:spacing w:before="200" w:line="276" w:lineRule="auto"/>
        <w:ind w:firstLine="227"/>
        <w:rPr>
          <w:sz w:val="24"/>
          <w:szCs w:val="24"/>
          <w:rtl/>
        </w:rPr>
      </w:pPr>
      <w:r>
        <w:rPr>
          <w:rFonts w:hint="cs"/>
          <w:sz w:val="24"/>
          <w:szCs w:val="24"/>
          <w:rtl/>
        </w:rPr>
        <w:t>די בעיון קל בפרשיית 'סדר העבודה' שבפרשת אחרי מות, כדי לעמוד על קושי בולט הקיים בה. הפרשייה פותחת באיסור הכניסה לקודש "בכל עת" מחמת השכינה השורה שם, והיא ממשיכה ומתארת את אופן הכניסה אל הקודש:</w:t>
      </w:r>
    </w:p>
    <w:p w:rsidR="0010620B" w:rsidRPr="000475BA" w:rsidRDefault="0010620B" w:rsidP="0010620B">
      <w:pPr>
        <w:spacing w:before="200" w:line="276" w:lineRule="auto"/>
        <w:ind w:left="720"/>
        <w:rPr>
          <w:sz w:val="24"/>
          <w:szCs w:val="24"/>
          <w:rtl/>
        </w:rPr>
      </w:pPr>
      <w:r w:rsidRPr="00E9749C">
        <w:rPr>
          <w:sz w:val="24"/>
          <w:szCs w:val="24"/>
          <w:rtl/>
        </w:rPr>
        <w:t>וידבר ה' אל משה אחרי מות שני</w:t>
      </w:r>
      <w:r>
        <w:rPr>
          <w:sz w:val="24"/>
          <w:szCs w:val="24"/>
          <w:rtl/>
        </w:rPr>
        <w:t xml:space="preserve"> בני אהרן</w:t>
      </w:r>
      <w:r>
        <w:rPr>
          <w:rFonts w:hint="cs"/>
          <w:sz w:val="24"/>
          <w:szCs w:val="24"/>
          <w:rtl/>
        </w:rPr>
        <w:t>,</w:t>
      </w:r>
      <w:r>
        <w:rPr>
          <w:sz w:val="24"/>
          <w:szCs w:val="24"/>
          <w:rtl/>
        </w:rPr>
        <w:t xml:space="preserve"> בקרבתם לפני ה' וימתו</w:t>
      </w:r>
      <w:r>
        <w:rPr>
          <w:rFonts w:hint="cs"/>
          <w:sz w:val="24"/>
          <w:szCs w:val="24"/>
          <w:rtl/>
        </w:rPr>
        <w:t>.</w:t>
      </w:r>
      <w:r w:rsidRPr="00E9749C">
        <w:rPr>
          <w:sz w:val="24"/>
          <w:szCs w:val="24"/>
          <w:rtl/>
        </w:rPr>
        <w:t xml:space="preserve"> ויאמר ה' אל משה דבר אל אהרן אחיך </w:t>
      </w:r>
      <w:r w:rsidRPr="000475BA">
        <w:rPr>
          <w:b/>
          <w:bCs/>
          <w:sz w:val="24"/>
          <w:szCs w:val="24"/>
          <w:rtl/>
        </w:rPr>
        <w:t>ואל יבא בכל עת אל הקדש</w:t>
      </w:r>
      <w:r w:rsidRPr="00E9749C">
        <w:rPr>
          <w:sz w:val="24"/>
          <w:szCs w:val="24"/>
          <w:rtl/>
        </w:rPr>
        <w:t xml:space="preserve"> מבית לפרכת</w:t>
      </w:r>
      <w:r>
        <w:rPr>
          <w:rFonts w:hint="cs"/>
          <w:sz w:val="24"/>
          <w:szCs w:val="24"/>
          <w:rtl/>
        </w:rPr>
        <w:t>,</w:t>
      </w:r>
      <w:r w:rsidRPr="00E9749C">
        <w:rPr>
          <w:sz w:val="24"/>
          <w:szCs w:val="24"/>
          <w:rtl/>
        </w:rPr>
        <w:t xml:space="preserve"> אל פני הכפרת אשר על הארן </w:t>
      </w:r>
      <w:r>
        <w:rPr>
          <w:sz w:val="24"/>
          <w:szCs w:val="24"/>
          <w:rtl/>
        </w:rPr>
        <w:t xml:space="preserve">ולא ימות כי בענן </w:t>
      </w:r>
      <w:r w:rsidRPr="000475BA">
        <w:rPr>
          <w:sz w:val="24"/>
          <w:szCs w:val="24"/>
          <w:rtl/>
        </w:rPr>
        <w:t>אראה על הכפרת</w:t>
      </w:r>
      <w:r w:rsidRPr="000475BA">
        <w:rPr>
          <w:rFonts w:hint="cs"/>
          <w:sz w:val="24"/>
          <w:szCs w:val="24"/>
          <w:rtl/>
        </w:rPr>
        <w:t>.</w:t>
      </w:r>
      <w:r w:rsidRPr="000475BA">
        <w:rPr>
          <w:sz w:val="24"/>
          <w:szCs w:val="24"/>
          <w:rtl/>
        </w:rPr>
        <w:t xml:space="preserve"> </w:t>
      </w:r>
      <w:r>
        <w:rPr>
          <w:b/>
          <w:bCs/>
          <w:sz w:val="24"/>
          <w:szCs w:val="24"/>
          <w:rtl/>
        </w:rPr>
        <w:t>בזאת יבא אהרן אל הקד</w:t>
      </w:r>
      <w:r>
        <w:rPr>
          <w:rFonts w:hint="cs"/>
          <w:b/>
          <w:bCs/>
          <w:sz w:val="24"/>
          <w:szCs w:val="24"/>
          <w:rtl/>
        </w:rPr>
        <w:t>ש</w:t>
      </w:r>
      <w:r>
        <w:rPr>
          <w:rFonts w:hint="cs"/>
          <w:sz w:val="24"/>
          <w:szCs w:val="24"/>
          <w:rtl/>
        </w:rPr>
        <w:t xml:space="preserve">...  </w:t>
      </w:r>
      <w:r w:rsidRPr="000475BA">
        <w:rPr>
          <w:sz w:val="24"/>
          <w:szCs w:val="24"/>
          <w:rtl/>
        </w:rPr>
        <w:tab/>
      </w:r>
      <w:r w:rsidRPr="000475BA">
        <w:rPr>
          <w:sz w:val="24"/>
          <w:szCs w:val="24"/>
          <w:rtl/>
        </w:rPr>
        <w:tab/>
      </w:r>
      <w:r>
        <w:rPr>
          <w:rFonts w:hint="cs"/>
          <w:sz w:val="20"/>
          <w:szCs w:val="20"/>
          <w:rtl/>
        </w:rPr>
        <w:t>[ויקרא טז, א-ג</w:t>
      </w:r>
      <w:r w:rsidRPr="000475BA">
        <w:rPr>
          <w:rFonts w:hint="cs"/>
          <w:sz w:val="20"/>
          <w:szCs w:val="20"/>
          <w:rtl/>
        </w:rPr>
        <w:t>]</w:t>
      </w:r>
    </w:p>
    <w:p w:rsidR="0010620B" w:rsidRDefault="0010620B" w:rsidP="0010620B">
      <w:pPr>
        <w:spacing w:before="200" w:line="276" w:lineRule="auto"/>
        <w:ind w:firstLine="227"/>
        <w:rPr>
          <w:sz w:val="24"/>
          <w:szCs w:val="24"/>
          <w:rtl/>
        </w:rPr>
      </w:pPr>
      <w:r>
        <w:rPr>
          <w:rFonts w:hint="cs"/>
          <w:sz w:val="24"/>
          <w:szCs w:val="24"/>
          <w:rtl/>
        </w:rPr>
        <w:t>בפסוקים אלו לא נזכר יום הכיפורים, ואף אין בהם כל התייחסות לעבודות הכפרה. מכך עולה הרושם, שנושא הפרשייה הוא אופן הכניסה לקודש הקדשים, והעבודות המפורטות בפרשייה באות כדי להתיר את הכניסה לקודש הקדשים.</w:t>
      </w:r>
    </w:p>
    <w:p w:rsidR="0010620B" w:rsidRDefault="0010620B" w:rsidP="0010620B">
      <w:pPr>
        <w:spacing w:before="200" w:line="276" w:lineRule="auto"/>
        <w:ind w:firstLine="227"/>
        <w:rPr>
          <w:sz w:val="24"/>
          <w:szCs w:val="24"/>
          <w:rtl/>
        </w:rPr>
      </w:pPr>
      <w:r>
        <w:rPr>
          <w:rFonts w:hint="cs"/>
          <w:sz w:val="24"/>
          <w:szCs w:val="24"/>
          <w:rtl/>
        </w:rPr>
        <w:t>רושם זה מתחזק מהכתוב בהמשך הפרשייה:</w:t>
      </w:r>
    </w:p>
    <w:p w:rsidR="0010620B" w:rsidRPr="009A53C2" w:rsidRDefault="0010620B" w:rsidP="0010620B">
      <w:pPr>
        <w:spacing w:before="200" w:line="276" w:lineRule="auto"/>
        <w:ind w:left="720"/>
        <w:rPr>
          <w:sz w:val="24"/>
          <w:szCs w:val="24"/>
          <w:rtl/>
        </w:rPr>
      </w:pPr>
      <w:r w:rsidRPr="00E9749C">
        <w:rPr>
          <w:sz w:val="24"/>
          <w:szCs w:val="24"/>
          <w:rtl/>
        </w:rPr>
        <w:t>ולקח מלא המחתה גחלי אש מעל המזבח מלפני ה' ומלא חפניו קטרת סמים דקה</w:t>
      </w:r>
      <w:r>
        <w:rPr>
          <w:rFonts w:hint="cs"/>
          <w:sz w:val="24"/>
          <w:szCs w:val="24"/>
          <w:rtl/>
        </w:rPr>
        <w:t>,</w:t>
      </w:r>
      <w:r>
        <w:rPr>
          <w:sz w:val="24"/>
          <w:szCs w:val="24"/>
          <w:rtl/>
        </w:rPr>
        <w:t xml:space="preserve"> והביא מבית לפרכת</w:t>
      </w:r>
      <w:r>
        <w:rPr>
          <w:rFonts w:hint="cs"/>
          <w:sz w:val="24"/>
          <w:szCs w:val="24"/>
          <w:rtl/>
        </w:rPr>
        <w:t>.</w:t>
      </w:r>
      <w:r w:rsidRPr="00E9749C">
        <w:rPr>
          <w:sz w:val="24"/>
          <w:szCs w:val="24"/>
          <w:rtl/>
        </w:rPr>
        <w:t xml:space="preserve"> ונתן את הקטרת על האש לפני ה'</w:t>
      </w:r>
      <w:r>
        <w:rPr>
          <w:rFonts w:hint="cs"/>
          <w:sz w:val="24"/>
          <w:szCs w:val="24"/>
          <w:rtl/>
        </w:rPr>
        <w:t>,</w:t>
      </w:r>
      <w:r w:rsidRPr="00E9749C">
        <w:rPr>
          <w:sz w:val="24"/>
          <w:szCs w:val="24"/>
          <w:rtl/>
        </w:rPr>
        <w:t xml:space="preserve"> וכסה ענן הקטרת</w:t>
      </w:r>
      <w:r>
        <w:rPr>
          <w:sz w:val="24"/>
          <w:szCs w:val="24"/>
          <w:rtl/>
        </w:rPr>
        <w:t xml:space="preserve"> את הכפרת אשר על </w:t>
      </w:r>
      <w:r w:rsidRPr="009A53C2">
        <w:rPr>
          <w:sz w:val="24"/>
          <w:szCs w:val="24"/>
          <w:rtl/>
        </w:rPr>
        <w:t xml:space="preserve">העדות </w:t>
      </w:r>
      <w:r w:rsidRPr="009A53C2">
        <w:rPr>
          <w:b/>
          <w:bCs/>
          <w:sz w:val="24"/>
          <w:szCs w:val="24"/>
          <w:rtl/>
        </w:rPr>
        <w:t>ולא ימות</w:t>
      </w:r>
      <w:r w:rsidRPr="009A53C2">
        <w:rPr>
          <w:rFonts w:hint="cs"/>
          <w:sz w:val="24"/>
          <w:szCs w:val="24"/>
          <w:rtl/>
        </w:rPr>
        <w:t>.</w:t>
      </w:r>
      <w:r w:rsidRPr="009A53C2">
        <w:rPr>
          <w:sz w:val="24"/>
          <w:szCs w:val="24"/>
          <w:rtl/>
        </w:rPr>
        <w:tab/>
      </w:r>
      <w:r w:rsidRPr="009A53C2">
        <w:rPr>
          <w:sz w:val="24"/>
          <w:szCs w:val="24"/>
          <w:rtl/>
        </w:rPr>
        <w:tab/>
      </w:r>
      <w:r w:rsidRPr="009A53C2">
        <w:rPr>
          <w:sz w:val="24"/>
          <w:szCs w:val="24"/>
          <w:rtl/>
        </w:rPr>
        <w:tab/>
      </w:r>
      <w:r w:rsidRPr="009A53C2">
        <w:rPr>
          <w:sz w:val="24"/>
          <w:szCs w:val="24"/>
          <w:rtl/>
        </w:rPr>
        <w:tab/>
      </w:r>
      <w:r w:rsidRPr="009A53C2">
        <w:rPr>
          <w:sz w:val="24"/>
          <w:szCs w:val="24"/>
          <w:rtl/>
        </w:rPr>
        <w:tab/>
      </w:r>
      <w:r w:rsidRPr="009A53C2">
        <w:rPr>
          <w:sz w:val="24"/>
          <w:szCs w:val="24"/>
          <w:rtl/>
        </w:rPr>
        <w:tab/>
      </w:r>
      <w:r w:rsidRPr="009A53C2">
        <w:rPr>
          <w:sz w:val="24"/>
          <w:szCs w:val="24"/>
          <w:rtl/>
        </w:rPr>
        <w:tab/>
      </w:r>
      <w:r w:rsidRPr="009A53C2">
        <w:rPr>
          <w:rFonts w:hint="cs"/>
          <w:sz w:val="24"/>
          <w:szCs w:val="24"/>
          <w:rtl/>
        </w:rPr>
        <w:t xml:space="preserve">  </w:t>
      </w:r>
      <w:r w:rsidRPr="009A53C2">
        <w:rPr>
          <w:rFonts w:hint="cs"/>
          <w:sz w:val="20"/>
          <w:szCs w:val="20"/>
          <w:rtl/>
        </w:rPr>
        <w:t>[ויקרא טז, יג]</w:t>
      </w:r>
    </w:p>
    <w:p w:rsidR="0010620B" w:rsidRDefault="0010620B" w:rsidP="0010620B">
      <w:pPr>
        <w:spacing w:line="276" w:lineRule="auto"/>
        <w:ind w:firstLine="227"/>
        <w:rPr>
          <w:sz w:val="24"/>
          <w:szCs w:val="24"/>
          <w:rtl/>
        </w:rPr>
      </w:pPr>
      <w:r>
        <w:rPr>
          <w:rFonts w:hint="cs"/>
          <w:sz w:val="24"/>
          <w:szCs w:val="24"/>
          <w:rtl/>
        </w:rPr>
        <w:t xml:space="preserve">הכתוב מצווה על נתינת קטורת על האש בשעת הכניסה לקודש הקדשים, והוא מסיים באמירה: "...וכסה ענן הקטרת את הכפרת אשר על העדות </w:t>
      </w:r>
      <w:r w:rsidRPr="00A02690">
        <w:rPr>
          <w:rFonts w:hint="cs"/>
          <w:b/>
          <w:bCs/>
          <w:sz w:val="24"/>
          <w:szCs w:val="24"/>
          <w:rtl/>
        </w:rPr>
        <w:t>ולא ימות</w:t>
      </w:r>
      <w:r>
        <w:rPr>
          <w:rFonts w:hint="cs"/>
          <w:sz w:val="24"/>
          <w:szCs w:val="24"/>
          <w:rtl/>
        </w:rPr>
        <w:t xml:space="preserve">". כתוב זה בא כניגוד ברור לפתיחת הפרשייה </w:t>
      </w:r>
      <w:r>
        <w:rPr>
          <w:rFonts w:hint="cs"/>
          <w:sz w:val="20"/>
          <w:szCs w:val="20"/>
          <w:rtl/>
        </w:rPr>
        <w:t>[שם, א-ב]</w:t>
      </w:r>
      <w:r>
        <w:rPr>
          <w:rFonts w:hint="cs"/>
          <w:sz w:val="24"/>
          <w:szCs w:val="24"/>
          <w:rtl/>
        </w:rPr>
        <w:t xml:space="preserve">: "...אחרי מות שני בני אהרן בקרבתם לפני ה' </w:t>
      </w:r>
      <w:r>
        <w:rPr>
          <w:rFonts w:hint="cs"/>
          <w:b/>
          <w:bCs/>
          <w:sz w:val="24"/>
          <w:szCs w:val="24"/>
          <w:rtl/>
        </w:rPr>
        <w:t>וימתו</w:t>
      </w:r>
      <w:r>
        <w:rPr>
          <w:rFonts w:hint="cs"/>
          <w:sz w:val="24"/>
          <w:szCs w:val="24"/>
          <w:rtl/>
        </w:rPr>
        <w:t xml:space="preserve">... ואל יבא בכל עת אל הקדש... </w:t>
      </w:r>
      <w:r>
        <w:rPr>
          <w:rFonts w:hint="cs"/>
          <w:b/>
          <w:bCs/>
          <w:sz w:val="24"/>
          <w:szCs w:val="24"/>
          <w:rtl/>
        </w:rPr>
        <w:t>ולא ימות</w:t>
      </w:r>
      <w:r>
        <w:rPr>
          <w:rFonts w:hint="cs"/>
          <w:sz w:val="24"/>
          <w:szCs w:val="24"/>
          <w:rtl/>
        </w:rPr>
        <w:t xml:space="preserve">". התורה מלמדת כי כניסה שלא כדת אל הקודש גורמת למיתה, ולכן נדרשות עבודות מיוחדות, ובראשן עבודת הקטורת, שיאפשרו את כניסת הכהן הגדול לקודש הקדשים </w:t>
      </w:r>
      <w:r>
        <w:rPr>
          <w:sz w:val="24"/>
          <w:szCs w:val="24"/>
          <w:rtl/>
        </w:rPr>
        <w:t>–</w:t>
      </w:r>
      <w:r>
        <w:rPr>
          <w:rFonts w:hint="cs"/>
          <w:sz w:val="24"/>
          <w:szCs w:val="24"/>
          <w:rtl/>
        </w:rPr>
        <w:t xml:space="preserve"> "ולא ימות". </w:t>
      </w:r>
    </w:p>
    <w:p w:rsidR="0010620B" w:rsidRDefault="0010620B" w:rsidP="0010620B">
      <w:pPr>
        <w:spacing w:line="276" w:lineRule="auto"/>
        <w:ind w:firstLine="227"/>
        <w:rPr>
          <w:sz w:val="24"/>
          <w:szCs w:val="24"/>
          <w:rtl/>
        </w:rPr>
      </w:pPr>
      <w:r>
        <w:rPr>
          <w:rFonts w:hint="cs"/>
          <w:sz w:val="24"/>
          <w:szCs w:val="24"/>
          <w:rtl/>
        </w:rPr>
        <w:t xml:space="preserve">מכך נראה כי 'נקודת השיא' של סדר העבודה מתרחשת בשעה זו </w:t>
      </w:r>
      <w:r>
        <w:rPr>
          <w:sz w:val="24"/>
          <w:szCs w:val="24"/>
          <w:rtl/>
        </w:rPr>
        <w:t>–</w:t>
      </w:r>
      <w:r>
        <w:rPr>
          <w:rFonts w:hint="cs"/>
          <w:sz w:val="24"/>
          <w:szCs w:val="24"/>
          <w:rtl/>
        </w:rPr>
        <w:t xml:space="preserve"> בכניסת הכהן הגדול לקודש הקדשים; כניסה שאינה גורמת למוות אלא לחיים ולברכה. </w:t>
      </w:r>
    </w:p>
    <w:p w:rsidR="0010620B" w:rsidRDefault="0010620B" w:rsidP="0010620B">
      <w:pPr>
        <w:spacing w:line="276" w:lineRule="auto"/>
        <w:ind w:firstLine="227"/>
        <w:rPr>
          <w:sz w:val="24"/>
          <w:szCs w:val="24"/>
          <w:rtl/>
        </w:rPr>
      </w:pPr>
      <w:r>
        <w:rPr>
          <w:rFonts w:hint="cs"/>
          <w:sz w:val="24"/>
          <w:szCs w:val="24"/>
          <w:rtl/>
        </w:rPr>
        <w:t>כן נראה גם מדברי המשנה, המלמדת על תפילה מיוחדת שהכהן הגדול היה מתפלל בשעה זו:</w:t>
      </w:r>
    </w:p>
    <w:p w:rsidR="0010620B" w:rsidRPr="00C81F53" w:rsidRDefault="0010620B" w:rsidP="0010620B">
      <w:pPr>
        <w:spacing w:line="276" w:lineRule="auto"/>
        <w:ind w:left="720"/>
        <w:rPr>
          <w:sz w:val="20"/>
          <w:szCs w:val="20"/>
          <w:rtl/>
        </w:rPr>
      </w:pPr>
      <w:r w:rsidRPr="00C81F53">
        <w:rPr>
          <w:sz w:val="24"/>
          <w:szCs w:val="24"/>
          <w:rtl/>
        </w:rPr>
        <w:t>הגיע לארון</w:t>
      </w:r>
      <w:r>
        <w:rPr>
          <w:rFonts w:hint="cs"/>
          <w:sz w:val="24"/>
          <w:szCs w:val="24"/>
          <w:rtl/>
        </w:rPr>
        <w:t>,</w:t>
      </w:r>
      <w:r w:rsidRPr="00C81F53">
        <w:rPr>
          <w:sz w:val="24"/>
          <w:szCs w:val="24"/>
          <w:rtl/>
        </w:rPr>
        <w:t xml:space="preserve"> נותן את המחתה בין שני הבדים</w:t>
      </w:r>
      <w:r>
        <w:rPr>
          <w:rFonts w:hint="cs"/>
          <w:sz w:val="24"/>
          <w:szCs w:val="24"/>
          <w:rtl/>
        </w:rPr>
        <w:t>.</w:t>
      </w:r>
      <w:r w:rsidRPr="00C81F53">
        <w:rPr>
          <w:sz w:val="24"/>
          <w:szCs w:val="24"/>
          <w:rtl/>
        </w:rPr>
        <w:t xml:space="preserve"> צבר את הקטרת על גבי גחלים ונתמלא כל הבית כולו עשן</w:t>
      </w:r>
      <w:r>
        <w:rPr>
          <w:rFonts w:hint="cs"/>
          <w:sz w:val="24"/>
          <w:szCs w:val="24"/>
          <w:rtl/>
        </w:rPr>
        <w:t>.</w:t>
      </w:r>
      <w:r w:rsidRPr="00C81F53">
        <w:rPr>
          <w:sz w:val="24"/>
          <w:szCs w:val="24"/>
          <w:rtl/>
        </w:rPr>
        <w:t xml:space="preserve"> יצא ובא לו בדרך בית כניסתו</w:t>
      </w:r>
      <w:r>
        <w:rPr>
          <w:rFonts w:hint="cs"/>
          <w:sz w:val="24"/>
          <w:szCs w:val="24"/>
          <w:rtl/>
        </w:rPr>
        <w:t>,</w:t>
      </w:r>
      <w:r w:rsidRPr="00C81F53">
        <w:rPr>
          <w:sz w:val="24"/>
          <w:szCs w:val="24"/>
          <w:rtl/>
        </w:rPr>
        <w:t xml:space="preserve"> </w:t>
      </w:r>
      <w:r w:rsidRPr="00C81F53">
        <w:rPr>
          <w:b/>
          <w:bCs/>
          <w:sz w:val="24"/>
          <w:szCs w:val="24"/>
          <w:rtl/>
        </w:rPr>
        <w:t>ומתפלל תפלה קצרה בבית החיצון</w:t>
      </w:r>
      <w:r>
        <w:rPr>
          <w:rFonts w:hint="cs"/>
          <w:sz w:val="24"/>
          <w:szCs w:val="24"/>
          <w:rtl/>
        </w:rPr>
        <w:t>.</w:t>
      </w:r>
      <w:r w:rsidRPr="00C81F53">
        <w:rPr>
          <w:sz w:val="24"/>
          <w:szCs w:val="24"/>
          <w:rtl/>
        </w:rPr>
        <w:t xml:space="preserve"> ולא היה מאריך בתפלתו שלא להבעית את ישראל</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[משנה נב:]</w:t>
      </w:r>
    </w:p>
    <w:p w:rsidR="0010620B" w:rsidRDefault="0010620B" w:rsidP="0010620B">
      <w:pPr>
        <w:spacing w:line="276" w:lineRule="auto"/>
        <w:ind w:firstLine="227"/>
        <w:rPr>
          <w:sz w:val="24"/>
          <w:szCs w:val="24"/>
          <w:rtl/>
        </w:rPr>
      </w:pPr>
      <w:r>
        <w:rPr>
          <w:rFonts w:hint="cs"/>
          <w:sz w:val="24"/>
          <w:szCs w:val="24"/>
          <w:rtl/>
        </w:rPr>
        <w:t xml:space="preserve">נראה שעובדה זו, שדווקא כעת מתפלל הכהן הגדול את תפילתו, נובעת מייחודה של שעה זו: שעת קרבת ה' וגילוי שכינה שאין כדוגמתה. </w:t>
      </w:r>
    </w:p>
    <w:p w:rsidR="0010620B" w:rsidRDefault="0010620B" w:rsidP="0010620B">
      <w:pPr>
        <w:spacing w:line="276" w:lineRule="auto"/>
        <w:ind w:firstLine="227"/>
        <w:rPr>
          <w:sz w:val="24"/>
          <w:szCs w:val="24"/>
          <w:rtl/>
        </w:rPr>
      </w:pPr>
      <w:r>
        <w:rPr>
          <w:rFonts w:hint="cs"/>
          <w:sz w:val="24"/>
          <w:szCs w:val="24"/>
          <w:rtl/>
        </w:rPr>
        <w:t>עם זאת, המשך הפרשייה עוסק כולו בעבודות כפרת הקודש:</w:t>
      </w:r>
    </w:p>
    <w:p w:rsidR="0010620B" w:rsidRPr="00C81F53" w:rsidRDefault="0010620B" w:rsidP="0010620B">
      <w:pPr>
        <w:spacing w:line="276" w:lineRule="auto"/>
        <w:ind w:left="720"/>
        <w:rPr>
          <w:sz w:val="20"/>
          <w:szCs w:val="20"/>
          <w:rtl/>
        </w:rPr>
      </w:pPr>
      <w:r w:rsidRPr="00A02690">
        <w:rPr>
          <w:b/>
          <w:bCs/>
          <w:sz w:val="24"/>
          <w:szCs w:val="24"/>
          <w:rtl/>
        </w:rPr>
        <w:t>וכפר על הקדש</w:t>
      </w:r>
      <w:r w:rsidRPr="00FE7D16">
        <w:rPr>
          <w:sz w:val="24"/>
          <w:szCs w:val="24"/>
          <w:rtl/>
        </w:rPr>
        <w:t xml:space="preserve"> מטמאת בני ישראל</w:t>
      </w:r>
      <w:r w:rsidRPr="008F1781">
        <w:rPr>
          <w:sz w:val="24"/>
          <w:szCs w:val="24"/>
          <w:rtl/>
        </w:rPr>
        <w:t xml:space="preserve"> ומפשעיהם לכל חטאתם וכן יעשה</w:t>
      </w:r>
      <w:r>
        <w:rPr>
          <w:sz w:val="24"/>
          <w:szCs w:val="24"/>
          <w:rtl/>
        </w:rPr>
        <w:t xml:space="preserve"> לאהל מועד השכן אתם בתוך טמאתם</w:t>
      </w:r>
      <w:r>
        <w:rPr>
          <w:rFonts w:hint="cs"/>
          <w:sz w:val="24"/>
          <w:szCs w:val="24"/>
          <w:rtl/>
        </w:rPr>
        <w:t xml:space="preserve">... </w:t>
      </w:r>
      <w:r w:rsidRPr="008F1781">
        <w:rPr>
          <w:sz w:val="24"/>
          <w:szCs w:val="24"/>
          <w:rtl/>
        </w:rPr>
        <w:t xml:space="preserve">ויצא אל המזבח אשר לפני ה' </w:t>
      </w:r>
      <w:r w:rsidRPr="00A02690">
        <w:rPr>
          <w:b/>
          <w:bCs/>
          <w:sz w:val="24"/>
          <w:szCs w:val="24"/>
          <w:rtl/>
        </w:rPr>
        <w:t>וכפר עליו</w:t>
      </w:r>
      <w:r>
        <w:rPr>
          <w:rFonts w:hint="cs"/>
          <w:sz w:val="24"/>
          <w:szCs w:val="24"/>
          <w:rtl/>
        </w:rPr>
        <w:t xml:space="preserve">... </w:t>
      </w:r>
      <w:r w:rsidRPr="00A02690">
        <w:rPr>
          <w:b/>
          <w:bCs/>
          <w:sz w:val="24"/>
          <w:szCs w:val="24"/>
          <w:rtl/>
        </w:rPr>
        <w:t>וכפר</w:t>
      </w:r>
      <w:r w:rsidRPr="00FE7D16">
        <w:rPr>
          <w:sz w:val="24"/>
          <w:szCs w:val="24"/>
          <w:rtl/>
        </w:rPr>
        <w:t xml:space="preserve"> את מקדש הקדש ואת אהל מועד ואת המזבח </w:t>
      </w:r>
      <w:r w:rsidRPr="00A02690">
        <w:rPr>
          <w:b/>
          <w:bCs/>
          <w:sz w:val="24"/>
          <w:szCs w:val="24"/>
          <w:rtl/>
        </w:rPr>
        <w:t>יכפר</w:t>
      </w:r>
      <w:r w:rsidRPr="00FE7D16">
        <w:rPr>
          <w:rFonts w:hint="cs"/>
          <w:sz w:val="24"/>
          <w:szCs w:val="24"/>
          <w:rtl/>
        </w:rPr>
        <w:t>,</w:t>
      </w:r>
      <w:r w:rsidRPr="00FE7D16">
        <w:rPr>
          <w:sz w:val="24"/>
          <w:szCs w:val="24"/>
          <w:rtl/>
        </w:rPr>
        <w:t xml:space="preserve"> ועל הכהנים ועל כל עם הקהל </w:t>
      </w:r>
      <w:r w:rsidRPr="00A02690">
        <w:rPr>
          <w:b/>
          <w:bCs/>
          <w:sz w:val="24"/>
          <w:szCs w:val="24"/>
          <w:rtl/>
        </w:rPr>
        <w:t>יכפר</w:t>
      </w:r>
      <w:r w:rsidRPr="00FE7D16">
        <w:rPr>
          <w:rFonts w:hint="cs"/>
          <w:sz w:val="24"/>
          <w:szCs w:val="24"/>
          <w:rtl/>
        </w:rPr>
        <w:t>.</w:t>
      </w:r>
      <w:r>
        <w:rPr>
          <w:sz w:val="24"/>
          <w:szCs w:val="24"/>
          <w:rtl/>
        </w:rPr>
        <w:tab/>
      </w:r>
      <w:r>
        <w:rPr>
          <w:rFonts w:hint="cs"/>
          <w:sz w:val="24"/>
          <w:szCs w:val="24"/>
          <w:rtl/>
        </w:rPr>
        <w:t xml:space="preserve">    </w:t>
      </w:r>
      <w:r>
        <w:rPr>
          <w:rFonts w:hint="cs"/>
          <w:sz w:val="20"/>
          <w:szCs w:val="20"/>
          <w:rtl/>
        </w:rPr>
        <w:t>[שם, יד-לג]</w:t>
      </w:r>
    </w:p>
    <w:p w:rsidR="0010620B" w:rsidRDefault="0010620B" w:rsidP="0010620B">
      <w:pPr>
        <w:spacing w:line="276" w:lineRule="auto"/>
        <w:ind w:firstLine="227"/>
        <w:rPr>
          <w:sz w:val="24"/>
          <w:szCs w:val="24"/>
          <w:rtl/>
        </w:rPr>
      </w:pPr>
      <w:r>
        <w:rPr>
          <w:rFonts w:hint="cs"/>
          <w:sz w:val="24"/>
          <w:szCs w:val="24"/>
          <w:rtl/>
        </w:rPr>
        <w:t xml:space="preserve">בפסוקים אלו מבואר כי מגמת עבודות אלו </w:t>
      </w:r>
      <w:r>
        <w:rPr>
          <w:sz w:val="24"/>
          <w:szCs w:val="24"/>
          <w:rtl/>
        </w:rPr>
        <w:t>–</w:t>
      </w:r>
      <w:r>
        <w:rPr>
          <w:rFonts w:hint="cs"/>
          <w:sz w:val="24"/>
          <w:szCs w:val="24"/>
          <w:rtl/>
        </w:rPr>
        <w:t xml:space="preserve"> שחלק מרכזי מהן נעשה בקודש הקדשים </w:t>
      </w:r>
      <w:r>
        <w:rPr>
          <w:sz w:val="24"/>
          <w:szCs w:val="24"/>
          <w:rtl/>
        </w:rPr>
        <w:t>–</w:t>
      </w:r>
      <w:r>
        <w:rPr>
          <w:rFonts w:hint="cs"/>
          <w:sz w:val="24"/>
          <w:szCs w:val="24"/>
          <w:rtl/>
        </w:rPr>
        <w:t xml:space="preserve"> היא כפרת הקודש, אוהל מועד, הכהנים והעם. לפי זה, עבודות אלו אינן באות כדי לאפשר את הכניסה לקודש הקדשים, אלא להיפך: הכניסה לקודש הקדשים נעשית כדי לקיים עבודות אלו ובאמצעותן לכפר על הקודש.</w:t>
      </w:r>
    </w:p>
    <w:p w:rsidR="0010620B" w:rsidRDefault="0010620B" w:rsidP="0010620B">
      <w:pPr>
        <w:spacing w:line="276" w:lineRule="auto"/>
        <w:ind w:firstLine="227"/>
        <w:rPr>
          <w:sz w:val="24"/>
          <w:szCs w:val="24"/>
          <w:rtl/>
        </w:rPr>
      </w:pPr>
      <w:r>
        <w:rPr>
          <w:rFonts w:hint="cs"/>
          <w:sz w:val="24"/>
          <w:szCs w:val="24"/>
          <w:rtl/>
        </w:rPr>
        <w:lastRenderedPageBreak/>
        <w:t xml:space="preserve">מכתובים אלו נראה, ש'נקודת השיא' של סדר העבודה אינה בעצם הכניסה לקודש הקדשים, אלא דווקא בהשלמת כפרת הקודש ובמחילת עוונות ישראל </w:t>
      </w:r>
      <w:r>
        <w:rPr>
          <w:sz w:val="24"/>
          <w:szCs w:val="24"/>
          <w:rtl/>
        </w:rPr>
        <w:t>–</w:t>
      </w:r>
      <w:r>
        <w:rPr>
          <w:rFonts w:hint="cs"/>
          <w:sz w:val="24"/>
          <w:szCs w:val="24"/>
          <w:rtl/>
        </w:rPr>
        <w:t xml:space="preserve"> בשעת הלבנת הלשון של זהורית כסימן לכפרת העוונות ולהתרצות ישראל לפני אביהם שבשמים.</w:t>
      </w:r>
    </w:p>
    <w:p w:rsidR="0010620B" w:rsidRDefault="0010620B" w:rsidP="0010620B">
      <w:pPr>
        <w:spacing w:line="276" w:lineRule="auto"/>
        <w:ind w:firstLine="227"/>
        <w:rPr>
          <w:sz w:val="24"/>
          <w:szCs w:val="24"/>
          <w:rtl/>
        </w:rPr>
      </w:pPr>
    </w:p>
    <w:p w:rsidR="0010620B" w:rsidRDefault="0010620B" w:rsidP="0010620B">
      <w:pPr>
        <w:spacing w:line="276" w:lineRule="auto"/>
        <w:ind w:firstLine="227"/>
        <w:rPr>
          <w:sz w:val="24"/>
          <w:szCs w:val="24"/>
          <w:rtl/>
        </w:rPr>
      </w:pPr>
      <w:r>
        <w:rPr>
          <w:rFonts w:hint="cs"/>
          <w:sz w:val="24"/>
          <w:szCs w:val="24"/>
          <w:rtl/>
        </w:rPr>
        <w:t xml:space="preserve">זהו, אם כן, מתח מסוים הקיים בתוך הפרשייה: מהו טיבו של 'סדר העבודה' </w:t>
      </w:r>
      <w:r>
        <w:rPr>
          <w:sz w:val="24"/>
          <w:szCs w:val="24"/>
          <w:rtl/>
        </w:rPr>
        <w:t>–</w:t>
      </w:r>
      <w:r>
        <w:rPr>
          <w:rFonts w:hint="cs"/>
          <w:sz w:val="24"/>
          <w:szCs w:val="24"/>
          <w:rtl/>
        </w:rPr>
        <w:t xml:space="preserve"> 'מתיר' לכניסה לקודש הקדשים, או עבודות כפרת הקודש? האם מגמת העבודות היא הכניסה למקדש, או שמא כפרת הקודש? אולם, מעבר לכך, 'מתח' זה יוצר קושי פרשני של ממש. כאמור, בחציה הראשון של הפרשייה אין זכר לכך שעבודות אלו נעשות דווקא ביום הכיפורים, ונראה שהן נעשות בכל שעה בה רוצה הכהן הגדול להיכנס לקודש הקדשים. רק בסוף הפרשייה 'מתגלה' כי חובה על הכהן הגדול לעשות עבודות אלו בכל שנה ביום הכיפורים:</w:t>
      </w:r>
    </w:p>
    <w:p w:rsidR="0010620B" w:rsidRDefault="0010620B" w:rsidP="0010620B">
      <w:pPr>
        <w:spacing w:line="276" w:lineRule="auto"/>
        <w:ind w:left="720"/>
        <w:rPr>
          <w:sz w:val="24"/>
          <w:szCs w:val="24"/>
          <w:rtl/>
        </w:rPr>
      </w:pPr>
      <w:r w:rsidRPr="00E42E0B">
        <w:rPr>
          <w:b/>
          <w:bCs/>
          <w:sz w:val="24"/>
          <w:szCs w:val="24"/>
          <w:rtl/>
        </w:rPr>
        <w:t>והיתה לכם לחקת עולם</w:t>
      </w:r>
      <w:r>
        <w:rPr>
          <w:rFonts w:hint="cs"/>
          <w:sz w:val="24"/>
          <w:szCs w:val="24"/>
          <w:rtl/>
        </w:rPr>
        <w:t>,</w:t>
      </w:r>
      <w:r w:rsidRPr="00FE7D16">
        <w:rPr>
          <w:sz w:val="24"/>
          <w:szCs w:val="24"/>
          <w:rtl/>
        </w:rPr>
        <w:t xml:space="preserve"> בחדש השביעי בעשור לחדש תענו את נפשתיכם וכל מלאכה</w:t>
      </w:r>
      <w:r>
        <w:rPr>
          <w:sz w:val="24"/>
          <w:szCs w:val="24"/>
          <w:rtl/>
        </w:rPr>
        <w:t xml:space="preserve"> לא תעשו האזרח והגר הגר בתוככם</w:t>
      </w:r>
      <w:r>
        <w:rPr>
          <w:rFonts w:hint="cs"/>
          <w:sz w:val="24"/>
          <w:szCs w:val="24"/>
          <w:rtl/>
        </w:rPr>
        <w:t>.</w:t>
      </w:r>
      <w:r w:rsidRPr="00FE7D16">
        <w:rPr>
          <w:sz w:val="24"/>
          <w:szCs w:val="24"/>
          <w:rtl/>
        </w:rPr>
        <w:t xml:space="preserve"> כי ביום הזה יכפר עליכם לטהר אתכם</w:t>
      </w:r>
      <w:r>
        <w:rPr>
          <w:rFonts w:hint="cs"/>
          <w:sz w:val="24"/>
          <w:szCs w:val="24"/>
          <w:rtl/>
        </w:rPr>
        <w:t>,</w:t>
      </w:r>
      <w:r>
        <w:rPr>
          <w:sz w:val="24"/>
          <w:szCs w:val="24"/>
          <w:rtl/>
        </w:rPr>
        <w:t xml:space="preserve"> מכל חטאתיכם לפני ה' תטהרו</w:t>
      </w:r>
      <w:r>
        <w:rPr>
          <w:rFonts w:hint="cs"/>
          <w:sz w:val="24"/>
          <w:szCs w:val="24"/>
          <w:rtl/>
        </w:rPr>
        <w:t xml:space="preserve">. </w:t>
      </w:r>
      <w:r w:rsidRPr="00FE7D16">
        <w:rPr>
          <w:sz w:val="24"/>
          <w:szCs w:val="24"/>
          <w:rtl/>
        </w:rPr>
        <w:t>שבת שבתון היא לכם ועניתם את נפשתיכם</w:t>
      </w:r>
      <w:r>
        <w:rPr>
          <w:rFonts w:hint="cs"/>
          <w:sz w:val="24"/>
          <w:szCs w:val="24"/>
          <w:rtl/>
        </w:rPr>
        <w:t>,</w:t>
      </w:r>
      <w:r w:rsidRPr="00FE7D16">
        <w:rPr>
          <w:sz w:val="24"/>
          <w:szCs w:val="24"/>
          <w:rtl/>
        </w:rPr>
        <w:t xml:space="preserve"> חקת עולם</w:t>
      </w:r>
      <w:r>
        <w:rPr>
          <w:rFonts w:hint="cs"/>
          <w:sz w:val="24"/>
          <w:szCs w:val="24"/>
          <w:rtl/>
        </w:rPr>
        <w:t xml:space="preserve">... </w:t>
      </w:r>
      <w:r w:rsidRPr="00E42E0B">
        <w:rPr>
          <w:b/>
          <w:bCs/>
          <w:sz w:val="24"/>
          <w:szCs w:val="24"/>
          <w:rtl/>
        </w:rPr>
        <w:t>והיתה זאת לכם לחקת עולם לכפר על בני ישראל מכל חטאתם אחת בשנה</w:t>
      </w:r>
      <w:r>
        <w:rPr>
          <w:rFonts w:hint="cs"/>
          <w:sz w:val="24"/>
          <w:szCs w:val="24"/>
          <w:rtl/>
        </w:rPr>
        <w:t>,</w:t>
      </w:r>
      <w:r>
        <w:rPr>
          <w:sz w:val="24"/>
          <w:szCs w:val="24"/>
          <w:rtl/>
        </w:rPr>
        <w:t xml:space="preserve"> ויעש כאשר צוה ה' את משה</w:t>
      </w:r>
      <w:r>
        <w:rPr>
          <w:rFonts w:hint="cs"/>
          <w:sz w:val="24"/>
          <w:szCs w:val="24"/>
          <w:rtl/>
        </w:rPr>
        <w:t>.</w:t>
      </w:r>
    </w:p>
    <w:p w:rsidR="0010620B" w:rsidRPr="00FE7D16" w:rsidRDefault="0010620B" w:rsidP="0010620B">
      <w:pPr>
        <w:spacing w:line="276" w:lineRule="auto"/>
        <w:ind w:left="720"/>
        <w:jc w:val="right"/>
        <w:rPr>
          <w:sz w:val="20"/>
          <w:szCs w:val="20"/>
          <w:rtl/>
        </w:rPr>
      </w:pPr>
      <w:r w:rsidRPr="00FE7D16">
        <w:rPr>
          <w:rFonts w:hint="cs"/>
          <w:sz w:val="20"/>
          <w:szCs w:val="20"/>
          <w:rtl/>
        </w:rPr>
        <w:t>[שם, כט-לד]</w:t>
      </w:r>
    </w:p>
    <w:p w:rsidR="0010620B" w:rsidRDefault="0010620B" w:rsidP="0010620B">
      <w:pPr>
        <w:spacing w:line="276" w:lineRule="auto"/>
        <w:ind w:firstLine="227"/>
        <w:rPr>
          <w:sz w:val="24"/>
          <w:szCs w:val="24"/>
          <w:rtl/>
        </w:rPr>
      </w:pPr>
      <w:r>
        <w:rPr>
          <w:rFonts w:hint="cs"/>
          <w:sz w:val="24"/>
          <w:szCs w:val="24"/>
          <w:rtl/>
        </w:rPr>
        <w:t xml:space="preserve">בעקבות המשמעות השונה העולה משני חצאי הפרשייה יש לשאול: מתי נעשות עבודות אלו </w:t>
      </w:r>
      <w:r>
        <w:rPr>
          <w:sz w:val="24"/>
          <w:szCs w:val="24"/>
          <w:rtl/>
        </w:rPr>
        <w:t>–</w:t>
      </w:r>
      <w:r>
        <w:rPr>
          <w:rFonts w:hint="cs"/>
          <w:sz w:val="24"/>
          <w:szCs w:val="24"/>
          <w:rtl/>
        </w:rPr>
        <w:t xml:space="preserve"> דווקא ביום הכיפורים או בכל שעה בה רוצה הכהן הגדול להיכנס לקודש הקדשים?</w:t>
      </w:r>
    </w:p>
    <w:p w:rsidR="0010620B" w:rsidRDefault="0010620B" w:rsidP="0010620B">
      <w:pPr>
        <w:spacing w:line="276" w:lineRule="auto"/>
        <w:ind w:firstLine="227"/>
        <w:rPr>
          <w:sz w:val="24"/>
          <w:szCs w:val="24"/>
          <w:rtl/>
        </w:rPr>
      </w:pPr>
      <w:r>
        <w:rPr>
          <w:rFonts w:hint="cs"/>
          <w:sz w:val="24"/>
          <w:szCs w:val="24"/>
          <w:rtl/>
        </w:rPr>
        <w:t>ראשונים ואחרונים עסקו בשאלות אלו ויישבו אותן בדרכים שונות</w:t>
      </w:r>
      <w:r>
        <w:rPr>
          <w:rStyle w:val="a7"/>
          <w:sz w:val="24"/>
          <w:szCs w:val="24"/>
          <w:rtl/>
        </w:rPr>
        <w:footnoteReference w:id="190"/>
      </w:r>
      <w:r>
        <w:rPr>
          <w:rFonts w:hint="cs"/>
          <w:sz w:val="24"/>
          <w:szCs w:val="24"/>
          <w:rtl/>
        </w:rPr>
        <w:t xml:space="preserve">. עם זאת, מפשטי המקראות נראה שקיימות שתי מגמות שונות ל'סדר העבודה': האחת </w:t>
      </w:r>
      <w:r>
        <w:rPr>
          <w:sz w:val="24"/>
          <w:szCs w:val="24"/>
          <w:rtl/>
        </w:rPr>
        <w:t>–</w:t>
      </w:r>
      <w:r>
        <w:rPr>
          <w:rFonts w:hint="cs"/>
          <w:sz w:val="24"/>
          <w:szCs w:val="24"/>
          <w:rtl/>
        </w:rPr>
        <w:t xml:space="preserve"> אופן הכניסה לקודש הקדשים, והשנייה </w:t>
      </w:r>
      <w:r>
        <w:rPr>
          <w:sz w:val="24"/>
          <w:szCs w:val="24"/>
          <w:rtl/>
        </w:rPr>
        <w:t>–</w:t>
      </w:r>
      <w:r>
        <w:rPr>
          <w:rFonts w:hint="cs"/>
          <w:sz w:val="24"/>
          <w:szCs w:val="24"/>
          <w:rtl/>
        </w:rPr>
        <w:t xml:space="preserve"> כפרת הקודש. על פי זה, אמנם 'סדר העבודה' מתקיים באופן מעשי רק "אחת בשנה", ביום הכיפורים, אך התורה מציגה את הפרשייה באופן המלמד על אופייה הכפול: לא רק כיום כפרת הקודש, אלא גם כאופן הכניסה למקום השכינה.</w:t>
      </w:r>
    </w:p>
    <w:p w:rsidR="0010620B" w:rsidRDefault="0010620B" w:rsidP="0010620B">
      <w:pPr>
        <w:spacing w:line="276" w:lineRule="auto"/>
        <w:ind w:firstLine="227"/>
        <w:rPr>
          <w:sz w:val="24"/>
          <w:szCs w:val="24"/>
          <w:rtl/>
        </w:rPr>
      </w:pPr>
    </w:p>
    <w:p w:rsidR="0010620B" w:rsidRDefault="0010620B" w:rsidP="0010620B">
      <w:pPr>
        <w:spacing w:line="276" w:lineRule="auto"/>
        <w:ind w:firstLine="227"/>
        <w:rPr>
          <w:sz w:val="24"/>
          <w:szCs w:val="24"/>
          <w:rtl/>
        </w:rPr>
      </w:pPr>
      <w:r>
        <w:rPr>
          <w:rFonts w:hint="cs"/>
          <w:sz w:val="24"/>
          <w:szCs w:val="24"/>
          <w:rtl/>
        </w:rPr>
        <w:t>הגדרה זו, כי לעבודת יום הכיפורים אופי כפול, שופכת אור על דינים שונים ב'סדר העבודה':</w:t>
      </w:r>
    </w:p>
    <w:p w:rsidR="0010620B" w:rsidRDefault="0010620B" w:rsidP="0010620B">
      <w:pPr>
        <w:pStyle w:val="a8"/>
        <w:numPr>
          <w:ilvl w:val="0"/>
          <w:numId w:val="8"/>
        </w:numPr>
        <w:spacing w:line="276" w:lineRule="auto"/>
        <w:rPr>
          <w:sz w:val="24"/>
          <w:szCs w:val="24"/>
        </w:rPr>
      </w:pPr>
      <w:r>
        <w:rPr>
          <w:rFonts w:hint="cs"/>
          <w:sz w:val="24"/>
          <w:szCs w:val="24"/>
          <w:u w:val="single"/>
          <w:rtl/>
        </w:rPr>
        <w:t>הפרשת כהן גדול שבעת ימים קודם יום הכיפורים</w:t>
      </w:r>
      <w:r>
        <w:rPr>
          <w:rFonts w:hint="cs"/>
          <w:sz w:val="24"/>
          <w:szCs w:val="24"/>
          <w:rtl/>
        </w:rPr>
        <w:t xml:space="preserve">: הגמרא </w:t>
      </w:r>
      <w:r>
        <w:rPr>
          <w:rFonts w:hint="cs"/>
          <w:sz w:val="20"/>
          <w:szCs w:val="20"/>
          <w:rtl/>
        </w:rPr>
        <w:t>[ב.-ד.]</w:t>
      </w:r>
      <w:r>
        <w:rPr>
          <w:rFonts w:hint="cs"/>
          <w:sz w:val="24"/>
          <w:szCs w:val="24"/>
          <w:rtl/>
        </w:rPr>
        <w:t xml:space="preserve"> מביאה מחלוקת אמוראים במקורה של חובה זו: לפי רבי יוחנן, המקור לכך הוא בשבעת ימי המילואים. לעומת זאת, לפי ריש לקיש, המקור לכך הוא מסיני </w:t>
      </w:r>
      <w:r>
        <w:rPr>
          <w:sz w:val="24"/>
          <w:szCs w:val="24"/>
          <w:rtl/>
        </w:rPr>
        <w:t>–</w:t>
      </w:r>
      <w:r>
        <w:rPr>
          <w:rFonts w:hint="cs"/>
          <w:sz w:val="24"/>
          <w:szCs w:val="24"/>
          <w:rtl/>
        </w:rPr>
        <w:t xml:space="preserve"> כשם</w:t>
      </w:r>
      <w:r w:rsidRPr="006F6608">
        <w:rPr>
          <w:rFonts w:hint="cs"/>
          <w:sz w:val="24"/>
          <w:szCs w:val="24"/>
          <w:rtl/>
        </w:rPr>
        <w:t xml:space="preserve"> שמשה פרש שישה ימים לפני כניסתו למחנה שכינה, כך הכהן הגדול צריך לפרוש שישה ימים לפני כניסתו לקודש הקדשים</w:t>
      </w:r>
      <w:r>
        <w:rPr>
          <w:rFonts w:hint="cs"/>
          <w:sz w:val="24"/>
          <w:szCs w:val="24"/>
          <w:rtl/>
        </w:rPr>
        <w:t>, מקום השראת השכינה. על פי האמור, מחלוקת זו נובעת מאופייה הכפול של עבודת יום הכיפורים: יום הכניסה למקום השכינה ויום כפרת הקודש. בהתאם לכך, רבי יוחנן סובר שחובת הפרישה נובעת מחמת עבודת הכפרה הנעשית בה. לעומתו, ריש לקיש סבור שחובת הפרישה נובעת מחמת הכניסה למקום השכינה</w:t>
      </w:r>
      <w:r>
        <w:rPr>
          <w:rStyle w:val="a7"/>
          <w:sz w:val="24"/>
          <w:szCs w:val="24"/>
          <w:rtl/>
        </w:rPr>
        <w:footnoteReference w:id="191"/>
      </w:r>
      <w:r>
        <w:rPr>
          <w:rFonts w:hint="cs"/>
          <w:sz w:val="24"/>
          <w:szCs w:val="24"/>
          <w:rtl/>
        </w:rPr>
        <w:t>.</w:t>
      </w:r>
    </w:p>
    <w:p w:rsidR="0010620B" w:rsidRDefault="0010620B" w:rsidP="0010620B">
      <w:pPr>
        <w:pStyle w:val="a8"/>
        <w:numPr>
          <w:ilvl w:val="0"/>
          <w:numId w:val="8"/>
        </w:numPr>
        <w:spacing w:line="276" w:lineRule="auto"/>
        <w:rPr>
          <w:sz w:val="24"/>
          <w:szCs w:val="24"/>
        </w:rPr>
      </w:pPr>
      <w:r>
        <w:rPr>
          <w:rFonts w:hint="cs"/>
          <w:sz w:val="24"/>
          <w:szCs w:val="24"/>
          <w:u w:val="single"/>
          <w:rtl/>
        </w:rPr>
        <w:t>בגדי לבן</w:t>
      </w:r>
      <w:r>
        <w:rPr>
          <w:rFonts w:hint="cs"/>
          <w:sz w:val="24"/>
          <w:szCs w:val="24"/>
          <w:rtl/>
        </w:rPr>
        <w:t xml:space="preserve">: התורה </w:t>
      </w:r>
      <w:r>
        <w:rPr>
          <w:rFonts w:hint="cs"/>
          <w:sz w:val="20"/>
          <w:szCs w:val="20"/>
          <w:rtl/>
        </w:rPr>
        <w:t>[שם, ד]</w:t>
      </w:r>
      <w:r>
        <w:rPr>
          <w:rFonts w:hint="cs"/>
          <w:sz w:val="24"/>
          <w:szCs w:val="24"/>
          <w:rtl/>
        </w:rPr>
        <w:t xml:space="preserve"> קובעת כי 'סדר העבודה' נעשה עם בגדי לבן: "</w:t>
      </w:r>
      <w:r w:rsidRPr="00B51B3D">
        <w:rPr>
          <w:sz w:val="24"/>
          <w:szCs w:val="24"/>
          <w:rtl/>
        </w:rPr>
        <w:t>כתנת בד קדש ילבש ומכנסי בד יהיו על בשרו ובאבנט בד יחגר ובמצנפת בד יצנף</w:t>
      </w:r>
      <w:r>
        <w:rPr>
          <w:rFonts w:hint="cs"/>
          <w:sz w:val="24"/>
          <w:szCs w:val="24"/>
          <w:rtl/>
        </w:rPr>
        <w:t>,</w:t>
      </w:r>
      <w:r w:rsidRPr="00B51B3D">
        <w:rPr>
          <w:sz w:val="24"/>
          <w:szCs w:val="24"/>
          <w:rtl/>
        </w:rPr>
        <w:t xml:space="preserve"> בגדי קדש הם ורחץ במים את בשרו ולבשם</w:t>
      </w:r>
      <w:r>
        <w:rPr>
          <w:rFonts w:hint="cs"/>
          <w:sz w:val="24"/>
          <w:szCs w:val="24"/>
          <w:rtl/>
        </w:rPr>
        <w:t xml:space="preserve">". מה טעם השינוי מבגדי זהב לבגדי לבן? הגמרא </w:t>
      </w:r>
      <w:r>
        <w:rPr>
          <w:rFonts w:hint="cs"/>
          <w:sz w:val="20"/>
          <w:szCs w:val="20"/>
          <w:rtl/>
        </w:rPr>
        <w:t>[ר"ה כו.]</w:t>
      </w:r>
      <w:r>
        <w:rPr>
          <w:rFonts w:hint="cs"/>
          <w:sz w:val="24"/>
          <w:szCs w:val="24"/>
          <w:rtl/>
        </w:rPr>
        <w:t xml:space="preserve"> מביאה את טעמו של רב חסדא: "</w:t>
      </w:r>
      <w:r w:rsidRPr="00E86804">
        <w:rPr>
          <w:sz w:val="24"/>
          <w:szCs w:val="24"/>
          <w:rtl/>
        </w:rPr>
        <w:t>מפני מה אין כהן גדול נכנס בבגדי זהב לפני ולפנים לעבוד עבודה</w:t>
      </w:r>
      <w:r>
        <w:rPr>
          <w:rFonts w:hint="cs"/>
          <w:sz w:val="24"/>
          <w:szCs w:val="24"/>
          <w:rtl/>
        </w:rPr>
        <w:t>,</w:t>
      </w:r>
      <w:r w:rsidRPr="00E86804">
        <w:rPr>
          <w:sz w:val="24"/>
          <w:szCs w:val="24"/>
          <w:rtl/>
        </w:rPr>
        <w:t xml:space="preserve"> לפי שאין קטיגור נעשה סניגור</w:t>
      </w:r>
      <w:r>
        <w:rPr>
          <w:rFonts w:hint="cs"/>
          <w:sz w:val="24"/>
          <w:szCs w:val="24"/>
          <w:rtl/>
        </w:rPr>
        <w:t xml:space="preserve">". לדבריו, השינוי לבגדי לבן נובע מחמת הכניסה לקודש הקדשים. אמנם, הספרי </w:t>
      </w:r>
      <w:r>
        <w:rPr>
          <w:rFonts w:hint="cs"/>
          <w:sz w:val="20"/>
          <w:szCs w:val="20"/>
          <w:rtl/>
        </w:rPr>
        <w:t>[פרשת חוקת פסקה קכג]</w:t>
      </w:r>
      <w:r>
        <w:rPr>
          <w:rFonts w:hint="cs"/>
          <w:sz w:val="24"/>
          <w:szCs w:val="24"/>
          <w:rtl/>
        </w:rPr>
        <w:t xml:space="preserve"> משווה לעניין זה בין עבודת יום הכיפורים לעבודת שריפת פרה אדומה: "</w:t>
      </w:r>
      <w:r w:rsidRPr="00E17487">
        <w:rPr>
          <w:sz w:val="24"/>
          <w:szCs w:val="24"/>
          <w:rtl/>
        </w:rPr>
        <w:t>רבי אליעזר אומר</w:t>
      </w:r>
      <w:r>
        <w:rPr>
          <w:rFonts w:hint="cs"/>
          <w:sz w:val="24"/>
          <w:szCs w:val="24"/>
          <w:rtl/>
        </w:rPr>
        <w:t>:</w:t>
      </w:r>
      <w:r w:rsidRPr="00E17487">
        <w:rPr>
          <w:sz w:val="24"/>
          <w:szCs w:val="24"/>
          <w:rtl/>
        </w:rPr>
        <w:t xml:space="preserve"> נאמר כאן </w:t>
      </w:r>
      <w:r>
        <w:rPr>
          <w:rFonts w:hint="cs"/>
          <w:sz w:val="24"/>
          <w:szCs w:val="24"/>
          <w:rtl/>
        </w:rPr>
        <w:t>'</w:t>
      </w:r>
      <w:r w:rsidRPr="00E17487">
        <w:rPr>
          <w:sz w:val="24"/>
          <w:szCs w:val="24"/>
          <w:rtl/>
        </w:rPr>
        <w:t>חקה</w:t>
      </w:r>
      <w:r>
        <w:rPr>
          <w:rFonts w:hint="cs"/>
          <w:sz w:val="24"/>
          <w:szCs w:val="24"/>
          <w:rtl/>
        </w:rPr>
        <w:t>'</w:t>
      </w:r>
      <w:r w:rsidRPr="00E17487">
        <w:rPr>
          <w:sz w:val="24"/>
          <w:szCs w:val="24"/>
          <w:rtl/>
        </w:rPr>
        <w:t xml:space="preserve"> ונאמר להלן </w:t>
      </w:r>
      <w:r>
        <w:rPr>
          <w:rFonts w:hint="cs"/>
          <w:sz w:val="24"/>
          <w:szCs w:val="24"/>
          <w:rtl/>
        </w:rPr>
        <w:t>'</w:t>
      </w:r>
      <w:r w:rsidRPr="00E17487">
        <w:rPr>
          <w:sz w:val="24"/>
          <w:szCs w:val="24"/>
          <w:rtl/>
        </w:rPr>
        <w:t>חקה</w:t>
      </w:r>
      <w:r>
        <w:rPr>
          <w:rFonts w:hint="cs"/>
          <w:sz w:val="24"/>
          <w:szCs w:val="24"/>
          <w:rtl/>
        </w:rPr>
        <w:t>',</w:t>
      </w:r>
      <w:r w:rsidRPr="00E17487">
        <w:rPr>
          <w:sz w:val="24"/>
          <w:szCs w:val="24"/>
          <w:rtl/>
        </w:rPr>
        <w:t xml:space="preserve"> מה חקה האמורה להלן בבגדי לבן הכתוב מדבר</w:t>
      </w:r>
      <w:r>
        <w:rPr>
          <w:rFonts w:hint="cs"/>
          <w:sz w:val="24"/>
          <w:szCs w:val="24"/>
          <w:rtl/>
        </w:rPr>
        <w:t>,</w:t>
      </w:r>
      <w:r w:rsidRPr="00E17487">
        <w:rPr>
          <w:sz w:val="24"/>
          <w:szCs w:val="24"/>
          <w:rtl/>
        </w:rPr>
        <w:t xml:space="preserve"> אף חקה האמורה כאן בבגדי לבן הכתוב מדבר</w:t>
      </w:r>
      <w:r>
        <w:rPr>
          <w:rFonts w:hint="cs"/>
          <w:sz w:val="24"/>
          <w:szCs w:val="24"/>
          <w:rtl/>
        </w:rPr>
        <w:t xml:space="preserve">". </w:t>
      </w:r>
      <w:r>
        <w:rPr>
          <w:rFonts w:hint="cs"/>
          <w:sz w:val="24"/>
          <w:szCs w:val="24"/>
          <w:rtl/>
        </w:rPr>
        <w:lastRenderedPageBreak/>
        <w:t>משיטה זו עולה שהשינוי לבגדי לבן נובעת מחמת עבודת הכפרה (שכן גם עבודת יום הכיפורים וגם פרה אדומה באים לשם חיטוי וכפרה)</w:t>
      </w:r>
      <w:r>
        <w:rPr>
          <w:rStyle w:val="a7"/>
          <w:sz w:val="24"/>
          <w:szCs w:val="24"/>
          <w:rtl/>
        </w:rPr>
        <w:footnoteReference w:id="192"/>
      </w:r>
      <w:r>
        <w:rPr>
          <w:rFonts w:hint="cs"/>
          <w:sz w:val="24"/>
          <w:szCs w:val="24"/>
          <w:rtl/>
        </w:rPr>
        <w:t>.</w:t>
      </w:r>
    </w:p>
    <w:p w:rsidR="0010620B" w:rsidRPr="002F7B4D" w:rsidRDefault="0010620B" w:rsidP="0010620B">
      <w:pPr>
        <w:pStyle w:val="a8"/>
        <w:numPr>
          <w:ilvl w:val="0"/>
          <w:numId w:val="8"/>
        </w:numPr>
        <w:spacing w:line="276" w:lineRule="auto"/>
        <w:rPr>
          <w:sz w:val="24"/>
          <w:szCs w:val="24"/>
          <w:rtl/>
        </w:rPr>
      </w:pPr>
      <w:r w:rsidRPr="002F7B4D">
        <w:rPr>
          <w:rFonts w:hint="cs"/>
          <w:sz w:val="24"/>
          <w:szCs w:val="24"/>
          <w:u w:val="single"/>
          <w:rtl/>
        </w:rPr>
        <w:t>פרו של כהן גדול</w:t>
      </w:r>
      <w:r w:rsidRPr="002F7B4D">
        <w:rPr>
          <w:rFonts w:hint="cs"/>
          <w:sz w:val="24"/>
          <w:szCs w:val="24"/>
          <w:rtl/>
        </w:rPr>
        <w:t xml:space="preserve">:  בתחילת הפרשייה </w:t>
      </w:r>
      <w:r w:rsidRPr="002F7B4D">
        <w:rPr>
          <w:rFonts w:hint="cs"/>
          <w:sz w:val="20"/>
          <w:szCs w:val="20"/>
          <w:rtl/>
        </w:rPr>
        <w:t>[שם, ג]</w:t>
      </w:r>
      <w:r w:rsidRPr="002F7B4D">
        <w:rPr>
          <w:rFonts w:hint="cs"/>
          <w:sz w:val="24"/>
          <w:szCs w:val="24"/>
          <w:rtl/>
        </w:rPr>
        <w:t xml:space="preserve"> נאמר: "</w:t>
      </w:r>
      <w:r w:rsidRPr="002F7B4D">
        <w:rPr>
          <w:sz w:val="24"/>
          <w:szCs w:val="24"/>
          <w:rtl/>
        </w:rPr>
        <w:t>בזאת יבא אהרן אל הקדש, בפר בן בקר לחטאת ואיל לעלה</w:t>
      </w:r>
      <w:r w:rsidRPr="002F7B4D">
        <w:rPr>
          <w:rFonts w:hint="cs"/>
          <w:sz w:val="24"/>
          <w:szCs w:val="24"/>
          <w:rtl/>
        </w:rPr>
        <w:t>"</w:t>
      </w:r>
      <w:r w:rsidRPr="002F7B4D">
        <w:rPr>
          <w:sz w:val="24"/>
          <w:szCs w:val="24"/>
          <w:rtl/>
        </w:rPr>
        <w:t>.</w:t>
      </w:r>
      <w:r w:rsidRPr="002F7B4D">
        <w:rPr>
          <w:rFonts w:hint="cs"/>
          <w:sz w:val="24"/>
          <w:szCs w:val="24"/>
          <w:rtl/>
        </w:rPr>
        <w:t xml:space="preserve"> נראה מכך שפר זה מהווה 'מתיר' לכניסה אל הקודש, וכן עולה מדיון הגמרא </w:t>
      </w:r>
      <w:r w:rsidRPr="002F7B4D">
        <w:rPr>
          <w:rFonts w:hint="cs"/>
          <w:sz w:val="20"/>
          <w:szCs w:val="20"/>
          <w:rtl/>
        </w:rPr>
        <w:t>[מט:]</w:t>
      </w:r>
      <w:r w:rsidRPr="002F7B4D">
        <w:rPr>
          <w:rFonts w:hint="cs"/>
          <w:sz w:val="24"/>
          <w:szCs w:val="24"/>
          <w:rtl/>
        </w:rPr>
        <w:t xml:space="preserve"> לגבי כהן גדול שמת לאחר שחיטת פרו: "</w:t>
      </w:r>
      <w:r w:rsidRPr="002F7B4D">
        <w:rPr>
          <w:sz w:val="24"/>
          <w:szCs w:val="24"/>
          <w:rtl/>
        </w:rPr>
        <w:t>איבעיא להו</w:t>
      </w:r>
      <w:r w:rsidRPr="002F7B4D">
        <w:rPr>
          <w:rFonts w:hint="cs"/>
          <w:sz w:val="24"/>
          <w:szCs w:val="24"/>
          <w:rtl/>
        </w:rPr>
        <w:t>,</w:t>
      </w:r>
      <w:r w:rsidRPr="002F7B4D">
        <w:rPr>
          <w:sz w:val="24"/>
          <w:szCs w:val="24"/>
          <w:rtl/>
        </w:rPr>
        <w:t xml:space="preserve"> שחט ומת מה הוא שיכנס אחר בדמו</w:t>
      </w:r>
      <w:r w:rsidRPr="002F7B4D">
        <w:rPr>
          <w:rFonts w:hint="cs"/>
          <w:sz w:val="24"/>
          <w:szCs w:val="24"/>
          <w:rtl/>
        </w:rPr>
        <w:t>?</w:t>
      </w:r>
      <w:r w:rsidRPr="002F7B4D">
        <w:rPr>
          <w:sz w:val="24"/>
          <w:szCs w:val="24"/>
          <w:rtl/>
        </w:rPr>
        <w:t xml:space="preserve"> מי אמרינן </w:t>
      </w:r>
      <w:r w:rsidRPr="002F7B4D">
        <w:rPr>
          <w:rFonts w:hint="cs"/>
          <w:sz w:val="24"/>
          <w:szCs w:val="24"/>
          <w:rtl/>
        </w:rPr>
        <w:t>'</w:t>
      </w:r>
      <w:r w:rsidRPr="002F7B4D">
        <w:rPr>
          <w:sz w:val="24"/>
          <w:szCs w:val="24"/>
          <w:rtl/>
        </w:rPr>
        <w:t>בפר</w:t>
      </w:r>
      <w:r w:rsidRPr="002F7B4D">
        <w:rPr>
          <w:rFonts w:hint="cs"/>
          <w:sz w:val="24"/>
          <w:szCs w:val="24"/>
          <w:rtl/>
        </w:rPr>
        <w:t>'</w:t>
      </w:r>
      <w:r w:rsidRPr="002F7B4D">
        <w:rPr>
          <w:sz w:val="24"/>
          <w:szCs w:val="24"/>
          <w:rtl/>
        </w:rPr>
        <w:t xml:space="preserve"> ואפילו בדמו של פר</w:t>
      </w:r>
      <w:r w:rsidRPr="002F7B4D">
        <w:rPr>
          <w:rFonts w:hint="cs"/>
          <w:sz w:val="24"/>
          <w:szCs w:val="24"/>
          <w:rtl/>
        </w:rPr>
        <w:t>,</w:t>
      </w:r>
      <w:r w:rsidRPr="002F7B4D">
        <w:rPr>
          <w:sz w:val="24"/>
          <w:szCs w:val="24"/>
          <w:rtl/>
        </w:rPr>
        <w:t xml:space="preserve"> או דילמא </w:t>
      </w:r>
      <w:r w:rsidRPr="002F7B4D">
        <w:rPr>
          <w:rFonts w:hint="cs"/>
          <w:sz w:val="24"/>
          <w:szCs w:val="24"/>
          <w:rtl/>
        </w:rPr>
        <w:t>'</w:t>
      </w:r>
      <w:r w:rsidRPr="002F7B4D">
        <w:rPr>
          <w:sz w:val="24"/>
          <w:szCs w:val="24"/>
          <w:rtl/>
        </w:rPr>
        <w:t>בפר</w:t>
      </w:r>
      <w:r w:rsidRPr="002F7B4D">
        <w:rPr>
          <w:rFonts w:hint="cs"/>
          <w:sz w:val="24"/>
          <w:szCs w:val="24"/>
          <w:rtl/>
        </w:rPr>
        <w:t>'</w:t>
      </w:r>
      <w:r w:rsidRPr="002F7B4D">
        <w:rPr>
          <w:sz w:val="24"/>
          <w:szCs w:val="24"/>
          <w:rtl/>
        </w:rPr>
        <w:t xml:space="preserve"> ולא בדמו של פר</w:t>
      </w:r>
      <w:r w:rsidRPr="002F7B4D">
        <w:rPr>
          <w:rFonts w:hint="cs"/>
          <w:sz w:val="24"/>
          <w:szCs w:val="24"/>
          <w:rtl/>
        </w:rPr>
        <w:t xml:space="preserve">?". הגמרא דנה בדין כהן גדול שמת לאחר שחיטת פרו ונכנס כהן גדול תחתיו, האם די בכניסתו לקודש הקדשים עם דם הפר או שחובה עליו להביא פר לה' כדי להתיר את הכניסה לקודש הקדשים. מבואר מכך, כי קיימת חובה שכניסת הכהן הגדול לקודש הקדשים תהיה מלווה בהבאת פר לחטאת, ומכאן שהפר מהווה 'מתיר' לכניסה אל הקודש. אמנם, בהמשך הפרשייה </w:t>
      </w:r>
      <w:r w:rsidRPr="002F7B4D">
        <w:rPr>
          <w:rFonts w:hint="cs"/>
          <w:sz w:val="20"/>
          <w:szCs w:val="20"/>
          <w:rtl/>
        </w:rPr>
        <w:t>[שם, יד-יט]</w:t>
      </w:r>
      <w:r w:rsidRPr="002F7B4D">
        <w:rPr>
          <w:rFonts w:hint="cs"/>
          <w:sz w:val="24"/>
          <w:szCs w:val="24"/>
          <w:rtl/>
        </w:rPr>
        <w:t xml:space="preserve"> מתוארות בהרחבה עבודות הכפרה השונות הנעשות עם דם הפר ועם דם השעיר, ועולה מכך כי הפר מהווה חלק מעבודות כפרת הקודש. על פי האמור, שני תפקידיו של הפר נובעות</w:t>
      </w:r>
      <w:r>
        <w:rPr>
          <w:rFonts w:hint="cs"/>
          <w:sz w:val="24"/>
          <w:szCs w:val="24"/>
          <w:rtl/>
        </w:rPr>
        <w:t xml:space="preserve"> משתי מגמותיה של 'סדר העבודה': היתר הכניסה לקודש הקדשים</w:t>
      </w:r>
      <w:r w:rsidRPr="002F7B4D">
        <w:rPr>
          <w:rFonts w:hint="cs"/>
          <w:sz w:val="24"/>
          <w:szCs w:val="24"/>
          <w:rtl/>
        </w:rPr>
        <w:t xml:space="preserve"> וכפרת הקודש</w:t>
      </w:r>
      <w:r>
        <w:rPr>
          <w:rStyle w:val="a7"/>
          <w:sz w:val="24"/>
          <w:szCs w:val="24"/>
          <w:rtl/>
        </w:rPr>
        <w:footnoteReference w:id="193"/>
      </w:r>
      <w:r w:rsidRPr="002F7B4D">
        <w:rPr>
          <w:rFonts w:hint="cs"/>
          <w:sz w:val="24"/>
          <w:szCs w:val="24"/>
          <w:rtl/>
        </w:rPr>
        <w:t>.</w:t>
      </w:r>
    </w:p>
    <w:p w:rsidR="0010620B" w:rsidRDefault="0010620B" w:rsidP="0010620B">
      <w:pPr>
        <w:spacing w:line="276" w:lineRule="auto"/>
        <w:ind w:firstLine="227"/>
        <w:rPr>
          <w:sz w:val="24"/>
          <w:szCs w:val="24"/>
          <w:rtl/>
        </w:rPr>
      </w:pPr>
    </w:p>
    <w:p w:rsidR="0010620B" w:rsidRDefault="0010620B" w:rsidP="0010620B">
      <w:pPr>
        <w:spacing w:line="276" w:lineRule="auto"/>
        <w:ind w:firstLine="227"/>
        <w:rPr>
          <w:sz w:val="24"/>
          <w:szCs w:val="24"/>
          <w:rtl/>
        </w:rPr>
      </w:pPr>
      <w:r>
        <w:rPr>
          <w:rFonts w:hint="cs"/>
          <w:sz w:val="24"/>
          <w:szCs w:val="24"/>
          <w:rtl/>
        </w:rPr>
        <w:t>לאור האבחנה בשני חלקיה של פרשיית 'סדר העבודה', יש ליישב קושי נוסף הקיים בפרשייה זו.</w:t>
      </w:r>
    </w:p>
    <w:p w:rsidR="0010620B" w:rsidRDefault="0010620B" w:rsidP="0010620B">
      <w:pPr>
        <w:spacing w:line="276" w:lineRule="auto"/>
        <w:ind w:firstLine="227"/>
        <w:rPr>
          <w:sz w:val="24"/>
          <w:szCs w:val="24"/>
          <w:rtl/>
        </w:rPr>
      </w:pPr>
      <w:r>
        <w:rPr>
          <w:rFonts w:hint="cs"/>
          <w:sz w:val="24"/>
          <w:szCs w:val="24"/>
          <w:rtl/>
        </w:rPr>
        <w:t>בכתוב הפותח את סדר העבודה נאמר:</w:t>
      </w:r>
    </w:p>
    <w:p w:rsidR="0010620B" w:rsidRDefault="0010620B" w:rsidP="0010620B">
      <w:pPr>
        <w:spacing w:line="276" w:lineRule="auto"/>
        <w:ind w:firstLine="720"/>
        <w:rPr>
          <w:sz w:val="24"/>
          <w:szCs w:val="24"/>
          <w:rtl/>
        </w:rPr>
      </w:pPr>
      <w:r w:rsidRPr="00055562">
        <w:rPr>
          <w:sz w:val="24"/>
          <w:szCs w:val="24"/>
          <w:rtl/>
        </w:rPr>
        <w:t>והקריב אהרן את פר החטאת אשר לו</w:t>
      </w:r>
      <w:r>
        <w:rPr>
          <w:rFonts w:hint="cs"/>
          <w:sz w:val="24"/>
          <w:szCs w:val="24"/>
          <w:rtl/>
        </w:rPr>
        <w:t>,</w:t>
      </w:r>
      <w:r w:rsidRPr="00055562">
        <w:rPr>
          <w:sz w:val="24"/>
          <w:szCs w:val="24"/>
          <w:rtl/>
        </w:rPr>
        <w:t xml:space="preserve"> וכפר בעדו ובעד ביתו</w:t>
      </w:r>
      <w:r>
        <w:rPr>
          <w:rFonts w:hint="cs"/>
          <w:sz w:val="24"/>
          <w:szCs w:val="24"/>
          <w:rtl/>
        </w:rPr>
        <w:t>.</w:t>
      </w:r>
      <w:r>
        <w:rPr>
          <w:sz w:val="24"/>
          <w:szCs w:val="24"/>
          <w:rtl/>
        </w:rPr>
        <w:tab/>
      </w:r>
      <w:r>
        <w:rPr>
          <w:sz w:val="24"/>
          <w:szCs w:val="24"/>
          <w:rtl/>
        </w:rPr>
        <w:tab/>
      </w:r>
      <w:r>
        <w:rPr>
          <w:rFonts w:hint="cs"/>
          <w:sz w:val="24"/>
          <w:szCs w:val="24"/>
          <w:rtl/>
        </w:rPr>
        <w:t xml:space="preserve">        </w:t>
      </w:r>
      <w:r>
        <w:rPr>
          <w:rFonts w:hint="cs"/>
          <w:sz w:val="20"/>
          <w:szCs w:val="20"/>
          <w:rtl/>
        </w:rPr>
        <w:t>[שם, ו]</w:t>
      </w:r>
      <w:r>
        <w:rPr>
          <w:rFonts w:hint="cs"/>
          <w:sz w:val="24"/>
          <w:szCs w:val="24"/>
          <w:rtl/>
        </w:rPr>
        <w:t xml:space="preserve"> </w:t>
      </w:r>
    </w:p>
    <w:p w:rsidR="0010620B" w:rsidRDefault="0010620B" w:rsidP="0010620B">
      <w:pPr>
        <w:spacing w:line="276" w:lineRule="auto"/>
        <w:ind w:firstLine="227"/>
        <w:rPr>
          <w:sz w:val="24"/>
          <w:szCs w:val="24"/>
          <w:rtl/>
        </w:rPr>
      </w:pPr>
      <w:r>
        <w:rPr>
          <w:rFonts w:hint="cs"/>
          <w:sz w:val="24"/>
          <w:szCs w:val="24"/>
          <w:rtl/>
        </w:rPr>
        <w:t>מכתוב זה מתקבל הרושם שכעת אהרן מקריב את פרו ועושה בו את כל עבודות הדם, בהן תלויה הכפרה. אמנם המשך הפרשייה שוללת הבנה זו:</w:t>
      </w:r>
    </w:p>
    <w:p w:rsidR="0010620B" w:rsidRDefault="0010620B" w:rsidP="0010620B">
      <w:pPr>
        <w:spacing w:line="276" w:lineRule="auto"/>
        <w:ind w:left="720"/>
        <w:rPr>
          <w:sz w:val="24"/>
          <w:szCs w:val="24"/>
          <w:rtl/>
        </w:rPr>
      </w:pPr>
      <w:r w:rsidRPr="00055562">
        <w:rPr>
          <w:sz w:val="24"/>
          <w:szCs w:val="24"/>
          <w:rtl/>
        </w:rPr>
        <w:t>והקריב אהרן את פר החטאת אשר לו וכפר בעדו ובעד ביתו</w:t>
      </w:r>
      <w:r>
        <w:rPr>
          <w:rFonts w:hint="cs"/>
          <w:sz w:val="24"/>
          <w:szCs w:val="24"/>
          <w:rtl/>
        </w:rPr>
        <w:t>,</w:t>
      </w:r>
      <w:r w:rsidRPr="00055562">
        <w:rPr>
          <w:sz w:val="24"/>
          <w:szCs w:val="24"/>
          <w:rtl/>
        </w:rPr>
        <w:t xml:space="preserve"> ושחט את פר החטאת אשר לו</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[שם, יא]</w:t>
      </w:r>
    </w:p>
    <w:p w:rsidR="0010620B" w:rsidRDefault="0010620B" w:rsidP="0010620B">
      <w:pPr>
        <w:spacing w:line="276" w:lineRule="auto"/>
        <w:ind w:firstLine="227"/>
        <w:rPr>
          <w:sz w:val="24"/>
          <w:szCs w:val="24"/>
          <w:rtl/>
        </w:rPr>
      </w:pPr>
      <w:r>
        <w:rPr>
          <w:rFonts w:hint="cs"/>
          <w:sz w:val="24"/>
          <w:szCs w:val="24"/>
          <w:rtl/>
        </w:rPr>
        <w:t>בכתוב זה נאמר פעם נוספת שאהרן 'מקריב' את פרו ומכפר "בעדו ובעד ביתו". מכאן שהכפרה האמורה אינה ביצוע עבודות הקרבן. כן מוכח גם מסוף הפסוק: "...ושחט את פר החטאת אשר לו", ומכאן שרק כעת הפר נשחט, ובהכרח הכפרה האמורה מתפרשת באופן אחר.</w:t>
      </w:r>
    </w:p>
    <w:p w:rsidR="0010620B" w:rsidRDefault="0010620B" w:rsidP="0010620B">
      <w:pPr>
        <w:spacing w:line="276" w:lineRule="auto"/>
        <w:ind w:firstLine="227"/>
        <w:rPr>
          <w:sz w:val="24"/>
          <w:szCs w:val="24"/>
          <w:rtl/>
        </w:rPr>
      </w:pPr>
      <w:r>
        <w:rPr>
          <w:rFonts w:hint="cs"/>
          <w:sz w:val="24"/>
          <w:szCs w:val="24"/>
          <w:rtl/>
        </w:rPr>
        <w:t>ואכן, הגמרא כותבת:</w:t>
      </w:r>
    </w:p>
    <w:p w:rsidR="0010620B" w:rsidRPr="00DA1B58" w:rsidRDefault="0010620B" w:rsidP="0010620B">
      <w:pPr>
        <w:spacing w:line="276" w:lineRule="auto"/>
        <w:ind w:left="720"/>
        <w:rPr>
          <w:sz w:val="20"/>
          <w:szCs w:val="20"/>
          <w:rtl/>
        </w:rPr>
      </w:pPr>
      <w:r w:rsidRPr="00DA1B58">
        <w:rPr>
          <w:sz w:val="24"/>
          <w:szCs w:val="24"/>
          <w:rtl/>
        </w:rPr>
        <w:t>תנו רבנן</w:t>
      </w:r>
      <w:r>
        <w:rPr>
          <w:rFonts w:hint="cs"/>
          <w:sz w:val="24"/>
          <w:szCs w:val="24"/>
          <w:rtl/>
        </w:rPr>
        <w:t>,</w:t>
      </w:r>
      <w:r w:rsidRPr="00DA1B58">
        <w:rPr>
          <w:sz w:val="24"/>
          <w:szCs w:val="24"/>
          <w:rtl/>
        </w:rPr>
        <w:t xml:space="preserve"> </w:t>
      </w:r>
      <w:r>
        <w:rPr>
          <w:rFonts w:hint="cs"/>
          <w:sz w:val="24"/>
          <w:szCs w:val="24"/>
          <w:rtl/>
        </w:rPr>
        <w:t>'</w:t>
      </w:r>
      <w:r w:rsidRPr="00DA1B58">
        <w:rPr>
          <w:sz w:val="24"/>
          <w:szCs w:val="24"/>
          <w:rtl/>
        </w:rPr>
        <w:t>וכפר</w:t>
      </w:r>
      <w:r>
        <w:rPr>
          <w:rFonts w:hint="cs"/>
          <w:sz w:val="24"/>
          <w:szCs w:val="24"/>
          <w:rtl/>
        </w:rPr>
        <w:t xml:space="preserve">' </w:t>
      </w:r>
      <w:r>
        <w:rPr>
          <w:sz w:val="24"/>
          <w:szCs w:val="24"/>
          <w:rtl/>
        </w:rPr>
        <w:t>–</w:t>
      </w:r>
      <w:r w:rsidRPr="00DA1B58">
        <w:rPr>
          <w:sz w:val="24"/>
          <w:szCs w:val="24"/>
          <w:rtl/>
        </w:rPr>
        <w:t xml:space="preserve"> בכפרת דברים הכתוב מדבר</w:t>
      </w:r>
      <w:r>
        <w:rPr>
          <w:rFonts w:hint="cs"/>
          <w:sz w:val="24"/>
          <w:szCs w:val="24"/>
          <w:rtl/>
        </w:rPr>
        <w:t>.</w:t>
      </w:r>
      <w:r w:rsidRPr="00DA1B58">
        <w:rPr>
          <w:sz w:val="24"/>
          <w:szCs w:val="24"/>
          <w:rtl/>
        </w:rPr>
        <w:t xml:space="preserve"> אתה אומר בכפרת דברים</w:t>
      </w:r>
      <w:r>
        <w:rPr>
          <w:rFonts w:hint="cs"/>
          <w:sz w:val="24"/>
          <w:szCs w:val="24"/>
          <w:rtl/>
        </w:rPr>
        <w:t>,</w:t>
      </w:r>
      <w:r w:rsidRPr="00DA1B58">
        <w:rPr>
          <w:sz w:val="24"/>
          <w:szCs w:val="24"/>
          <w:rtl/>
        </w:rPr>
        <w:t xml:space="preserve"> או אינו אלא כפרת דמים</w:t>
      </w:r>
      <w:r>
        <w:rPr>
          <w:rFonts w:hint="cs"/>
          <w:sz w:val="24"/>
          <w:szCs w:val="24"/>
          <w:rtl/>
        </w:rPr>
        <w:t>?</w:t>
      </w:r>
      <w:r w:rsidRPr="00DA1B58">
        <w:rPr>
          <w:sz w:val="24"/>
          <w:szCs w:val="24"/>
          <w:rtl/>
        </w:rPr>
        <w:t xml:space="preserve"> הרי אני דן</w:t>
      </w:r>
      <w:r>
        <w:rPr>
          <w:rFonts w:hint="cs"/>
          <w:sz w:val="24"/>
          <w:szCs w:val="24"/>
          <w:rtl/>
        </w:rPr>
        <w:t>,</w:t>
      </w:r>
      <w:r w:rsidRPr="00DA1B58">
        <w:rPr>
          <w:sz w:val="24"/>
          <w:szCs w:val="24"/>
          <w:rtl/>
        </w:rPr>
        <w:t xml:space="preserve"> נאמרה כאן כפרה ונאמרה להלן כפרה</w:t>
      </w:r>
      <w:r>
        <w:rPr>
          <w:rFonts w:hint="cs"/>
          <w:sz w:val="24"/>
          <w:szCs w:val="24"/>
          <w:rtl/>
        </w:rPr>
        <w:t>,</w:t>
      </w:r>
      <w:r w:rsidRPr="00DA1B58">
        <w:rPr>
          <w:sz w:val="24"/>
          <w:szCs w:val="24"/>
          <w:rtl/>
        </w:rPr>
        <w:t xml:space="preserve"> מה כפרה האמורה בשעיר דברים אף כפרה האמורה בפר דברים</w:t>
      </w:r>
      <w:r>
        <w:rPr>
          <w:rFonts w:hint="cs"/>
          <w:sz w:val="24"/>
          <w:szCs w:val="24"/>
          <w:rtl/>
        </w:rPr>
        <w:t>.</w:t>
      </w:r>
      <w:r w:rsidRPr="00DA1B58">
        <w:rPr>
          <w:sz w:val="24"/>
          <w:szCs w:val="24"/>
          <w:rtl/>
        </w:rPr>
        <w:t xml:space="preserve"> ואם נפשך לומר</w:t>
      </w:r>
      <w:r>
        <w:rPr>
          <w:rFonts w:hint="cs"/>
          <w:sz w:val="24"/>
          <w:szCs w:val="24"/>
          <w:rtl/>
        </w:rPr>
        <w:t>,</w:t>
      </w:r>
      <w:r w:rsidRPr="00DA1B58">
        <w:rPr>
          <w:sz w:val="24"/>
          <w:szCs w:val="24"/>
          <w:rtl/>
        </w:rPr>
        <w:t xml:space="preserve"> הרי הוא אומר </w:t>
      </w:r>
      <w:r>
        <w:rPr>
          <w:rFonts w:hint="cs"/>
          <w:sz w:val="24"/>
          <w:szCs w:val="24"/>
          <w:rtl/>
        </w:rPr>
        <w:t>'</w:t>
      </w:r>
      <w:r w:rsidRPr="00DA1B58">
        <w:rPr>
          <w:sz w:val="24"/>
          <w:szCs w:val="24"/>
          <w:rtl/>
        </w:rPr>
        <w:t>והקריב אהרן את פר החטאת אשר לו וכפר בעדו ובעד ביתו</w:t>
      </w:r>
      <w:r>
        <w:rPr>
          <w:rFonts w:hint="cs"/>
          <w:sz w:val="24"/>
          <w:szCs w:val="24"/>
          <w:rtl/>
        </w:rPr>
        <w:t>'</w:t>
      </w:r>
      <w:r w:rsidRPr="00DA1B58">
        <w:rPr>
          <w:sz w:val="24"/>
          <w:szCs w:val="24"/>
          <w:rtl/>
        </w:rPr>
        <w:t xml:space="preserve"> ועדיין לא נשחט הפר</w:t>
      </w:r>
      <w:r>
        <w:rPr>
          <w:rFonts w:hint="cs"/>
          <w:sz w:val="24"/>
          <w:szCs w:val="24"/>
          <w:rtl/>
        </w:rPr>
        <w:t>.</w:t>
      </w:r>
      <w:r>
        <w:rPr>
          <w:sz w:val="24"/>
          <w:szCs w:val="24"/>
          <w:rtl/>
        </w:rPr>
        <w:tab/>
      </w:r>
      <w:r>
        <w:rPr>
          <w:sz w:val="24"/>
          <w:szCs w:val="24"/>
          <w:rtl/>
        </w:rPr>
        <w:tab/>
      </w:r>
      <w:r>
        <w:rPr>
          <w:rFonts w:hint="cs"/>
          <w:sz w:val="24"/>
          <w:szCs w:val="24"/>
          <w:rtl/>
        </w:rPr>
        <w:t xml:space="preserve">      </w:t>
      </w:r>
      <w:r>
        <w:rPr>
          <w:rFonts w:hint="cs"/>
          <w:sz w:val="20"/>
          <w:szCs w:val="20"/>
          <w:rtl/>
        </w:rPr>
        <w:t>[יומא לו:]</w:t>
      </w:r>
    </w:p>
    <w:p w:rsidR="0010620B" w:rsidRDefault="0010620B" w:rsidP="0010620B">
      <w:pPr>
        <w:spacing w:line="276" w:lineRule="auto"/>
        <w:ind w:firstLine="227"/>
        <w:rPr>
          <w:sz w:val="24"/>
          <w:szCs w:val="24"/>
          <w:rtl/>
        </w:rPr>
      </w:pPr>
      <w:r>
        <w:rPr>
          <w:rFonts w:hint="cs"/>
          <w:sz w:val="24"/>
          <w:szCs w:val="24"/>
          <w:rtl/>
        </w:rPr>
        <w:t>לדברי הגמרא, הכפרה האמורה אינה "כפרת דמים" (=זריקת הדם על גבי המזבח) אלא "כפרת דברים" (=וידוי). מכך לומדת הגמרא שעל הפר היו נעשים שני וידויים: וידוי אחד על הכהן הגדול ועל ביתו, ווידוי שני על כל בית אהרן הכהנים.</w:t>
      </w:r>
    </w:p>
    <w:p w:rsidR="0010620B" w:rsidRDefault="0010620B" w:rsidP="0010620B">
      <w:pPr>
        <w:spacing w:line="276" w:lineRule="auto"/>
        <w:ind w:firstLine="227"/>
        <w:rPr>
          <w:sz w:val="24"/>
          <w:szCs w:val="24"/>
          <w:rtl/>
        </w:rPr>
      </w:pPr>
      <w:r>
        <w:rPr>
          <w:rFonts w:hint="cs"/>
          <w:sz w:val="24"/>
          <w:szCs w:val="24"/>
          <w:rtl/>
        </w:rPr>
        <w:t>ההכרח בפרשנות זו ברור, אך לשון הכתובים עדיין טעונה ביאור; מדוע נקטה התורה לשון 'מטעה'? מדוע השתמשה התורה בלשון שמשמעותה הפשוטה היא ביצוע עבודות הקרבן, ורק מתוך עיון בפסוקים הסמוכים הבנה זו נשללת ומתברר שיש לבאר כתובים אלו באופן אחר?</w:t>
      </w:r>
    </w:p>
    <w:p w:rsidR="0010620B" w:rsidRDefault="0010620B" w:rsidP="0010620B">
      <w:pPr>
        <w:spacing w:line="276" w:lineRule="auto"/>
        <w:ind w:firstLine="227"/>
        <w:rPr>
          <w:sz w:val="24"/>
          <w:szCs w:val="24"/>
          <w:rtl/>
        </w:rPr>
      </w:pPr>
      <w:r>
        <w:rPr>
          <w:rFonts w:hint="cs"/>
          <w:sz w:val="24"/>
          <w:szCs w:val="24"/>
          <w:rtl/>
        </w:rPr>
        <w:t xml:space="preserve">נראה ליישב גם קושי זה על פי שני פניו של 'סדר העבודה'. על פי הפן הראשון, העבודה באה להתיר את הכניסה לקודש הקדשים. מסתבר, לפי זה, כי הפר יוקרב לפני הכניסה לקודש הקדשים </w:t>
      </w:r>
      <w:r>
        <w:rPr>
          <w:sz w:val="24"/>
          <w:szCs w:val="24"/>
          <w:rtl/>
        </w:rPr>
        <w:t>–</w:t>
      </w:r>
      <w:r>
        <w:rPr>
          <w:rFonts w:hint="cs"/>
          <w:sz w:val="24"/>
          <w:szCs w:val="24"/>
          <w:rtl/>
        </w:rPr>
        <w:t xml:space="preserve"> באופן זה הוא יכפר על הכהן ויאפשר לו להיכנס 'לפני ולפנים'. לעומת זאת, על פי הפן השני, העבודה באה לשם כפרת הקודש. לפי זה, עבודות דם הפר, המהוות חלק מעבודות כפרת הקודש, </w:t>
      </w:r>
      <w:r>
        <w:rPr>
          <w:rFonts w:hint="cs"/>
          <w:sz w:val="24"/>
          <w:szCs w:val="24"/>
          <w:rtl/>
        </w:rPr>
        <w:lastRenderedPageBreak/>
        <w:t xml:space="preserve">צריכות להיעשות דווקא לאחר הכניסה לקודש הקדשים עם הקטורת, שכן הכניסה לקודש הקדשים עם הקטורת היא רק הכנה לעבודות הכפרה הנעשות לאחר מכן. בהתאם לכך, בחלקה הראשון של הפרשייה, התורה נוקטת לשון היוצרת רושם כאילו הפר כבר מוקרב לפני הכניסה לקודש הקדשים, כראוי לפר המתיר את הכניסה לקודש הקדשים. אמנם, אליבא דאמת, מחמת הפן הנוסף של 'סדר העבודה', עבודות הפר נעשות בסדר שונה: רק שחיטת הפר נעשית לפני הקטרת הקטורת בקודש הקדשים </w:t>
      </w:r>
      <w:r>
        <w:rPr>
          <w:sz w:val="24"/>
          <w:szCs w:val="24"/>
          <w:rtl/>
        </w:rPr>
        <w:t>–</w:t>
      </w:r>
      <w:r>
        <w:rPr>
          <w:rFonts w:hint="cs"/>
          <w:sz w:val="24"/>
          <w:szCs w:val="24"/>
          <w:rtl/>
        </w:rPr>
        <w:t xml:space="preserve"> ובכך היא מבטאת שהכניסה לקודש הקדשים עם הקטורת נעשית כדי להתיר את ביצוע עבודות הכפרה הנעשות עם דם הפר (וכן עם דם השעיר) </w:t>
      </w:r>
      <w:r>
        <w:rPr>
          <w:sz w:val="24"/>
          <w:szCs w:val="24"/>
          <w:rtl/>
        </w:rPr>
        <w:t>–</w:t>
      </w:r>
      <w:r>
        <w:rPr>
          <w:rFonts w:hint="cs"/>
          <w:sz w:val="24"/>
          <w:szCs w:val="24"/>
          <w:rtl/>
        </w:rPr>
        <w:t xml:space="preserve"> ואילו שאר עבודות הדם נעשות לאחר הקטרת הקטורת בקודש הקדשים. </w:t>
      </w:r>
    </w:p>
    <w:p w:rsidR="0010620B" w:rsidRDefault="0010620B" w:rsidP="0010620B">
      <w:pPr>
        <w:spacing w:line="276" w:lineRule="auto"/>
        <w:ind w:firstLine="227"/>
        <w:rPr>
          <w:sz w:val="24"/>
          <w:szCs w:val="24"/>
          <w:rtl/>
        </w:rPr>
      </w:pPr>
      <w:r>
        <w:rPr>
          <w:rFonts w:hint="cs"/>
          <w:sz w:val="24"/>
          <w:szCs w:val="24"/>
          <w:rtl/>
        </w:rPr>
        <w:t xml:space="preserve">באופן זה, פירושם של חז"ל, שהכפרה האמורה בכתוב "והקריב אהרן את פר החטאת אשר לו וכפר בעדו ובעד ביתו" הוא </w:t>
      </w:r>
      <w:r w:rsidRPr="00944123">
        <w:rPr>
          <w:rFonts w:hint="cs"/>
          <w:sz w:val="24"/>
          <w:szCs w:val="24"/>
          <w:rtl/>
        </w:rPr>
        <w:t>הפירוש ההלכתי</w:t>
      </w:r>
      <w:r>
        <w:rPr>
          <w:rFonts w:hint="cs"/>
          <w:b/>
          <w:bCs/>
          <w:sz w:val="24"/>
          <w:szCs w:val="24"/>
          <w:rtl/>
        </w:rPr>
        <w:t xml:space="preserve"> </w:t>
      </w:r>
      <w:r>
        <w:rPr>
          <w:rFonts w:hint="cs"/>
          <w:sz w:val="24"/>
          <w:szCs w:val="24"/>
          <w:rtl/>
        </w:rPr>
        <w:t>לכתוב. אמנם, מבחינה רעיונית עקרונית, הווידוי על הפר נחשב כמעשה הקרבה ממש, כאילו הכהן מקריב את פרו כבר בשעה זו, וכך הוא ראוי להיכנס 'לפני ולפנים', והוא זוכה לצאת מבית קדשי הקדשים בשלום ללא פגע. "אמת, מה נהדר היה כהן גדול בצאתו מבית קדשי הקדשים בשלום בלי פגע".</w:t>
      </w:r>
    </w:p>
    <w:p w:rsidR="0010620B" w:rsidRPr="00FE7D16" w:rsidRDefault="0010620B" w:rsidP="0010620B">
      <w:pPr>
        <w:spacing w:line="276" w:lineRule="auto"/>
        <w:ind w:firstLine="227"/>
        <w:rPr>
          <w:sz w:val="24"/>
          <w:szCs w:val="24"/>
          <w:rtl/>
        </w:rPr>
      </w:pPr>
      <w:r>
        <w:rPr>
          <w:rFonts w:hint="cs"/>
          <w:sz w:val="24"/>
          <w:szCs w:val="24"/>
          <w:rtl/>
        </w:rPr>
        <w:t xml:space="preserve"> </w:t>
      </w:r>
    </w:p>
    <w:p w:rsidR="0010620B" w:rsidRPr="00A02690" w:rsidRDefault="0010620B" w:rsidP="0010620B">
      <w:pPr>
        <w:spacing w:line="276" w:lineRule="auto"/>
        <w:ind w:firstLine="227"/>
        <w:jc w:val="right"/>
        <w:rPr>
          <w:sz w:val="24"/>
          <w:szCs w:val="24"/>
        </w:rPr>
      </w:pPr>
      <w:r w:rsidRPr="00A02690">
        <w:rPr>
          <w:rFonts w:hint="cs"/>
          <w:sz w:val="24"/>
          <w:szCs w:val="24"/>
          <w:u w:val="single"/>
          <w:rtl/>
        </w:rPr>
        <w:t>להערות ולתגובות</w:t>
      </w:r>
      <w:r w:rsidRPr="00A02690">
        <w:rPr>
          <w:rFonts w:hint="cs"/>
          <w:sz w:val="24"/>
          <w:szCs w:val="24"/>
          <w:rtl/>
        </w:rPr>
        <w:t>: שלמה ליפשיץ</w:t>
      </w:r>
    </w:p>
    <w:p w:rsidR="0010620B" w:rsidRPr="00A02690" w:rsidRDefault="0010620B" w:rsidP="0010620B">
      <w:pPr>
        <w:spacing w:line="276" w:lineRule="auto"/>
        <w:ind w:firstLine="227"/>
        <w:jc w:val="right"/>
        <w:rPr>
          <w:rtl/>
        </w:rPr>
      </w:pPr>
      <w:hyperlink r:id="rId30" w:history="1">
        <w:r w:rsidRPr="00A02690">
          <w:rPr>
            <w:rStyle w:val="Hyperlink"/>
            <w:sz w:val="24"/>
            <w:szCs w:val="24"/>
          </w:rPr>
          <w:t>lshlomo26@gmail.com</w:t>
        </w:r>
      </w:hyperlink>
    </w:p>
    <w:p w:rsidR="0010620B" w:rsidRDefault="0010620B">
      <w:pPr>
        <w:spacing w:after="0" w:line="240" w:lineRule="auto"/>
        <w:rPr>
          <w:color w:val="525252" w:themeColor="accent3" w:themeShade="80"/>
          <w:sz w:val="28"/>
          <w:szCs w:val="28"/>
          <w:rtl/>
        </w:rPr>
      </w:pPr>
      <w:r>
        <w:rPr>
          <w:color w:val="525252" w:themeColor="accent3" w:themeShade="80"/>
          <w:sz w:val="28"/>
          <w:szCs w:val="28"/>
          <w:rtl/>
        </w:rPr>
        <w:br w:type="page"/>
      </w:r>
    </w:p>
    <w:p w:rsidR="0010620B" w:rsidRPr="00C218BD" w:rsidRDefault="0010620B" w:rsidP="0010620B">
      <w:pPr>
        <w:keepNext/>
        <w:keepLines/>
        <w:spacing w:before="160" w:after="0" w:line="276" w:lineRule="auto"/>
        <w:jc w:val="center"/>
        <w:outlineLvl w:val="0"/>
        <w:rPr>
          <w:rFonts w:asciiTheme="majorHAnsi" w:eastAsiaTheme="majorEastAsia" w:hAnsiTheme="majorHAnsi"/>
          <w:bCs/>
          <w:sz w:val="36"/>
          <w:szCs w:val="36"/>
          <w:rtl/>
        </w:rPr>
      </w:pPr>
      <w:bookmarkStart w:id="117" w:name="_Toc76719210"/>
      <w:r w:rsidRPr="00C218BD">
        <w:rPr>
          <w:rFonts w:asciiTheme="majorHAnsi" w:eastAsiaTheme="majorEastAsia" w:hAnsiTheme="majorHAnsi" w:hint="cs"/>
          <w:bCs/>
          <w:sz w:val="40"/>
          <w:szCs w:val="40"/>
          <w:rtl/>
        </w:rPr>
        <w:lastRenderedPageBreak/>
        <w:t>יסודות יומא</w:t>
      </w:r>
      <w:bookmarkEnd w:id="117"/>
    </w:p>
    <w:p w:rsidR="0010620B" w:rsidRPr="00C218BD" w:rsidRDefault="0010620B" w:rsidP="0010620B">
      <w:pPr>
        <w:keepNext/>
        <w:keepLines/>
        <w:spacing w:before="160" w:after="0" w:line="276" w:lineRule="auto"/>
        <w:jc w:val="center"/>
        <w:outlineLvl w:val="0"/>
        <w:rPr>
          <w:rFonts w:asciiTheme="majorHAnsi" w:eastAsiaTheme="majorEastAsia" w:hAnsiTheme="majorHAnsi"/>
          <w:b/>
          <w:sz w:val="32"/>
          <w:szCs w:val="32"/>
          <w:rtl/>
        </w:rPr>
      </w:pPr>
      <w:bookmarkStart w:id="118" w:name="_Toc76719211"/>
      <w:r w:rsidRPr="00C218BD">
        <w:rPr>
          <w:rFonts w:asciiTheme="majorHAnsi" w:eastAsiaTheme="majorEastAsia" w:hAnsiTheme="majorHAnsi" w:hint="cs"/>
          <w:b/>
          <w:sz w:val="32"/>
          <w:szCs w:val="32"/>
          <w:rtl/>
        </w:rPr>
        <w:t>שיעור עשרים ושלושה</w:t>
      </w:r>
      <w:bookmarkEnd w:id="118"/>
    </w:p>
    <w:p w:rsidR="0010620B" w:rsidRPr="00234AD2" w:rsidRDefault="0010620B" w:rsidP="0010620B">
      <w:pPr>
        <w:keepNext/>
        <w:keepLines/>
        <w:spacing w:before="160" w:after="0" w:line="276" w:lineRule="auto"/>
        <w:jc w:val="center"/>
        <w:outlineLvl w:val="0"/>
        <w:rPr>
          <w:rFonts w:asciiTheme="majorHAnsi" w:eastAsiaTheme="majorEastAsia" w:hAnsiTheme="majorHAnsi"/>
          <w:bCs/>
          <w:sz w:val="32"/>
          <w:szCs w:val="32"/>
          <w:rtl/>
        </w:rPr>
      </w:pPr>
      <w:bookmarkStart w:id="119" w:name="_Toc76719212"/>
      <w:r w:rsidRPr="00234AD2">
        <w:rPr>
          <w:rFonts w:asciiTheme="majorHAnsi" w:eastAsiaTheme="majorEastAsia" w:hAnsiTheme="majorHAnsi" w:hint="cs"/>
          <w:bCs/>
          <w:sz w:val="36"/>
          <w:szCs w:val="36"/>
          <w:rtl/>
        </w:rPr>
        <w:t>מצות העינוי ביום הכיפורים</w:t>
      </w:r>
      <w:bookmarkEnd w:id="119"/>
    </w:p>
    <w:p w:rsidR="0010620B" w:rsidRPr="00C218BD" w:rsidRDefault="0010620B" w:rsidP="0010620B">
      <w:pPr>
        <w:spacing w:before="160" w:line="276" w:lineRule="auto"/>
        <w:rPr>
          <w:highlight w:val="green"/>
          <w:rtl/>
        </w:rPr>
      </w:pPr>
      <w:r w:rsidRPr="00C218BD">
        <w:rPr>
          <w:noProof/>
          <w:highlight w:val="green"/>
          <w:rtl/>
        </w:rPr>
        <mc:AlternateContent>
          <mc:Choice Requires="wps">
            <w:drawing>
              <wp:anchor distT="0" distB="0" distL="114300" distR="114300" simplePos="0" relativeHeight="251718656" behindDoc="1" locked="0" layoutInCell="1" allowOverlap="1" wp14:anchorId="5B3841E6" wp14:editId="1844FE0E">
                <wp:simplePos x="0" y="0"/>
                <wp:positionH relativeFrom="column">
                  <wp:posOffset>-259080</wp:posOffset>
                </wp:positionH>
                <wp:positionV relativeFrom="paragraph">
                  <wp:posOffset>224790</wp:posOffset>
                </wp:positionV>
                <wp:extent cx="5765800" cy="7520940"/>
                <wp:effectExtent l="0" t="0" r="25400" b="22860"/>
                <wp:wrapNone/>
                <wp:docPr id="38" name="מלבן 38"/>
                <wp:cNvGraphicFramePr/>
                <a:graphic xmlns:a="http://schemas.openxmlformats.org/drawingml/2006/main">
                  <a:graphicData uri="http://schemas.microsoft.com/office/word/2010/wordprocessingShape">
                    <wps:wsp>
                      <wps:cNvSpPr/>
                      <wps:spPr>
                        <a:xfrm>
                          <a:off x="0" y="0"/>
                          <a:ext cx="5765800" cy="75209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1F5EF" id="מלבן 38" o:spid="_x0000_s1026" style="position:absolute;left:0;text-align:left;margin-left:-20.4pt;margin-top:17.7pt;width:454pt;height:592.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FriQIAAAMFAAAOAAAAZHJzL2Uyb0RvYy54bWysVMtuGjEU3VfqP1jeNzNQCAnKECEiqkpR&#10;GimpsjYeDzOSX7UNA/2L7qv2s/idHnsm5NGsqrIwvg/fx7nnzsXlTkmyFc43Rhd0cJJTIjQ3ZaPX&#10;Bf16v/xwRokPTJdMGi0KuheeXs7ev7to7VQMTW1kKRxBEO2nrS1oHYKdZpnntVDMnxgrNIyVcYoF&#10;iG6dlY61iK5kNszz06w1rrTOcOE9tFedkc5S/KoSPHypKi8CkQVFbSGdLp2reGazCzZdO2brhvdl&#10;sH+oQrFGI+kx1BULjGxc81co1XBnvKnCCTcqM1XVcJF6QDeD/FU3dzWzIvUCcLw9wuT/X1h+s711&#10;pCkL+hGT0kxhRodfh5+HH4ffBCrg01o/hdudvXW95HGNze4qp+I/2iC7hOn+iKnYBcKhHE9Ox2c5&#10;oOewTcbD/HyUUM+enlvnwydhFImXgjoMLWHJttc+ICVcH11iNm9kUy4bKZOw9wvpyJZhvqBFaVpK&#10;JPMByoIu0y/2gBAvnklNWtD1PB/HyhiIV0kWcFUWUHi9poTJNRjNg0u1vHjt3Xp1zDoaTYaL0VtJ&#10;YtFXzNdddSlCdGNT1QSQXjaqoIAGv/611NEqEm371iP4HdzxtjLlHuNypuOxt3zZIMk1Gr5lDsRF&#10;N1jG8AVHJQ1aNP2Nktq472/poz/4BCslLRYB7X/bMCeA42cNpp0PRpgYCUkYjSdDCO65ZfXcojdq&#10;YTCLAdbe8nSN/kE+aitn1AN2dh6zwsQ0R+4O6F5YhG5BsfVczOfJDdtiWbjWd5bH4BGnCO/97oE5&#10;2xMngHM35nFp2PQVfzrf+FKb+SaYqknkesIVNIkCNi0Rpv8qxFV+Lievp2/X7A8AAAD//wMAUEsD&#10;BBQABgAIAAAAIQDucY0O4QAAAAsBAAAPAAAAZHJzL2Rvd25yZXYueG1sTI/BTsMwEETvSPyDtUjc&#10;WjuhpCHEqSgSgh5AtEWc3XhJIux1iN0m/D3mBMfVPM28LVeTNeyEg+8cSUjmAhhS7XRHjYS3/cMs&#10;B+aDIq2MI5TwjR5W1flZqQrtRtriaRcaFkvIF0pCG0JfcO7rFq3yc9cjxezDDVaFeA4N14MaY7k1&#10;PBUi41Z1FBda1eN9i/Xn7mglbNbN1/tTk2wza17HNT2Kl2cnpLy8mO5ugQWcwh8Mv/pRHarodHBH&#10;0p4ZCbOFiOpBwtX1AlgE8myZAjtEMk1ucuBVyf//UP0AAAD//wMAUEsBAi0AFAAGAAgAAAAhALaD&#10;OJL+AAAA4QEAABMAAAAAAAAAAAAAAAAAAAAAAFtDb250ZW50X1R5cGVzXS54bWxQSwECLQAUAAYA&#10;CAAAACEAOP0h/9YAAACUAQAACwAAAAAAAAAAAAAAAAAvAQAAX3JlbHMvLnJlbHNQSwECLQAUAAYA&#10;CAAAACEA/VNRa4kCAAADBQAADgAAAAAAAAAAAAAAAAAuAgAAZHJzL2Uyb0RvYy54bWxQSwECLQAU&#10;AAYACAAAACEA7nGNDuEAAAALAQAADwAAAAAAAAAAAAAAAADjBAAAZHJzL2Rvd25yZXYueG1sUEsF&#10;BgAAAAAEAAQA8wAAAPEFAAAAAA==&#10;" fillcolor="window" strokecolor="#4472c4" strokeweight="1.5pt"/>
            </w:pict>
          </mc:Fallback>
        </mc:AlternateContent>
      </w:r>
    </w:p>
    <w:p w:rsidR="0010620B" w:rsidRPr="00234AD2" w:rsidRDefault="0010620B" w:rsidP="0010620B">
      <w:pPr>
        <w:spacing w:before="160" w:line="276" w:lineRule="auto"/>
        <w:jc w:val="center"/>
        <w:rPr>
          <w:b/>
          <w:bCs/>
          <w:sz w:val="24"/>
          <w:szCs w:val="24"/>
          <w:rtl/>
        </w:rPr>
      </w:pPr>
      <w:r w:rsidRPr="00234AD2">
        <w:rPr>
          <w:rFonts w:hint="cs"/>
          <w:b/>
          <w:bCs/>
          <w:sz w:val="24"/>
          <w:szCs w:val="24"/>
          <w:rtl/>
        </w:rPr>
        <w:t>מקורות</w:t>
      </w:r>
    </w:p>
    <w:p w:rsidR="0010620B" w:rsidRDefault="0010620B" w:rsidP="0010620B">
      <w:pPr>
        <w:spacing w:before="160" w:line="276" w:lineRule="auto"/>
        <w:rPr>
          <w:sz w:val="24"/>
          <w:szCs w:val="24"/>
          <w:rtl/>
        </w:rPr>
      </w:pPr>
      <w:r w:rsidRPr="00234AD2">
        <w:rPr>
          <w:rFonts w:hint="cs"/>
          <w:sz w:val="24"/>
          <w:szCs w:val="24"/>
          <w:rtl/>
        </w:rPr>
        <w:t>א. ויקרא פרק טז פס' כט-לא;</w:t>
      </w:r>
      <w:r>
        <w:rPr>
          <w:rFonts w:hint="cs"/>
          <w:sz w:val="24"/>
          <w:szCs w:val="24"/>
          <w:rtl/>
        </w:rPr>
        <w:t xml:space="preserve"> ויקרא פרק כג פס' כו-לב; במדבר פרק כט פס' ז</w:t>
      </w:r>
    </w:p>
    <w:p w:rsidR="0010620B" w:rsidRDefault="0010620B" w:rsidP="0010620B">
      <w:pPr>
        <w:spacing w:before="160" w:line="276" w:lineRule="auto"/>
        <w:rPr>
          <w:sz w:val="24"/>
          <w:szCs w:val="24"/>
          <w:rtl/>
        </w:rPr>
      </w:pPr>
      <w:r>
        <w:rPr>
          <w:rFonts w:hint="cs"/>
          <w:sz w:val="24"/>
          <w:szCs w:val="24"/>
          <w:rtl/>
        </w:rPr>
        <w:t>ב. גמ' יומא עג:-עד: "מתני'... מענוי בידי אדם"; עט. "אמר רבה אמר רב יהודה... מיתבא דעתיה"; [עט:-פ. "תניא רבי... ככותבת"]; פ: "מתקיף לה... פרט למזיק"; משנה פא.</w:t>
      </w:r>
    </w:p>
    <w:p w:rsidR="0010620B" w:rsidRDefault="0010620B" w:rsidP="0010620B">
      <w:pPr>
        <w:spacing w:before="160" w:line="276" w:lineRule="auto"/>
        <w:rPr>
          <w:sz w:val="24"/>
          <w:szCs w:val="24"/>
          <w:rtl/>
        </w:rPr>
      </w:pPr>
      <w:r>
        <w:rPr>
          <w:rFonts w:hint="cs"/>
          <w:sz w:val="24"/>
          <w:szCs w:val="24"/>
          <w:rtl/>
        </w:rPr>
        <w:t>ג. גמ' יבמות מ. "אכילה גסה מי... מלא תעונה"; ריטב"א שם, ד"ה והא; רבי אברהם מן ההר שם, ד"ה פטור</w:t>
      </w:r>
    </w:p>
    <w:p w:rsidR="0010620B" w:rsidRDefault="0010620B" w:rsidP="0010620B">
      <w:pPr>
        <w:spacing w:before="160" w:line="276" w:lineRule="auto"/>
        <w:rPr>
          <w:sz w:val="24"/>
          <w:szCs w:val="24"/>
          <w:rtl/>
        </w:rPr>
      </w:pPr>
      <w:r>
        <w:rPr>
          <w:rFonts w:hint="cs"/>
          <w:sz w:val="24"/>
          <w:szCs w:val="24"/>
          <w:rtl/>
        </w:rPr>
        <w:t>ד. ירושלמי תרומות פ"ו ה"א; ביאור הגר"א לירושלמי שם, ד"ה מודה ר"ל</w:t>
      </w:r>
    </w:p>
    <w:p w:rsidR="0010620B" w:rsidRDefault="0010620B" w:rsidP="0010620B">
      <w:pPr>
        <w:spacing w:before="160" w:line="276" w:lineRule="auto"/>
        <w:rPr>
          <w:sz w:val="24"/>
          <w:szCs w:val="24"/>
          <w:rtl/>
        </w:rPr>
      </w:pPr>
      <w:r>
        <w:rPr>
          <w:rFonts w:hint="cs"/>
          <w:sz w:val="24"/>
          <w:szCs w:val="24"/>
          <w:rtl/>
        </w:rPr>
        <w:t>ה. רבנו ירוחם תולדות אדם וחוה נתיב ז חלק ב; ביאור הגר"א או"ח סי' תריב סעי' ט</w:t>
      </w:r>
    </w:p>
    <w:p w:rsidR="0010620B" w:rsidRDefault="0010620B" w:rsidP="0010620B">
      <w:pPr>
        <w:spacing w:before="160" w:line="276" w:lineRule="auto"/>
        <w:rPr>
          <w:sz w:val="24"/>
          <w:szCs w:val="24"/>
          <w:rtl/>
        </w:rPr>
      </w:pPr>
      <w:r>
        <w:rPr>
          <w:rFonts w:hint="cs"/>
          <w:sz w:val="24"/>
          <w:szCs w:val="24"/>
          <w:rtl/>
        </w:rPr>
        <w:t>ו. רמב"ם הל' יסודי התורה פ"ה ה"ח; שאגת אריה סי' עו "דקי"ל בפרק... ודאי חייב"</w:t>
      </w:r>
    </w:p>
    <w:p w:rsidR="0010620B" w:rsidRPr="00234AD2" w:rsidRDefault="0010620B" w:rsidP="0010620B">
      <w:pPr>
        <w:spacing w:before="160" w:line="276" w:lineRule="auto"/>
        <w:rPr>
          <w:sz w:val="24"/>
          <w:szCs w:val="24"/>
          <w:rtl/>
        </w:rPr>
      </w:pPr>
      <w:r>
        <w:rPr>
          <w:rFonts w:hint="cs"/>
          <w:sz w:val="24"/>
          <w:szCs w:val="24"/>
          <w:rtl/>
        </w:rPr>
        <w:t>ז. מנחת חינוך מצוה שיג אות ב</w:t>
      </w:r>
    </w:p>
    <w:p w:rsidR="0010620B" w:rsidRPr="00C218BD" w:rsidRDefault="0010620B" w:rsidP="0010620B">
      <w:pPr>
        <w:spacing w:before="160" w:after="0" w:line="276" w:lineRule="auto"/>
        <w:rPr>
          <w:sz w:val="24"/>
          <w:szCs w:val="24"/>
          <w:highlight w:val="green"/>
          <w:rtl/>
        </w:rPr>
      </w:pPr>
    </w:p>
    <w:p w:rsidR="0010620B" w:rsidRPr="009F34E8" w:rsidRDefault="0010620B" w:rsidP="0010620B">
      <w:pPr>
        <w:spacing w:after="120" w:line="276" w:lineRule="exact"/>
        <w:rPr>
          <w:rFonts w:ascii="FrankRuehl" w:hAnsi="FrankRuehl" w:cs="FrankRuehl"/>
          <w:b/>
          <w:bCs/>
          <w:sz w:val="24"/>
          <w:szCs w:val="24"/>
          <w:rtl/>
        </w:rPr>
      </w:pPr>
      <w:r w:rsidRPr="009F34E8">
        <w:rPr>
          <w:rFonts w:ascii="FrankRuehl" w:hAnsi="FrankRuehl" w:cs="FrankRuehl"/>
          <w:b/>
          <w:bCs/>
          <w:sz w:val="24"/>
          <w:szCs w:val="24"/>
          <w:rtl/>
        </w:rPr>
        <w:t>ריטב"א יבמות מ. ד"ה והא</w:t>
      </w:r>
    </w:p>
    <w:p w:rsidR="0010620B" w:rsidRPr="009F34E8" w:rsidRDefault="0010620B" w:rsidP="0010620B">
      <w:pPr>
        <w:spacing w:after="120" w:line="276" w:lineRule="exact"/>
        <w:rPr>
          <w:rFonts w:ascii="FrankRuehl" w:hAnsi="FrankRuehl" w:cs="FrankRuehl"/>
          <w:sz w:val="24"/>
          <w:szCs w:val="24"/>
          <w:rtl/>
        </w:rPr>
      </w:pPr>
      <w:r w:rsidRPr="009F34E8">
        <w:rPr>
          <w:rFonts w:ascii="FrankRuehl" w:hAnsi="FrankRuehl" w:cs="FrankRuehl"/>
          <w:sz w:val="24"/>
          <w:szCs w:val="24"/>
          <w:rtl/>
        </w:rPr>
        <w:t>והא אמר ר"ל האוכל אכילה גסה ביום הכיפורים פטור. פרש"י ז"ל פי' אלמא לאו אכילה היא, וא"ת והא ביום הכיפורים לא כתיבא אכילה אלא עינוי ודלמא משום הכי פטור דאכתי איכא עינוי ואף על גב דעבד אכ</w:t>
      </w:r>
      <w:r>
        <w:rPr>
          <w:rFonts w:ascii="FrankRuehl" w:hAnsi="FrankRuehl" w:cs="FrankRuehl"/>
          <w:sz w:val="24"/>
          <w:szCs w:val="24"/>
          <w:rtl/>
        </w:rPr>
        <w:t>ילה, י"ל דהא מוכחינן התם מקראי דעינוי</w:t>
      </w:r>
      <w:r w:rsidRPr="009F34E8">
        <w:rPr>
          <w:rFonts w:ascii="FrankRuehl" w:hAnsi="FrankRuehl" w:cs="FrankRuehl"/>
          <w:sz w:val="24"/>
          <w:szCs w:val="24"/>
          <w:rtl/>
        </w:rPr>
        <w:t xml:space="preserve"> דאכילה אקרי עינוי והרי הוא כאילו אמר תענו את נפשותיכם מאכילה, אלא ששינה הכתוב במשמעו וכדי שלא יתחייב בכזית אלא בככותבת.</w:t>
      </w:r>
    </w:p>
    <w:p w:rsidR="0010620B" w:rsidRPr="009F34E8" w:rsidRDefault="0010620B" w:rsidP="0010620B">
      <w:pPr>
        <w:spacing w:after="120" w:line="276" w:lineRule="exact"/>
        <w:rPr>
          <w:rFonts w:ascii="FrankRuehl" w:hAnsi="FrankRuehl" w:cs="FrankRuehl"/>
          <w:sz w:val="24"/>
          <w:szCs w:val="24"/>
          <w:rtl/>
        </w:rPr>
      </w:pPr>
    </w:p>
    <w:p w:rsidR="0010620B" w:rsidRPr="009F34E8" w:rsidRDefault="0010620B" w:rsidP="0010620B">
      <w:pPr>
        <w:spacing w:after="120" w:line="276" w:lineRule="exact"/>
        <w:rPr>
          <w:rFonts w:ascii="FrankRuehl" w:hAnsi="FrankRuehl" w:cs="FrankRuehl"/>
          <w:b/>
          <w:bCs/>
          <w:rtl/>
        </w:rPr>
      </w:pPr>
      <w:r w:rsidRPr="009F34E8">
        <w:rPr>
          <w:rFonts w:ascii="FrankRuehl" w:hAnsi="FrankRuehl" w:cs="FrankRuehl"/>
          <w:b/>
          <w:bCs/>
          <w:sz w:val="24"/>
          <w:szCs w:val="24"/>
          <w:rtl/>
        </w:rPr>
        <w:t>פירוש רבי אברהם מן ההר יבמות מ. ד"ה פטור</w:t>
      </w:r>
    </w:p>
    <w:p w:rsidR="0010620B" w:rsidRPr="009F34E8" w:rsidRDefault="0010620B" w:rsidP="0010620B">
      <w:pPr>
        <w:spacing w:after="120" w:line="276" w:lineRule="exact"/>
        <w:rPr>
          <w:rFonts w:ascii="FrankRuehl" w:hAnsi="FrankRuehl" w:cs="FrankRuehl"/>
          <w:sz w:val="24"/>
          <w:szCs w:val="24"/>
          <w:rtl/>
        </w:rPr>
      </w:pPr>
      <w:r w:rsidRPr="009F34E8">
        <w:rPr>
          <w:rFonts w:ascii="FrankRuehl" w:hAnsi="FrankRuehl" w:cs="FrankRuehl"/>
          <w:sz w:val="24"/>
          <w:szCs w:val="24"/>
          <w:rtl/>
        </w:rPr>
        <w:t>פטור - מלאו דלא תעונה, שאף זה עינוי הוא, שמזיק את עצמו. וכיון דעינוי הוא לא מקיימא מצות אכילה, ומואכלו אהרן ובניו דרישא נפקא. אבל אוכל איסורין אכילה גסה ודאי מחייב, דהאי דפטור ביום הכפורים משום דכתיב ביה לא תעונה, והרי הוא בקצת עינוי הואיל ומזיק את עצמו. אבל במאי שהזהירה תורה על אכילתם, ודאי בשום אכילה אמר רחמנא, וכבר אכלם ומחייב. אבל מה שצותה באכילתם, ודאי בעיקר אכילה אמר רחמנא. לא קיים מצות אכילה אם אכלם אכילה גסה.</w:t>
      </w:r>
    </w:p>
    <w:p w:rsidR="0010620B" w:rsidRDefault="0010620B" w:rsidP="0010620B">
      <w:pPr>
        <w:spacing w:after="120" w:line="276" w:lineRule="exact"/>
        <w:rPr>
          <w:rFonts w:ascii="FrankRuehl" w:hAnsi="FrankRuehl" w:cs="FrankRuehl"/>
          <w:sz w:val="24"/>
          <w:szCs w:val="24"/>
          <w:rtl/>
        </w:rPr>
      </w:pPr>
    </w:p>
    <w:p w:rsidR="0010620B" w:rsidRDefault="0010620B" w:rsidP="0010620B">
      <w:pPr>
        <w:spacing w:line="276" w:lineRule="exact"/>
        <w:rPr>
          <w:rFonts w:ascii="FrankRuehl" w:hAnsi="FrankRuehl" w:cs="FrankRuehl"/>
          <w:sz w:val="24"/>
          <w:szCs w:val="24"/>
          <w:rtl/>
        </w:rPr>
      </w:pPr>
      <w:r>
        <w:rPr>
          <w:rFonts w:ascii="FrankRuehl" w:hAnsi="FrankRuehl" w:cs="FrankRuehl" w:hint="cs"/>
          <w:b/>
          <w:bCs/>
          <w:sz w:val="24"/>
          <w:szCs w:val="24"/>
          <w:rtl/>
        </w:rPr>
        <w:t>ירושלמי תרומות פ"ו ה"א</w:t>
      </w:r>
    </w:p>
    <w:p w:rsidR="0010620B" w:rsidRDefault="0010620B" w:rsidP="0010620B">
      <w:pPr>
        <w:spacing w:after="0" w:line="276" w:lineRule="exact"/>
        <w:rPr>
          <w:rFonts w:ascii="FrankRuehl" w:hAnsi="FrankRuehl" w:cs="FrankRuehl"/>
          <w:sz w:val="24"/>
          <w:szCs w:val="24"/>
          <w:rtl/>
        </w:rPr>
      </w:pPr>
      <w:r w:rsidRPr="00767A03">
        <w:rPr>
          <w:rFonts w:ascii="FrankRuehl" w:hAnsi="FrankRuehl" w:cs="FrankRuehl"/>
          <w:sz w:val="24"/>
          <w:szCs w:val="24"/>
          <w:rtl/>
        </w:rPr>
        <w:t>מודה ר' שמעון בן לקיש באיסורי הנאה, ומודה ר' שמעון בן לקיש ביום הכיפורים, ומודה ר' שמעון בן לקיש בעתיד להשלים.</w:t>
      </w:r>
    </w:p>
    <w:p w:rsidR="0010620B" w:rsidRPr="00911805" w:rsidRDefault="0010620B" w:rsidP="0010620B">
      <w:pPr>
        <w:spacing w:line="276" w:lineRule="exact"/>
        <w:rPr>
          <w:rFonts w:ascii="FrankRuehl" w:hAnsi="FrankRuehl" w:cs="FrankRuehl"/>
          <w:sz w:val="2"/>
          <w:szCs w:val="2"/>
          <w:rtl/>
        </w:rPr>
      </w:pPr>
    </w:p>
    <w:p w:rsidR="0010620B" w:rsidRDefault="0010620B" w:rsidP="0010620B">
      <w:pPr>
        <w:spacing w:line="276" w:lineRule="exact"/>
        <w:rPr>
          <w:rFonts w:ascii="FrankRuehl" w:hAnsi="FrankRuehl" w:cs="FrankRuehl"/>
          <w:b/>
          <w:bCs/>
          <w:sz w:val="24"/>
          <w:szCs w:val="24"/>
          <w:rtl/>
        </w:rPr>
      </w:pPr>
      <w:r>
        <w:rPr>
          <w:rFonts w:ascii="FrankRuehl" w:hAnsi="FrankRuehl" w:cs="FrankRuehl" w:hint="cs"/>
          <w:b/>
          <w:bCs/>
          <w:sz w:val="24"/>
          <w:szCs w:val="24"/>
          <w:rtl/>
        </w:rPr>
        <w:t>ביאור הגר"א לירושלמי, שם</w:t>
      </w:r>
    </w:p>
    <w:p w:rsidR="0010620B" w:rsidRPr="003D1D64" w:rsidRDefault="0010620B" w:rsidP="0010620B">
      <w:pPr>
        <w:spacing w:after="120" w:line="276" w:lineRule="exact"/>
        <w:rPr>
          <w:rFonts w:ascii="FrankRuehl" w:hAnsi="FrankRuehl" w:cs="FrankRuehl"/>
          <w:sz w:val="24"/>
          <w:szCs w:val="24"/>
          <w:rtl/>
        </w:rPr>
      </w:pPr>
      <w:r w:rsidRPr="00767A03">
        <w:rPr>
          <w:rFonts w:ascii="FrankRuehl" w:hAnsi="FrankRuehl" w:cs="FrankRuehl"/>
          <w:sz w:val="24"/>
          <w:szCs w:val="24"/>
          <w:rtl/>
        </w:rPr>
        <w:t>מודה ריש לקיש ביום הכיפורים- פירוש, אפילו אינו אסור בהנאה מודה ריש לקיש דאף פחות מכשיעור אסור, דלא כתיב ביה אכילה אלא עינוי, ובפחות מכשיעור נמי מייתב דעתיה כל שהוא</w:t>
      </w:r>
      <w:r>
        <w:rPr>
          <w:rFonts w:ascii="FrankRuehl" w:hAnsi="FrankRuehl" w:cs="FrankRuehl" w:hint="cs"/>
          <w:sz w:val="24"/>
          <w:szCs w:val="24"/>
          <w:rtl/>
        </w:rPr>
        <w:t>.</w:t>
      </w:r>
    </w:p>
    <w:p w:rsidR="0010620B" w:rsidRPr="009F34E8" w:rsidRDefault="0010620B" w:rsidP="0010620B">
      <w:pPr>
        <w:spacing w:after="120" w:line="276" w:lineRule="exact"/>
        <w:rPr>
          <w:rFonts w:ascii="FrankRuehl" w:hAnsi="FrankRuehl" w:cs="FrankRuehl"/>
          <w:sz w:val="24"/>
          <w:szCs w:val="24"/>
          <w:rtl/>
        </w:rPr>
      </w:pPr>
    </w:p>
    <w:p w:rsidR="0010620B" w:rsidRPr="009F34E8" w:rsidRDefault="0010620B" w:rsidP="0010620B">
      <w:pPr>
        <w:spacing w:after="120" w:line="276" w:lineRule="exact"/>
        <w:rPr>
          <w:rFonts w:ascii="FrankRuehl" w:hAnsi="FrankRuehl" w:cs="FrankRuehl"/>
          <w:b/>
          <w:bCs/>
          <w:sz w:val="24"/>
          <w:szCs w:val="24"/>
          <w:rtl/>
        </w:rPr>
      </w:pPr>
      <w:r w:rsidRPr="00A332A2">
        <w:rPr>
          <w:noProof/>
          <w:highlight w:val="green"/>
          <w:rtl/>
        </w:rPr>
        <w:lastRenderedPageBreak/>
        <mc:AlternateContent>
          <mc:Choice Requires="wps">
            <w:drawing>
              <wp:anchor distT="0" distB="0" distL="114300" distR="114300" simplePos="0" relativeHeight="251719680" behindDoc="1" locked="0" layoutInCell="1" allowOverlap="1" wp14:anchorId="29D32F56" wp14:editId="25CBBE53">
                <wp:simplePos x="0" y="0"/>
                <wp:positionH relativeFrom="margin">
                  <wp:posOffset>-274320</wp:posOffset>
                </wp:positionH>
                <wp:positionV relativeFrom="paragraph">
                  <wp:posOffset>-411480</wp:posOffset>
                </wp:positionV>
                <wp:extent cx="5765800" cy="8968740"/>
                <wp:effectExtent l="0" t="0" r="25400" b="22860"/>
                <wp:wrapNone/>
                <wp:docPr id="39" name="מלבן 39"/>
                <wp:cNvGraphicFramePr/>
                <a:graphic xmlns:a="http://schemas.openxmlformats.org/drawingml/2006/main">
                  <a:graphicData uri="http://schemas.microsoft.com/office/word/2010/wordprocessingShape">
                    <wps:wsp>
                      <wps:cNvSpPr/>
                      <wps:spPr>
                        <a:xfrm>
                          <a:off x="0" y="0"/>
                          <a:ext cx="5765800" cy="89687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27029" id="מלבן 39" o:spid="_x0000_s1026" style="position:absolute;left:0;text-align:left;margin-left:-21.6pt;margin-top:-32.4pt;width:454pt;height:706.2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9mXiQIAAAMFAAAOAAAAZHJzL2Uyb0RvYy54bWysVMtuGjEU3VfqP1jeNwMUwkMZIkREVSlK&#10;IyVV1sbjYUbyq7ZhoH/RfdV+Fr/TY8+EPJpVVRbG9+H7OPfcubjcK0l2wvna6Jz2z3qUCM1NUetN&#10;Tr/erz5MKPGB6YJJo0VOD8LTy/n7dxeNnYmBqYwshCMIov2ssTmtQrCzLPO8Eor5M2OFhrE0TrEA&#10;0W2ywrEG0ZXMBr3eedYYV1hnuPAe2qvWSOcpflkKHr6UpReByJyitpBOl851PLP5BZttHLNVzbsy&#10;2D9UoVitkfQU6ooFRrau/iuUqrkz3pThjBuVmbKsuUg9oJt+71U3dxWzIvUCcLw9weT/X1h+s7t1&#10;pC5y+nFKiWYKMzr+Ov48/jj+JlABn8b6Gdzu7K3rJI9rbHZfOhX/0QbZJ0wPJ0zFPhAO5Wh8Ppr0&#10;AD2HbTI9n4yHCfXs6bl1PnwSRpF4yanD0BKWbHftA1LC9dElZvNG1sWqljIJB7+UjuwY5gtaFKah&#10;RDIfoMzpKv1iDwjx4pnUpAFdp71RrIyBeKVkAVdlAYXXG0qY3IDRPLhUy4vX3m3Wp6zD4XiwHL6V&#10;JBZ9xXzVVpciRDc2U3UA6WWtgEgv/rrXUkerSLTtWo/gt3DH29oUB4zLmZbH3vJVjSTXaPiWORAX&#10;3WAZwxccpTRo0XQ3Sirjvr+lj/7gE6yUNFgEtP9ty5wAjp81mDbtDzExEpIwHI0HENxzy/q5RW/V&#10;0mAWfay95eka/YN81JbOqAfs7CJmhYlpjtwt0J2wDO2CYuu5WCySG7bFsnCt7yyPwSNOEd77/QNz&#10;tiNOAOduzOPSsNkr/rS+8aU2i20wZZ3I9YQraBIFbFoiTPdViKv8XE5eT9+u+R8AAAD//wMAUEsD&#10;BBQABgAIAAAAIQDqmWZN4AAAAAwBAAAPAAAAZHJzL2Rvd25yZXYueG1sTI/BTsMwEETvSPyDtUjc&#10;WrttFKoQp6JICDhQ0VL17MbGibDXIXab8PcsXOA2o32anSlXo3fsbPrYBpQwmwpgBuugW7QS9m8P&#10;kyWwmBRq5QIaCV8mwqq6vChVocOAW3PeJcsoBGOhJDQpdQXnsW6MV3EaOoN0ew+9V4lsb7nu1UDh&#10;3vG5EDn3qkX60KjO3Dem/tidvITntf08PNnZNvfudVjjo9i8BCHl9dV4dwssmTH9wfBTn6pDRZ2O&#10;4YQ6Midhki3mhJLIM9pAxPJXHAldZDc58Krk/0dU3wAAAP//AwBQSwECLQAUAAYACAAAACEAtoM4&#10;kv4AAADhAQAAEwAAAAAAAAAAAAAAAAAAAAAAW0NvbnRlbnRfVHlwZXNdLnhtbFBLAQItABQABgAI&#10;AAAAIQA4/SH/1gAAAJQBAAALAAAAAAAAAAAAAAAAAC8BAABfcmVscy8ucmVsc1BLAQItABQABgAI&#10;AAAAIQD2l9mXiQIAAAMFAAAOAAAAAAAAAAAAAAAAAC4CAABkcnMvZTJvRG9jLnhtbFBLAQItABQA&#10;BgAIAAAAIQDqmWZN4AAAAAwBAAAPAAAAAAAAAAAAAAAAAOMEAABkcnMvZG93bnJldi54bWxQSwUG&#10;AAAAAAQABADzAAAA8AUAAAAA&#10;" fillcolor="window" strokecolor="#4472c4" strokeweight="1.5pt">
                <w10:wrap anchorx="margin"/>
              </v:rect>
            </w:pict>
          </mc:Fallback>
        </mc:AlternateContent>
      </w:r>
      <w:r w:rsidRPr="009F34E8">
        <w:rPr>
          <w:rFonts w:ascii="FrankRuehl" w:hAnsi="FrankRuehl" w:cs="FrankRuehl"/>
          <w:b/>
          <w:bCs/>
          <w:sz w:val="24"/>
          <w:szCs w:val="24"/>
          <w:rtl/>
        </w:rPr>
        <w:t>רבנו ירוחם תולדות אדם וחוה נתיב ז חלק ב</w:t>
      </w:r>
    </w:p>
    <w:p w:rsidR="0010620B" w:rsidRDefault="0010620B" w:rsidP="0010620B">
      <w:pPr>
        <w:spacing w:after="120" w:line="276" w:lineRule="exact"/>
        <w:rPr>
          <w:rFonts w:ascii="FrankRuehl" w:hAnsi="FrankRuehl" w:cs="FrankRuehl"/>
          <w:sz w:val="24"/>
          <w:szCs w:val="24"/>
          <w:rtl/>
        </w:rPr>
      </w:pPr>
      <w:r w:rsidRPr="009F34E8">
        <w:rPr>
          <w:rFonts w:ascii="FrankRuehl" w:hAnsi="FrankRuehl" w:cs="FrankRuehl"/>
          <w:sz w:val="24"/>
          <w:szCs w:val="24"/>
          <w:rtl/>
        </w:rPr>
        <w:t>אכל אוכלים שאינם ראויים לאכילה פטור... ואם שתה משקין שאינם ראויים לשתייה פטור. שתה ציר או מורייס או חומץ פטור... וכל הפטורים שכתבתי בין באכילה בין בשתייה דוקא מעט אבל הרבה לא, ואפילו מעט דוקא דיעבד אבל לכתחלה אסור.</w:t>
      </w:r>
    </w:p>
    <w:p w:rsidR="0010620B" w:rsidRDefault="0010620B" w:rsidP="0010620B">
      <w:pPr>
        <w:spacing w:after="120" w:line="276" w:lineRule="exact"/>
        <w:rPr>
          <w:rFonts w:ascii="FrankRuehl" w:hAnsi="FrankRuehl" w:cs="FrankRuehl"/>
          <w:sz w:val="24"/>
          <w:szCs w:val="24"/>
          <w:rtl/>
        </w:rPr>
      </w:pPr>
    </w:p>
    <w:p w:rsidR="0010620B" w:rsidRPr="00863FF4" w:rsidRDefault="0010620B" w:rsidP="0010620B">
      <w:pPr>
        <w:spacing w:after="120" w:line="276" w:lineRule="exact"/>
        <w:rPr>
          <w:rFonts w:ascii="FrankRuehl" w:hAnsi="FrankRuehl" w:cs="FrankRuehl"/>
          <w:b/>
          <w:bCs/>
          <w:sz w:val="24"/>
          <w:szCs w:val="24"/>
          <w:rtl/>
        </w:rPr>
      </w:pPr>
      <w:r w:rsidRPr="00863FF4">
        <w:rPr>
          <w:rFonts w:ascii="FrankRuehl" w:hAnsi="FrankRuehl" w:cs="FrankRuehl"/>
          <w:b/>
          <w:bCs/>
          <w:sz w:val="24"/>
          <w:szCs w:val="24"/>
          <w:rtl/>
        </w:rPr>
        <w:t>ביאור הגר"א סי' תריב סעי' ט</w:t>
      </w:r>
    </w:p>
    <w:p w:rsidR="0010620B" w:rsidRDefault="0010620B" w:rsidP="0010620B">
      <w:pPr>
        <w:spacing w:after="120" w:line="276" w:lineRule="exact"/>
        <w:rPr>
          <w:rFonts w:ascii="FrankRuehl" w:hAnsi="FrankRuehl" w:cs="FrankRuehl"/>
          <w:sz w:val="24"/>
          <w:szCs w:val="24"/>
          <w:rtl/>
        </w:rPr>
      </w:pPr>
      <w:r w:rsidRPr="00863FF4">
        <w:rPr>
          <w:rFonts w:ascii="FrankRuehl" w:hAnsi="FrankRuehl" w:cs="FrankRuehl"/>
          <w:sz w:val="24"/>
          <w:szCs w:val="24"/>
          <w:rtl/>
        </w:rPr>
        <w:t>ודברי רבנו ירוחם עיקר, שכששותה הרבה שובר רעבונו והתורה אמרה אשר לא תעונה.</w:t>
      </w:r>
    </w:p>
    <w:p w:rsidR="0010620B" w:rsidRDefault="0010620B" w:rsidP="0010620B">
      <w:pPr>
        <w:spacing w:after="120" w:line="276" w:lineRule="exact"/>
        <w:rPr>
          <w:rFonts w:ascii="FrankRuehl" w:hAnsi="FrankRuehl" w:cs="FrankRuehl"/>
          <w:sz w:val="24"/>
          <w:szCs w:val="24"/>
          <w:rtl/>
        </w:rPr>
      </w:pPr>
    </w:p>
    <w:p w:rsidR="0010620B" w:rsidRPr="00863FF4" w:rsidRDefault="0010620B" w:rsidP="0010620B">
      <w:pPr>
        <w:spacing w:after="120" w:line="276" w:lineRule="exact"/>
        <w:rPr>
          <w:b/>
          <w:bCs/>
          <w:rtl/>
        </w:rPr>
      </w:pPr>
      <w:r w:rsidRPr="00863FF4">
        <w:rPr>
          <w:rFonts w:ascii="FrankRuehl" w:hAnsi="FrankRuehl" w:cs="FrankRuehl"/>
          <w:b/>
          <w:bCs/>
          <w:sz w:val="24"/>
          <w:szCs w:val="24"/>
          <w:rtl/>
        </w:rPr>
        <w:t>שאגת אריה סי'</w:t>
      </w:r>
      <w:r>
        <w:rPr>
          <w:rFonts w:hint="cs"/>
          <w:b/>
          <w:bCs/>
          <w:rtl/>
        </w:rPr>
        <w:t xml:space="preserve"> עו</w:t>
      </w:r>
    </w:p>
    <w:p w:rsidR="0010620B" w:rsidRDefault="0010620B" w:rsidP="0010620B">
      <w:pPr>
        <w:spacing w:after="120" w:line="276" w:lineRule="exact"/>
        <w:rPr>
          <w:rFonts w:ascii="FrankRuehl" w:hAnsi="FrankRuehl" w:cs="FrankRuehl"/>
          <w:sz w:val="24"/>
          <w:szCs w:val="24"/>
          <w:rtl/>
        </w:rPr>
      </w:pPr>
      <w:r w:rsidRPr="003C46DF">
        <w:rPr>
          <w:rFonts w:ascii="FrankRuehl" w:hAnsi="FrankRuehl" w:cs="FrankRuehl"/>
          <w:sz w:val="24"/>
          <w:szCs w:val="24"/>
          <w:rtl/>
        </w:rPr>
        <w:t>דקי"ל בפרק כל שעה, כל האיסורים שבתורה אין לוקין עליהן אלא דרך אכילתן, וטעמא משום דאכילה כתיב בהו. והא וודאי גבי יוה"כ דלא כתיב ביה אכילה אלא כל הנפש אשר לא תעונה, אפי' אם אכלן שלא כדרך אכילתן, כגון אוכל חלב חי כדאמרינן התם, וכל שכן בשר בהמה חי, כמ"ש התוס' שם, אפילו הכי חייב משום לא תעונה דיה"כ. ובפ"ב דיומא (דף פ) לא פטרינן אלא באוכל אכילה גסה ביוה"כ משום דכתיב אשר לא תעונה פרט למזיק, אבל שלא כדרך אכילתן, דאינו מזיק, הא וודאי חייב.</w:t>
      </w:r>
    </w:p>
    <w:p w:rsidR="0010620B" w:rsidRDefault="0010620B" w:rsidP="0010620B">
      <w:pPr>
        <w:spacing w:after="120" w:line="276" w:lineRule="exact"/>
        <w:rPr>
          <w:rFonts w:ascii="FrankRuehl" w:hAnsi="FrankRuehl" w:cs="FrankRuehl"/>
          <w:sz w:val="24"/>
          <w:szCs w:val="24"/>
          <w:rtl/>
        </w:rPr>
      </w:pPr>
    </w:p>
    <w:p w:rsidR="0010620B" w:rsidRPr="00A53302" w:rsidRDefault="0010620B" w:rsidP="0010620B">
      <w:pPr>
        <w:spacing w:after="120" w:line="276" w:lineRule="exact"/>
        <w:rPr>
          <w:rFonts w:ascii="FrankRuehl" w:hAnsi="FrankRuehl" w:cs="FrankRuehl"/>
          <w:b/>
          <w:bCs/>
          <w:sz w:val="24"/>
          <w:szCs w:val="24"/>
          <w:rtl/>
        </w:rPr>
      </w:pPr>
      <w:r>
        <w:rPr>
          <w:rFonts w:ascii="FrankRuehl" w:hAnsi="FrankRuehl" w:cs="FrankRuehl" w:hint="cs"/>
          <w:b/>
          <w:bCs/>
          <w:sz w:val="24"/>
          <w:szCs w:val="24"/>
          <w:rtl/>
        </w:rPr>
        <w:t>מנחת חינוך מצוה שיג אות ב</w:t>
      </w:r>
    </w:p>
    <w:p w:rsidR="0010620B" w:rsidRPr="00A53302" w:rsidRDefault="0010620B" w:rsidP="0010620B">
      <w:pPr>
        <w:spacing w:after="120" w:line="276" w:lineRule="exact"/>
        <w:rPr>
          <w:rFonts w:ascii="FrankRuehl" w:hAnsi="FrankRuehl" w:cs="FrankRuehl"/>
          <w:sz w:val="24"/>
          <w:szCs w:val="24"/>
          <w:rtl/>
        </w:rPr>
      </w:pPr>
      <w:r w:rsidRPr="00A53302">
        <w:rPr>
          <w:rFonts w:ascii="FrankRuehl" w:hAnsi="FrankRuehl" w:cs="FrankRuehl"/>
          <w:sz w:val="24"/>
          <w:szCs w:val="24"/>
          <w:rtl/>
        </w:rPr>
        <w:t>ונסתפקתי דמבואר בש"ס [חולין] ד</w:t>
      </w:r>
      <w:r>
        <w:rPr>
          <w:rFonts w:ascii="FrankRuehl" w:hAnsi="FrankRuehl" w:cs="FrankRuehl" w:hint="cs"/>
          <w:sz w:val="24"/>
          <w:szCs w:val="24"/>
          <w:rtl/>
        </w:rPr>
        <w:t xml:space="preserve">ף </w:t>
      </w:r>
      <w:r w:rsidRPr="00A53302">
        <w:rPr>
          <w:rFonts w:ascii="FrankRuehl" w:hAnsi="FrankRuehl" w:cs="FrankRuehl"/>
          <w:sz w:val="24"/>
          <w:szCs w:val="24"/>
          <w:rtl/>
        </w:rPr>
        <w:t>ק"ג</w:t>
      </w:r>
      <w:r>
        <w:rPr>
          <w:rFonts w:ascii="FrankRuehl" w:hAnsi="FrankRuehl" w:cs="FrankRuehl" w:hint="cs"/>
          <w:sz w:val="24"/>
          <w:szCs w:val="24"/>
          <w:rtl/>
        </w:rPr>
        <w:t>,</w:t>
      </w:r>
      <w:r w:rsidRPr="00A53302">
        <w:rPr>
          <w:rFonts w:ascii="FrankRuehl" w:hAnsi="FrankRuehl" w:cs="FrankRuehl"/>
          <w:sz w:val="24"/>
          <w:szCs w:val="24"/>
          <w:rtl/>
        </w:rPr>
        <w:t xml:space="preserve"> כזית שאמרו חוץ מבין השיניים</w:t>
      </w:r>
      <w:r>
        <w:rPr>
          <w:rFonts w:ascii="FrankRuehl" w:hAnsi="FrankRuehl" w:cs="FrankRuehl" w:hint="cs"/>
          <w:sz w:val="24"/>
          <w:szCs w:val="24"/>
          <w:rtl/>
        </w:rPr>
        <w:t>,</w:t>
      </w:r>
      <w:r w:rsidRPr="00A53302">
        <w:rPr>
          <w:rFonts w:ascii="FrankRuehl" w:hAnsi="FrankRuehl" w:cs="FrankRuehl"/>
          <w:sz w:val="24"/>
          <w:szCs w:val="24"/>
          <w:rtl/>
        </w:rPr>
        <w:t xml:space="preserve"> ובין החניכים הוא פלוגתא דר</w:t>
      </w:r>
      <w:r>
        <w:rPr>
          <w:rFonts w:ascii="FrankRuehl" w:hAnsi="FrankRuehl" w:cs="FrankRuehl" w:hint="cs"/>
          <w:sz w:val="24"/>
          <w:szCs w:val="24"/>
          <w:rtl/>
        </w:rPr>
        <w:t>בי יוחנן וריש לקיש, מר סבר</w:t>
      </w:r>
      <w:r w:rsidRPr="00A53302">
        <w:rPr>
          <w:rFonts w:ascii="FrankRuehl" w:hAnsi="FrankRuehl" w:cs="FrankRuehl"/>
          <w:sz w:val="24"/>
          <w:szCs w:val="24"/>
          <w:rtl/>
        </w:rPr>
        <w:t xml:space="preserve"> הנאת גרונו בעינן ומצרף בין החניכים</w:t>
      </w:r>
      <w:r>
        <w:rPr>
          <w:rFonts w:ascii="FrankRuehl" w:hAnsi="FrankRuehl" w:cs="FrankRuehl" w:hint="cs"/>
          <w:sz w:val="24"/>
          <w:szCs w:val="24"/>
          <w:rtl/>
        </w:rPr>
        <w:t>,</w:t>
      </w:r>
      <w:r w:rsidRPr="00A53302">
        <w:rPr>
          <w:rFonts w:ascii="FrankRuehl" w:hAnsi="FrankRuehl" w:cs="FrankRuehl"/>
          <w:sz w:val="24"/>
          <w:szCs w:val="24"/>
          <w:rtl/>
        </w:rPr>
        <w:t xml:space="preserve"> וכן אכל </w:t>
      </w:r>
      <w:r>
        <w:rPr>
          <w:rFonts w:ascii="FrankRuehl" w:hAnsi="FrankRuehl" w:cs="FrankRuehl" w:hint="cs"/>
          <w:sz w:val="24"/>
          <w:szCs w:val="24"/>
          <w:rtl/>
        </w:rPr>
        <w:t>חצי זית</w:t>
      </w:r>
      <w:r w:rsidRPr="00A53302">
        <w:rPr>
          <w:rFonts w:ascii="FrankRuehl" w:hAnsi="FrankRuehl" w:cs="FrankRuehl"/>
          <w:sz w:val="24"/>
          <w:szCs w:val="24"/>
          <w:rtl/>
        </w:rPr>
        <w:t xml:space="preserve"> והקיאו וחזר ואכל ח</w:t>
      </w:r>
      <w:r>
        <w:rPr>
          <w:rFonts w:ascii="FrankRuehl" w:hAnsi="FrankRuehl" w:cs="FrankRuehl" w:hint="cs"/>
          <w:sz w:val="24"/>
          <w:szCs w:val="24"/>
          <w:rtl/>
        </w:rPr>
        <w:t>צי זית</w:t>
      </w:r>
      <w:r w:rsidRPr="00A53302">
        <w:rPr>
          <w:rFonts w:ascii="FrankRuehl" w:hAnsi="FrankRuehl" w:cs="FrankRuehl"/>
          <w:sz w:val="24"/>
          <w:szCs w:val="24"/>
          <w:rtl/>
        </w:rPr>
        <w:t xml:space="preserve"> או אותו ח</w:t>
      </w:r>
      <w:r>
        <w:rPr>
          <w:rFonts w:ascii="FrankRuehl" w:hAnsi="FrankRuehl" w:cs="FrankRuehl" w:hint="cs"/>
          <w:sz w:val="24"/>
          <w:szCs w:val="24"/>
          <w:rtl/>
        </w:rPr>
        <w:t>צי זית</w:t>
      </w:r>
      <w:r w:rsidRPr="00A53302">
        <w:rPr>
          <w:rFonts w:ascii="FrankRuehl" w:hAnsi="FrankRuehl" w:cs="FrankRuehl"/>
          <w:sz w:val="24"/>
          <w:szCs w:val="24"/>
          <w:rtl/>
        </w:rPr>
        <w:t xml:space="preserve"> הוא פלוגתא</w:t>
      </w:r>
      <w:r>
        <w:rPr>
          <w:rFonts w:ascii="FrankRuehl" w:hAnsi="FrankRuehl" w:cs="FrankRuehl" w:hint="cs"/>
          <w:sz w:val="24"/>
          <w:szCs w:val="24"/>
          <w:rtl/>
        </w:rPr>
        <w:t>,</w:t>
      </w:r>
      <w:r w:rsidRPr="00A53302">
        <w:rPr>
          <w:rFonts w:ascii="FrankRuehl" w:hAnsi="FrankRuehl" w:cs="FrankRuehl"/>
          <w:sz w:val="24"/>
          <w:szCs w:val="24"/>
          <w:rtl/>
        </w:rPr>
        <w:t xml:space="preserve"> דלמ"ד הנאת גרונו בעינן חייב</w:t>
      </w:r>
      <w:r>
        <w:rPr>
          <w:rFonts w:ascii="FrankRuehl" w:hAnsi="FrankRuehl" w:cs="FrankRuehl" w:hint="cs"/>
          <w:sz w:val="24"/>
          <w:szCs w:val="24"/>
          <w:rtl/>
        </w:rPr>
        <w:t>,</w:t>
      </w:r>
      <w:r w:rsidRPr="00A53302">
        <w:rPr>
          <w:rFonts w:ascii="FrankRuehl" w:hAnsi="FrankRuehl" w:cs="FrankRuehl"/>
          <w:sz w:val="24"/>
          <w:szCs w:val="24"/>
          <w:rtl/>
        </w:rPr>
        <w:t xml:space="preserve"> דהרי נהנה גרונו בכזית</w:t>
      </w:r>
      <w:r>
        <w:rPr>
          <w:rFonts w:ascii="FrankRuehl" w:hAnsi="FrankRuehl" w:cs="FrankRuehl" w:hint="cs"/>
          <w:sz w:val="24"/>
          <w:szCs w:val="24"/>
          <w:rtl/>
        </w:rPr>
        <w:t>,</w:t>
      </w:r>
      <w:r w:rsidRPr="00A53302">
        <w:rPr>
          <w:rFonts w:ascii="FrankRuehl" w:hAnsi="FrankRuehl" w:cs="FrankRuehl"/>
          <w:sz w:val="24"/>
          <w:szCs w:val="24"/>
          <w:rtl/>
        </w:rPr>
        <w:t xml:space="preserve"> ולמ"ד הנאת מעיו פטור</w:t>
      </w:r>
      <w:r>
        <w:rPr>
          <w:rFonts w:ascii="FrankRuehl" w:hAnsi="FrankRuehl" w:cs="FrankRuehl" w:hint="cs"/>
          <w:sz w:val="24"/>
          <w:szCs w:val="24"/>
          <w:rtl/>
        </w:rPr>
        <w:t>,</w:t>
      </w:r>
      <w:r w:rsidRPr="00A53302">
        <w:rPr>
          <w:rFonts w:ascii="FrankRuehl" w:hAnsi="FrankRuehl" w:cs="FrankRuehl"/>
          <w:sz w:val="24"/>
          <w:szCs w:val="24"/>
          <w:rtl/>
        </w:rPr>
        <w:t xml:space="preserve"> דאכילה במעיים בעינן</w:t>
      </w:r>
      <w:r>
        <w:rPr>
          <w:rFonts w:ascii="FrankRuehl" w:hAnsi="FrankRuehl" w:cs="FrankRuehl" w:hint="cs"/>
          <w:sz w:val="24"/>
          <w:szCs w:val="24"/>
          <w:rtl/>
        </w:rPr>
        <w:t>,</w:t>
      </w:r>
      <w:r w:rsidRPr="00A53302">
        <w:rPr>
          <w:rFonts w:ascii="FrankRuehl" w:hAnsi="FrankRuehl" w:cs="FrankRuehl"/>
          <w:sz w:val="24"/>
          <w:szCs w:val="24"/>
          <w:rtl/>
        </w:rPr>
        <w:t xml:space="preserve"> והלכה דהנאת גרונו חייב</w:t>
      </w:r>
      <w:r>
        <w:rPr>
          <w:rFonts w:ascii="FrankRuehl" w:hAnsi="FrankRuehl" w:cs="FrankRuehl" w:hint="cs"/>
          <w:sz w:val="24"/>
          <w:szCs w:val="24"/>
          <w:rtl/>
        </w:rPr>
        <w:t>,</w:t>
      </w:r>
      <w:r>
        <w:rPr>
          <w:rFonts w:ascii="FrankRuehl" w:hAnsi="FrankRuehl" w:cs="FrankRuehl"/>
          <w:sz w:val="24"/>
          <w:szCs w:val="24"/>
          <w:rtl/>
        </w:rPr>
        <w:t xml:space="preserve"> כמבואר בר"מ פי"ד מה</w:t>
      </w:r>
      <w:r>
        <w:rPr>
          <w:rFonts w:ascii="FrankRuehl" w:hAnsi="FrankRuehl" w:cs="FrankRuehl" w:hint="cs"/>
          <w:sz w:val="24"/>
          <w:szCs w:val="24"/>
          <w:rtl/>
        </w:rPr>
        <w:t>ל' מאכלות אסורות...</w:t>
      </w:r>
      <w:r w:rsidRPr="00A53302">
        <w:rPr>
          <w:rFonts w:ascii="FrankRuehl" w:hAnsi="FrankRuehl" w:cs="FrankRuehl"/>
          <w:sz w:val="24"/>
          <w:szCs w:val="24"/>
          <w:rtl/>
        </w:rPr>
        <w:t xml:space="preserve"> והנה לשון הגמרא והר"מ נקטו כזית</w:t>
      </w:r>
      <w:r>
        <w:rPr>
          <w:rFonts w:ascii="FrankRuehl" w:hAnsi="FrankRuehl" w:cs="FrankRuehl" w:hint="cs"/>
          <w:sz w:val="24"/>
          <w:szCs w:val="24"/>
          <w:rtl/>
        </w:rPr>
        <w:t>,</w:t>
      </w:r>
      <w:r w:rsidRPr="00A53302">
        <w:rPr>
          <w:rFonts w:ascii="FrankRuehl" w:hAnsi="FrankRuehl" w:cs="FrankRuehl"/>
          <w:sz w:val="24"/>
          <w:szCs w:val="24"/>
          <w:rtl/>
        </w:rPr>
        <w:t xml:space="preserve"> והנה היאך הדין ביוה"כ</w:t>
      </w:r>
      <w:r>
        <w:rPr>
          <w:rFonts w:ascii="FrankRuehl" w:hAnsi="FrankRuehl" w:cs="FrankRuehl" w:hint="cs"/>
          <w:sz w:val="24"/>
          <w:szCs w:val="24"/>
          <w:rtl/>
        </w:rPr>
        <w:t>,</w:t>
      </w:r>
      <w:r w:rsidRPr="00A53302">
        <w:rPr>
          <w:rFonts w:ascii="FrankRuehl" w:hAnsi="FrankRuehl" w:cs="FrankRuehl"/>
          <w:sz w:val="24"/>
          <w:szCs w:val="24"/>
          <w:rtl/>
        </w:rPr>
        <w:t xml:space="preserve"> דלענין שיעור אף דאכילה הוי בפחות דהיינו כזית</w:t>
      </w:r>
      <w:r>
        <w:rPr>
          <w:rFonts w:ascii="FrankRuehl" w:hAnsi="FrankRuehl" w:cs="FrankRuehl" w:hint="cs"/>
          <w:sz w:val="24"/>
          <w:szCs w:val="24"/>
          <w:rtl/>
        </w:rPr>
        <w:t>, מכל מקום</w:t>
      </w:r>
      <w:r>
        <w:rPr>
          <w:rFonts w:ascii="FrankRuehl" w:hAnsi="FrankRuehl" w:cs="FrankRuehl"/>
          <w:sz w:val="24"/>
          <w:szCs w:val="24"/>
          <w:rtl/>
        </w:rPr>
        <w:t xml:space="preserve"> לענין מייתבי דעתי</w:t>
      </w:r>
      <w:r>
        <w:rPr>
          <w:rFonts w:ascii="FrankRuehl" w:hAnsi="FrankRuehl" w:cs="FrankRuehl" w:hint="cs"/>
          <w:sz w:val="24"/>
          <w:szCs w:val="24"/>
          <w:rtl/>
        </w:rPr>
        <w:t>ה</w:t>
      </w:r>
      <w:r w:rsidRPr="00A53302">
        <w:rPr>
          <w:rFonts w:ascii="FrankRuehl" w:hAnsi="FrankRuehl" w:cs="FrankRuehl"/>
          <w:sz w:val="24"/>
          <w:szCs w:val="24"/>
          <w:rtl/>
        </w:rPr>
        <w:t xml:space="preserve"> אינו פחות מכותבת</w:t>
      </w:r>
      <w:r>
        <w:rPr>
          <w:rFonts w:ascii="FrankRuehl" w:hAnsi="FrankRuehl" w:cs="FrankRuehl" w:hint="cs"/>
          <w:sz w:val="24"/>
          <w:szCs w:val="24"/>
          <w:rtl/>
        </w:rPr>
        <w:t>,</w:t>
      </w:r>
      <w:r w:rsidRPr="00A53302">
        <w:rPr>
          <w:rFonts w:ascii="FrankRuehl" w:hAnsi="FrankRuehl" w:cs="FrankRuehl"/>
          <w:sz w:val="24"/>
          <w:szCs w:val="24"/>
          <w:rtl/>
        </w:rPr>
        <w:t xml:space="preserve"> והיאך הדין אם בין החניכים מצרף או אכל חצי כותבת והקיאו כו'</w:t>
      </w:r>
      <w:r>
        <w:rPr>
          <w:rFonts w:ascii="FrankRuehl" w:hAnsi="FrankRuehl" w:cs="FrankRuehl" w:hint="cs"/>
          <w:sz w:val="24"/>
          <w:szCs w:val="24"/>
          <w:rtl/>
        </w:rPr>
        <w:t>,</w:t>
      </w:r>
      <w:r w:rsidRPr="00A53302">
        <w:rPr>
          <w:rFonts w:ascii="FrankRuehl" w:hAnsi="FrankRuehl" w:cs="FrankRuehl"/>
          <w:sz w:val="24"/>
          <w:szCs w:val="24"/>
          <w:rtl/>
        </w:rPr>
        <w:t xml:space="preserve"> אם כאן נמי די בהנאת גרונו בככותבת או אפשר לענין יתובי דעתו תלוי בהנאת מעיים ואינו חייב </w:t>
      </w:r>
      <w:r>
        <w:rPr>
          <w:rFonts w:ascii="FrankRuehl" w:hAnsi="FrankRuehl" w:cs="FrankRuehl"/>
          <w:sz w:val="24"/>
          <w:szCs w:val="24"/>
          <w:rtl/>
        </w:rPr>
        <w:t>ע</w:t>
      </w:r>
      <w:r>
        <w:rPr>
          <w:rFonts w:ascii="FrankRuehl" w:hAnsi="FrankRuehl" w:cs="FrankRuehl" w:hint="cs"/>
          <w:sz w:val="24"/>
          <w:szCs w:val="24"/>
          <w:rtl/>
        </w:rPr>
        <w:t>ל זה</w:t>
      </w:r>
      <w:r>
        <w:rPr>
          <w:rFonts w:ascii="FrankRuehl" w:hAnsi="FrankRuehl" w:cs="FrankRuehl"/>
          <w:sz w:val="24"/>
          <w:szCs w:val="24"/>
          <w:rtl/>
        </w:rPr>
        <w:t xml:space="preserve"> עד שיהי</w:t>
      </w:r>
      <w:r>
        <w:rPr>
          <w:rFonts w:ascii="FrankRuehl" w:hAnsi="FrankRuehl" w:cs="FrankRuehl" w:hint="cs"/>
          <w:sz w:val="24"/>
          <w:szCs w:val="24"/>
          <w:rtl/>
        </w:rPr>
        <w:t>ה</w:t>
      </w:r>
      <w:r w:rsidRPr="00A53302">
        <w:rPr>
          <w:rFonts w:ascii="FrankRuehl" w:hAnsi="FrankRuehl" w:cs="FrankRuehl"/>
          <w:sz w:val="24"/>
          <w:szCs w:val="24"/>
          <w:rtl/>
        </w:rPr>
        <w:t xml:space="preserve"> במעיים ככותבת</w:t>
      </w:r>
      <w:r>
        <w:rPr>
          <w:rFonts w:ascii="FrankRuehl" w:hAnsi="FrankRuehl" w:cs="FrankRuehl" w:hint="cs"/>
          <w:sz w:val="24"/>
          <w:szCs w:val="24"/>
          <w:rtl/>
        </w:rPr>
        <w:t>...</w:t>
      </w:r>
      <w:r w:rsidRPr="00A53302">
        <w:rPr>
          <w:rFonts w:ascii="FrankRuehl" w:hAnsi="FrankRuehl" w:cs="FrankRuehl"/>
          <w:sz w:val="24"/>
          <w:szCs w:val="24"/>
          <w:rtl/>
        </w:rPr>
        <w:t xml:space="preserve"> דאפשר דהתורה לא חייבה כאן על הנאה רק אם נתיישב דעתו</w:t>
      </w:r>
      <w:r>
        <w:rPr>
          <w:rFonts w:ascii="FrankRuehl" w:hAnsi="FrankRuehl" w:cs="FrankRuehl" w:hint="cs"/>
          <w:sz w:val="24"/>
          <w:szCs w:val="24"/>
          <w:rtl/>
        </w:rPr>
        <w:t>,</w:t>
      </w:r>
      <w:r w:rsidRPr="00A53302">
        <w:rPr>
          <w:rFonts w:ascii="FrankRuehl" w:hAnsi="FrankRuehl" w:cs="FrankRuehl"/>
          <w:sz w:val="24"/>
          <w:szCs w:val="24"/>
          <w:rtl/>
        </w:rPr>
        <w:t xml:space="preserve"> ויתובי דעתו אינו אלא במילוי המעיים</w:t>
      </w:r>
      <w:r>
        <w:rPr>
          <w:rFonts w:ascii="FrankRuehl" w:hAnsi="FrankRuehl" w:cs="FrankRuehl" w:hint="cs"/>
          <w:sz w:val="24"/>
          <w:szCs w:val="24"/>
          <w:rtl/>
        </w:rPr>
        <w:t>,</w:t>
      </w:r>
      <w:r w:rsidRPr="00A53302">
        <w:rPr>
          <w:rFonts w:ascii="FrankRuehl" w:hAnsi="FrankRuehl" w:cs="FrankRuehl"/>
          <w:sz w:val="24"/>
          <w:szCs w:val="24"/>
          <w:rtl/>
        </w:rPr>
        <w:t xml:space="preserve"> וצ"ע דין זה. עוד אני מסופק</w:t>
      </w:r>
      <w:r>
        <w:rPr>
          <w:rFonts w:ascii="FrankRuehl" w:hAnsi="FrankRuehl" w:cs="FrankRuehl" w:hint="cs"/>
          <w:sz w:val="24"/>
          <w:szCs w:val="24"/>
          <w:rtl/>
        </w:rPr>
        <w:t>,</w:t>
      </w:r>
      <w:r>
        <w:rPr>
          <w:rFonts w:ascii="FrankRuehl" w:hAnsi="FrankRuehl" w:cs="FrankRuehl"/>
          <w:sz w:val="24"/>
          <w:szCs w:val="24"/>
          <w:rtl/>
        </w:rPr>
        <w:t xml:space="preserve"> אפי</w:t>
      </w:r>
      <w:r>
        <w:rPr>
          <w:rFonts w:ascii="FrankRuehl" w:hAnsi="FrankRuehl" w:cs="FrankRuehl" w:hint="cs"/>
          <w:sz w:val="24"/>
          <w:szCs w:val="24"/>
          <w:rtl/>
        </w:rPr>
        <w:t>לו</w:t>
      </w:r>
      <w:r w:rsidRPr="00A53302">
        <w:rPr>
          <w:rFonts w:ascii="FrankRuehl" w:hAnsi="FrankRuehl" w:cs="FrankRuehl"/>
          <w:sz w:val="24"/>
          <w:szCs w:val="24"/>
          <w:rtl/>
        </w:rPr>
        <w:t xml:space="preserve"> א</w:t>
      </w:r>
      <w:r>
        <w:rPr>
          <w:rFonts w:ascii="FrankRuehl" w:hAnsi="FrankRuehl" w:cs="FrankRuehl"/>
          <w:sz w:val="24"/>
          <w:szCs w:val="24"/>
          <w:rtl/>
        </w:rPr>
        <w:t>ם נאמר דהנאת גרון לבדו בודאי א</w:t>
      </w:r>
      <w:r>
        <w:rPr>
          <w:rFonts w:ascii="FrankRuehl" w:hAnsi="FrankRuehl" w:cs="FrankRuehl" w:hint="cs"/>
          <w:sz w:val="24"/>
          <w:szCs w:val="24"/>
          <w:rtl/>
        </w:rPr>
        <w:t>ינו חייב</w:t>
      </w:r>
      <w:r>
        <w:rPr>
          <w:rFonts w:ascii="FrankRuehl" w:hAnsi="FrankRuehl" w:cs="FrankRuehl"/>
          <w:sz w:val="24"/>
          <w:szCs w:val="24"/>
          <w:rtl/>
        </w:rPr>
        <w:t xml:space="preserve"> כיון דלא הוי מילוי המעיים</w:t>
      </w:r>
      <w:r>
        <w:rPr>
          <w:rFonts w:ascii="FrankRuehl" w:hAnsi="FrankRuehl" w:cs="FrankRuehl" w:hint="cs"/>
          <w:sz w:val="24"/>
          <w:szCs w:val="24"/>
          <w:rtl/>
        </w:rPr>
        <w:t xml:space="preserve">, </w:t>
      </w:r>
      <w:r w:rsidRPr="00A53302">
        <w:rPr>
          <w:rFonts w:ascii="FrankRuehl" w:hAnsi="FrankRuehl" w:cs="FrankRuehl"/>
          <w:sz w:val="24"/>
          <w:szCs w:val="24"/>
          <w:rtl/>
        </w:rPr>
        <w:t>היאך הדין אם הנאת מעיים בלבד בלא הנאת גרון</w:t>
      </w:r>
      <w:r>
        <w:rPr>
          <w:rFonts w:ascii="FrankRuehl" w:hAnsi="FrankRuehl" w:cs="FrankRuehl" w:hint="cs"/>
          <w:sz w:val="24"/>
          <w:szCs w:val="24"/>
          <w:rtl/>
        </w:rPr>
        <w:t>,</w:t>
      </w:r>
      <w:r w:rsidRPr="00A53302">
        <w:rPr>
          <w:rFonts w:ascii="FrankRuehl" w:hAnsi="FrankRuehl" w:cs="FrankRuehl"/>
          <w:sz w:val="24"/>
          <w:szCs w:val="24"/>
          <w:rtl/>
        </w:rPr>
        <w:t xml:space="preserve"> אם הוי יתובי דעתיה</w:t>
      </w:r>
      <w:r>
        <w:rPr>
          <w:rFonts w:ascii="FrankRuehl" w:hAnsi="FrankRuehl" w:cs="FrankRuehl" w:hint="cs"/>
          <w:sz w:val="24"/>
          <w:szCs w:val="24"/>
          <w:rtl/>
        </w:rPr>
        <w:t>,</w:t>
      </w:r>
      <w:r w:rsidRPr="00A53302">
        <w:rPr>
          <w:rFonts w:ascii="FrankRuehl" w:hAnsi="FrankRuehl" w:cs="FrankRuehl"/>
          <w:sz w:val="24"/>
          <w:szCs w:val="24"/>
          <w:rtl/>
        </w:rPr>
        <w:t xml:space="preserve"> דבכל האיסורים אם הי</w:t>
      </w:r>
      <w:r>
        <w:rPr>
          <w:rFonts w:ascii="FrankRuehl" w:hAnsi="FrankRuehl" w:cs="FrankRuehl" w:hint="cs"/>
          <w:sz w:val="24"/>
          <w:szCs w:val="24"/>
          <w:rtl/>
        </w:rPr>
        <w:t>ה</w:t>
      </w:r>
      <w:r>
        <w:rPr>
          <w:rFonts w:ascii="FrankRuehl" w:hAnsi="FrankRuehl" w:cs="FrankRuehl"/>
          <w:sz w:val="24"/>
          <w:szCs w:val="24"/>
          <w:rtl/>
        </w:rPr>
        <w:t xml:space="preserve"> הנאת מעיים בלא הנאת גרון א</w:t>
      </w:r>
      <w:r>
        <w:rPr>
          <w:rFonts w:ascii="FrankRuehl" w:hAnsi="FrankRuehl" w:cs="FrankRuehl" w:hint="cs"/>
          <w:sz w:val="24"/>
          <w:szCs w:val="24"/>
          <w:rtl/>
        </w:rPr>
        <w:t>ינו חייב...</w:t>
      </w:r>
      <w:r>
        <w:rPr>
          <w:rFonts w:ascii="FrankRuehl" w:hAnsi="FrankRuehl" w:cs="FrankRuehl"/>
          <w:sz w:val="24"/>
          <w:szCs w:val="24"/>
          <w:rtl/>
        </w:rPr>
        <w:t xml:space="preserve"> אך כ</w:t>
      </w:r>
      <w:r>
        <w:rPr>
          <w:rFonts w:ascii="FrankRuehl" w:hAnsi="FrankRuehl" w:cs="FrankRuehl" w:hint="cs"/>
          <w:sz w:val="24"/>
          <w:szCs w:val="24"/>
          <w:rtl/>
        </w:rPr>
        <w:t xml:space="preserve">ל זה </w:t>
      </w:r>
      <w:r w:rsidRPr="00A53302">
        <w:rPr>
          <w:rFonts w:ascii="FrankRuehl" w:hAnsi="FrankRuehl" w:cs="FrankRuehl"/>
          <w:sz w:val="24"/>
          <w:szCs w:val="24"/>
          <w:rtl/>
        </w:rPr>
        <w:t>במקומות דכתיב אכילה בתורה</w:t>
      </w:r>
      <w:r>
        <w:rPr>
          <w:rFonts w:ascii="FrankRuehl" w:hAnsi="FrankRuehl" w:cs="FrankRuehl" w:hint="cs"/>
          <w:sz w:val="24"/>
          <w:szCs w:val="24"/>
          <w:rtl/>
        </w:rPr>
        <w:t>,</w:t>
      </w:r>
      <w:r w:rsidRPr="00A53302">
        <w:rPr>
          <w:rFonts w:ascii="FrankRuehl" w:hAnsi="FrankRuehl" w:cs="FrankRuehl"/>
          <w:sz w:val="24"/>
          <w:szCs w:val="24"/>
          <w:rtl/>
        </w:rPr>
        <w:t xml:space="preserve"> ובלא הנאת גרון לא הוי אכילה כלל</w:t>
      </w:r>
      <w:r>
        <w:rPr>
          <w:rFonts w:ascii="FrankRuehl" w:hAnsi="FrankRuehl" w:cs="FrankRuehl" w:hint="cs"/>
          <w:sz w:val="24"/>
          <w:szCs w:val="24"/>
          <w:rtl/>
        </w:rPr>
        <w:t>,</w:t>
      </w:r>
      <w:r w:rsidRPr="00A53302">
        <w:rPr>
          <w:rFonts w:ascii="FrankRuehl" w:hAnsi="FrankRuehl" w:cs="FrankRuehl"/>
          <w:sz w:val="24"/>
          <w:szCs w:val="24"/>
          <w:rtl/>
        </w:rPr>
        <w:t xml:space="preserve"> אבל כאן דכתיב </w:t>
      </w:r>
      <w:r>
        <w:rPr>
          <w:rFonts w:ascii="FrankRuehl" w:hAnsi="FrankRuehl" w:cs="FrankRuehl" w:hint="cs"/>
          <w:sz w:val="24"/>
          <w:szCs w:val="24"/>
          <w:rtl/>
        </w:rPr>
        <w:t>'</w:t>
      </w:r>
      <w:r w:rsidRPr="00A53302">
        <w:rPr>
          <w:rFonts w:ascii="FrankRuehl" w:hAnsi="FrankRuehl" w:cs="FrankRuehl"/>
          <w:sz w:val="24"/>
          <w:szCs w:val="24"/>
          <w:rtl/>
        </w:rPr>
        <w:t>לא תעונה</w:t>
      </w:r>
      <w:r>
        <w:rPr>
          <w:rFonts w:ascii="FrankRuehl" w:hAnsi="FrankRuehl" w:cs="FrankRuehl" w:hint="cs"/>
          <w:sz w:val="24"/>
          <w:szCs w:val="24"/>
          <w:rtl/>
        </w:rPr>
        <w:t>'</w:t>
      </w:r>
      <w:r w:rsidRPr="00A53302">
        <w:rPr>
          <w:rFonts w:ascii="FrankRuehl" w:hAnsi="FrankRuehl" w:cs="FrankRuehl"/>
          <w:sz w:val="24"/>
          <w:szCs w:val="24"/>
          <w:rtl/>
        </w:rPr>
        <w:t xml:space="preserve"> וביתובי דעתא תליא</w:t>
      </w:r>
      <w:r>
        <w:rPr>
          <w:rFonts w:ascii="FrankRuehl" w:hAnsi="FrankRuehl" w:cs="FrankRuehl" w:hint="cs"/>
          <w:sz w:val="24"/>
          <w:szCs w:val="24"/>
          <w:rtl/>
        </w:rPr>
        <w:t>,</w:t>
      </w:r>
      <w:r w:rsidRPr="00A53302">
        <w:rPr>
          <w:rFonts w:ascii="FrankRuehl" w:hAnsi="FrankRuehl" w:cs="FrankRuehl"/>
          <w:sz w:val="24"/>
          <w:szCs w:val="24"/>
          <w:rtl/>
        </w:rPr>
        <w:t xml:space="preserve"> אפשר דלא בעינן הנאת גרון כלל רק מילוי המעיים לחוד סגי</w:t>
      </w:r>
      <w:r>
        <w:rPr>
          <w:rFonts w:ascii="FrankRuehl" w:hAnsi="FrankRuehl" w:cs="FrankRuehl" w:hint="cs"/>
          <w:sz w:val="24"/>
          <w:szCs w:val="24"/>
          <w:rtl/>
        </w:rPr>
        <w:t>.</w:t>
      </w:r>
      <w:r w:rsidRPr="00A53302">
        <w:rPr>
          <w:rFonts w:ascii="FrankRuehl" w:hAnsi="FrankRuehl" w:cs="FrankRuehl"/>
          <w:sz w:val="24"/>
          <w:szCs w:val="24"/>
          <w:rtl/>
        </w:rPr>
        <w:t xml:space="preserve"> א</w:t>
      </w:r>
      <w:r>
        <w:rPr>
          <w:rFonts w:ascii="FrankRuehl" w:hAnsi="FrankRuehl" w:cs="FrankRuehl"/>
          <w:sz w:val="24"/>
          <w:szCs w:val="24"/>
          <w:rtl/>
        </w:rPr>
        <w:t>ך באמת ברור דבעינן הנאת גרון ג</w:t>
      </w:r>
      <w:r>
        <w:rPr>
          <w:rFonts w:ascii="FrankRuehl" w:hAnsi="FrankRuehl" w:cs="FrankRuehl" w:hint="cs"/>
          <w:sz w:val="24"/>
          <w:szCs w:val="24"/>
          <w:rtl/>
        </w:rPr>
        <w:t>ם כן,</w:t>
      </w:r>
      <w:r w:rsidRPr="00A53302">
        <w:rPr>
          <w:rFonts w:ascii="FrankRuehl" w:hAnsi="FrankRuehl" w:cs="FrankRuehl"/>
          <w:sz w:val="24"/>
          <w:szCs w:val="24"/>
          <w:rtl/>
        </w:rPr>
        <w:t xml:space="preserve"> דאי לא בעינן רק מילוי המעיים</w:t>
      </w:r>
      <w:r>
        <w:rPr>
          <w:rFonts w:ascii="FrankRuehl" w:hAnsi="FrankRuehl" w:cs="FrankRuehl" w:hint="cs"/>
          <w:sz w:val="24"/>
          <w:szCs w:val="24"/>
          <w:rtl/>
        </w:rPr>
        <w:t>, אם כן אפילו</w:t>
      </w:r>
      <w:r w:rsidRPr="00A53302">
        <w:rPr>
          <w:rFonts w:ascii="FrankRuehl" w:hAnsi="FrankRuehl" w:cs="FrankRuehl"/>
          <w:sz w:val="24"/>
          <w:szCs w:val="24"/>
          <w:rtl/>
        </w:rPr>
        <w:t xml:space="preserve"> אכל השיעור יותר מכ</w:t>
      </w:r>
      <w:r>
        <w:rPr>
          <w:rFonts w:ascii="FrankRuehl" w:hAnsi="FrankRuehl" w:cs="FrankRuehl" w:hint="cs"/>
          <w:sz w:val="24"/>
          <w:szCs w:val="24"/>
          <w:rtl/>
        </w:rPr>
        <w:t>די אכילת פרס הוי ליה לצרף כל זמן שלא נתעכל החצי שיעור</w:t>
      </w:r>
      <w:r w:rsidRPr="00A53302">
        <w:rPr>
          <w:rFonts w:ascii="FrankRuehl" w:hAnsi="FrankRuehl" w:cs="FrankRuehl"/>
          <w:sz w:val="24"/>
          <w:szCs w:val="24"/>
          <w:rtl/>
        </w:rPr>
        <w:t xml:space="preserve"> הראשון</w:t>
      </w:r>
      <w:r>
        <w:rPr>
          <w:rFonts w:ascii="FrankRuehl" w:hAnsi="FrankRuehl" w:cs="FrankRuehl" w:hint="cs"/>
          <w:sz w:val="24"/>
          <w:szCs w:val="24"/>
          <w:rtl/>
        </w:rPr>
        <w:t>,</w:t>
      </w:r>
      <w:r w:rsidRPr="00A53302">
        <w:rPr>
          <w:rFonts w:ascii="FrankRuehl" w:hAnsi="FrankRuehl" w:cs="FrankRuehl"/>
          <w:sz w:val="24"/>
          <w:szCs w:val="24"/>
          <w:rtl/>
        </w:rPr>
        <w:t xml:space="preserve"> כיון דבמעיים הם שיעור שלם</w:t>
      </w:r>
      <w:r>
        <w:rPr>
          <w:rFonts w:ascii="FrankRuehl" w:hAnsi="FrankRuehl" w:cs="FrankRuehl" w:hint="cs"/>
          <w:sz w:val="24"/>
          <w:szCs w:val="24"/>
          <w:rtl/>
        </w:rPr>
        <w:t>,</w:t>
      </w:r>
      <w:r>
        <w:rPr>
          <w:rFonts w:ascii="FrankRuehl" w:hAnsi="FrankRuehl" w:cs="FrankRuehl"/>
          <w:sz w:val="24"/>
          <w:szCs w:val="24"/>
          <w:rtl/>
        </w:rPr>
        <w:t xml:space="preserve"> ע"ש בסוגיא דחולין</w:t>
      </w:r>
      <w:r>
        <w:rPr>
          <w:rFonts w:ascii="FrankRuehl" w:hAnsi="FrankRuehl" w:cs="FrankRuehl" w:hint="cs"/>
          <w:sz w:val="24"/>
          <w:szCs w:val="24"/>
          <w:rtl/>
        </w:rPr>
        <w:t xml:space="preserve">... </w:t>
      </w:r>
      <w:r>
        <w:rPr>
          <w:rFonts w:ascii="FrankRuehl" w:hAnsi="FrankRuehl" w:cs="FrankRuehl"/>
          <w:sz w:val="24"/>
          <w:szCs w:val="24"/>
          <w:rtl/>
        </w:rPr>
        <w:t xml:space="preserve"> א</w:t>
      </w:r>
      <w:r>
        <w:rPr>
          <w:rFonts w:ascii="FrankRuehl" w:hAnsi="FrankRuehl" w:cs="FrankRuehl" w:hint="cs"/>
          <w:sz w:val="24"/>
          <w:szCs w:val="24"/>
          <w:rtl/>
        </w:rPr>
        <w:t>ם כן</w:t>
      </w:r>
      <w:r w:rsidRPr="00A53302">
        <w:rPr>
          <w:rFonts w:ascii="FrankRuehl" w:hAnsi="FrankRuehl" w:cs="FrankRuehl"/>
          <w:sz w:val="24"/>
          <w:szCs w:val="24"/>
          <w:rtl/>
        </w:rPr>
        <w:t xml:space="preserve"> בי</w:t>
      </w:r>
      <w:r>
        <w:rPr>
          <w:rFonts w:ascii="FrankRuehl" w:hAnsi="FrankRuehl" w:cs="FrankRuehl" w:hint="cs"/>
          <w:sz w:val="24"/>
          <w:szCs w:val="24"/>
          <w:rtl/>
        </w:rPr>
        <w:t>ו</w:t>
      </w:r>
      <w:r w:rsidRPr="00A53302">
        <w:rPr>
          <w:rFonts w:ascii="FrankRuehl" w:hAnsi="FrankRuehl" w:cs="FrankRuehl"/>
          <w:sz w:val="24"/>
          <w:szCs w:val="24"/>
          <w:rtl/>
        </w:rPr>
        <w:t>ה"כ דבעינן בתו</w:t>
      </w:r>
      <w:r>
        <w:rPr>
          <w:rFonts w:ascii="FrankRuehl" w:hAnsi="FrankRuehl" w:cs="FrankRuehl" w:hint="cs"/>
          <w:sz w:val="24"/>
          <w:szCs w:val="24"/>
          <w:rtl/>
        </w:rPr>
        <w:t>ך כדי אכילת פרס</w:t>
      </w:r>
      <w:r w:rsidRPr="00A53302">
        <w:rPr>
          <w:rFonts w:ascii="FrankRuehl" w:hAnsi="FrankRuehl" w:cs="FrankRuehl"/>
          <w:sz w:val="24"/>
          <w:szCs w:val="24"/>
          <w:rtl/>
        </w:rPr>
        <w:t xml:space="preserve"> וביותר אינו מצטרף</w:t>
      </w:r>
      <w:r>
        <w:rPr>
          <w:rFonts w:ascii="FrankRuehl" w:hAnsi="FrankRuehl" w:cs="FrankRuehl" w:hint="cs"/>
          <w:sz w:val="24"/>
          <w:szCs w:val="24"/>
          <w:rtl/>
        </w:rPr>
        <w:t xml:space="preserve">, על כרחך דבעינן הנאת גרון גם כן, </w:t>
      </w:r>
      <w:r w:rsidRPr="00A53302">
        <w:rPr>
          <w:rFonts w:ascii="FrankRuehl" w:hAnsi="FrankRuehl" w:cs="FrankRuehl"/>
          <w:sz w:val="24"/>
          <w:szCs w:val="24"/>
          <w:rtl/>
        </w:rPr>
        <w:t>ובהנאת גרון הל</w:t>
      </w:r>
      <w:r>
        <w:rPr>
          <w:rFonts w:ascii="FrankRuehl" w:hAnsi="FrankRuehl" w:cs="FrankRuehl" w:hint="cs"/>
          <w:sz w:val="24"/>
          <w:szCs w:val="24"/>
          <w:rtl/>
        </w:rPr>
        <w:t>כה למשה מסיני</w:t>
      </w:r>
      <w:r w:rsidRPr="00A53302">
        <w:rPr>
          <w:rFonts w:ascii="FrankRuehl" w:hAnsi="FrankRuehl" w:cs="FrankRuehl"/>
          <w:sz w:val="24"/>
          <w:szCs w:val="24"/>
          <w:rtl/>
        </w:rPr>
        <w:t xml:space="preserve"> ד</w:t>
      </w:r>
      <w:r>
        <w:rPr>
          <w:rFonts w:ascii="FrankRuehl" w:hAnsi="FrankRuehl" w:cs="FrankRuehl"/>
          <w:sz w:val="24"/>
          <w:szCs w:val="24"/>
          <w:rtl/>
        </w:rPr>
        <w:t>הגרון צריך להנות מהשיעור תוך א</w:t>
      </w:r>
      <w:r>
        <w:rPr>
          <w:rFonts w:ascii="FrankRuehl" w:hAnsi="FrankRuehl" w:cs="FrankRuehl" w:hint="cs"/>
          <w:sz w:val="24"/>
          <w:szCs w:val="24"/>
          <w:rtl/>
        </w:rPr>
        <w:t>כילת פרס</w:t>
      </w:r>
      <w:r w:rsidRPr="00A53302">
        <w:rPr>
          <w:rFonts w:ascii="FrankRuehl" w:hAnsi="FrankRuehl" w:cs="FrankRuehl"/>
          <w:sz w:val="24"/>
          <w:szCs w:val="24"/>
          <w:rtl/>
        </w:rPr>
        <w:t xml:space="preserve"> וביותר אין זה הנאה לחייב עליו</w:t>
      </w:r>
      <w:r>
        <w:rPr>
          <w:rFonts w:ascii="FrankRuehl" w:hAnsi="FrankRuehl" w:cs="FrankRuehl" w:hint="cs"/>
          <w:sz w:val="24"/>
          <w:szCs w:val="24"/>
          <w:rtl/>
        </w:rPr>
        <w:t>, אם כן</w:t>
      </w:r>
      <w:r w:rsidRPr="00A53302">
        <w:rPr>
          <w:rFonts w:ascii="FrankRuehl" w:hAnsi="FrankRuehl" w:cs="FrankRuehl"/>
          <w:sz w:val="24"/>
          <w:szCs w:val="24"/>
          <w:rtl/>
        </w:rPr>
        <w:t xml:space="preserve"> נראה ברור דהנאת מעיים לחוד ביוה"כ אינו חייב אלא עם הנאת גרון</w:t>
      </w:r>
      <w:r>
        <w:rPr>
          <w:rFonts w:ascii="FrankRuehl" w:hAnsi="FrankRuehl" w:cs="FrankRuehl" w:hint="cs"/>
          <w:sz w:val="24"/>
          <w:szCs w:val="24"/>
          <w:rtl/>
        </w:rPr>
        <w:t>,</w:t>
      </w:r>
      <w:r>
        <w:rPr>
          <w:rFonts w:ascii="FrankRuehl" w:hAnsi="FrankRuehl" w:cs="FrankRuehl"/>
          <w:sz w:val="24"/>
          <w:szCs w:val="24"/>
          <w:rtl/>
        </w:rPr>
        <w:t xml:space="preserve"> ע</w:t>
      </w:r>
      <w:r>
        <w:rPr>
          <w:rFonts w:ascii="FrankRuehl" w:hAnsi="FrankRuehl" w:cs="FrankRuehl" w:hint="cs"/>
          <w:sz w:val="24"/>
          <w:szCs w:val="24"/>
          <w:rtl/>
        </w:rPr>
        <w:t>ל כן</w:t>
      </w:r>
      <w:r>
        <w:rPr>
          <w:rFonts w:ascii="FrankRuehl" w:hAnsi="FrankRuehl" w:cs="FrankRuehl"/>
          <w:sz w:val="24"/>
          <w:szCs w:val="24"/>
          <w:rtl/>
        </w:rPr>
        <w:t xml:space="preserve"> אינו חייב אלא בתוך כ</w:t>
      </w:r>
      <w:r>
        <w:rPr>
          <w:rFonts w:ascii="FrankRuehl" w:hAnsi="FrankRuehl" w:cs="FrankRuehl" w:hint="cs"/>
          <w:sz w:val="24"/>
          <w:szCs w:val="24"/>
          <w:rtl/>
        </w:rPr>
        <w:t>די אכילת פרס</w:t>
      </w:r>
      <w:r w:rsidRPr="00A53302">
        <w:rPr>
          <w:rFonts w:ascii="FrankRuehl" w:hAnsi="FrankRuehl" w:cs="FrankRuehl"/>
          <w:sz w:val="24"/>
          <w:szCs w:val="24"/>
          <w:rtl/>
        </w:rPr>
        <w:t xml:space="preserve"> וביותר אינו מצטרף</w:t>
      </w:r>
      <w:r>
        <w:rPr>
          <w:rFonts w:ascii="FrankRuehl" w:hAnsi="FrankRuehl" w:cs="FrankRuehl" w:hint="cs"/>
          <w:sz w:val="24"/>
          <w:szCs w:val="24"/>
          <w:rtl/>
        </w:rPr>
        <w:t>.</w:t>
      </w:r>
      <w:r w:rsidRPr="00A53302">
        <w:rPr>
          <w:rFonts w:ascii="FrankRuehl" w:hAnsi="FrankRuehl" w:cs="FrankRuehl"/>
          <w:sz w:val="24"/>
          <w:szCs w:val="24"/>
          <w:rtl/>
        </w:rPr>
        <w:t xml:space="preserve"> כנלע"ד בעזה"י.</w:t>
      </w:r>
      <w:r>
        <w:rPr>
          <w:rFonts w:ascii="FrankRuehl" w:hAnsi="FrankRuehl" w:cs="FrankRuehl" w:hint="cs"/>
          <w:sz w:val="24"/>
          <w:szCs w:val="24"/>
          <w:rtl/>
        </w:rPr>
        <w:t>..</w:t>
      </w:r>
    </w:p>
    <w:p w:rsidR="0010620B" w:rsidRPr="00A53302" w:rsidRDefault="0010620B" w:rsidP="0010620B">
      <w:pPr>
        <w:spacing w:after="120" w:line="276" w:lineRule="exact"/>
        <w:rPr>
          <w:rFonts w:ascii="FrankRuehl" w:hAnsi="FrankRuehl" w:cs="FrankRuehl"/>
          <w:sz w:val="24"/>
          <w:szCs w:val="24"/>
          <w:rtl/>
        </w:rPr>
      </w:pPr>
      <w:r>
        <w:rPr>
          <w:rFonts w:ascii="FrankRuehl" w:hAnsi="FrankRuehl" w:cs="FrankRuehl"/>
          <w:sz w:val="24"/>
          <w:szCs w:val="24"/>
          <w:rtl/>
        </w:rPr>
        <w:t>והנה נראה ג</w:t>
      </w:r>
      <w:r>
        <w:rPr>
          <w:rFonts w:ascii="FrankRuehl" w:hAnsi="FrankRuehl" w:cs="FrankRuehl" w:hint="cs"/>
          <w:sz w:val="24"/>
          <w:szCs w:val="24"/>
          <w:rtl/>
        </w:rPr>
        <w:t>ם כן,</w:t>
      </w:r>
      <w:r w:rsidRPr="00A53302">
        <w:rPr>
          <w:rFonts w:ascii="FrankRuehl" w:hAnsi="FrankRuehl" w:cs="FrankRuehl"/>
          <w:sz w:val="24"/>
          <w:szCs w:val="24"/>
          <w:rtl/>
        </w:rPr>
        <w:t xml:space="preserve"> דעל הנאת גרון לחוד</w:t>
      </w:r>
      <w:r>
        <w:rPr>
          <w:rFonts w:ascii="FrankRuehl" w:hAnsi="FrankRuehl" w:cs="FrankRuehl" w:hint="cs"/>
          <w:sz w:val="24"/>
          <w:szCs w:val="24"/>
          <w:rtl/>
        </w:rPr>
        <w:t>,</w:t>
      </w:r>
      <w:r w:rsidRPr="00A53302">
        <w:rPr>
          <w:rFonts w:ascii="FrankRuehl" w:hAnsi="FrankRuehl" w:cs="FrankRuehl"/>
          <w:sz w:val="24"/>
          <w:szCs w:val="24"/>
          <w:rtl/>
        </w:rPr>
        <w:t xml:space="preserve"> כגון אכל והקיא וחזר ואכל</w:t>
      </w:r>
      <w:r>
        <w:rPr>
          <w:rFonts w:ascii="FrankRuehl" w:hAnsi="FrankRuehl" w:cs="FrankRuehl" w:hint="cs"/>
          <w:sz w:val="24"/>
          <w:szCs w:val="24"/>
          <w:rtl/>
        </w:rPr>
        <w:t>,</w:t>
      </w:r>
      <w:r>
        <w:rPr>
          <w:rFonts w:ascii="FrankRuehl" w:hAnsi="FrankRuehl" w:cs="FrankRuehl"/>
          <w:sz w:val="24"/>
          <w:szCs w:val="24"/>
          <w:rtl/>
        </w:rPr>
        <w:t xml:space="preserve"> אפי</w:t>
      </w:r>
      <w:r>
        <w:rPr>
          <w:rFonts w:ascii="FrankRuehl" w:hAnsi="FrankRuehl" w:cs="FrankRuehl" w:hint="cs"/>
          <w:sz w:val="24"/>
          <w:szCs w:val="24"/>
          <w:rtl/>
        </w:rPr>
        <w:t>לו</w:t>
      </w:r>
      <w:r w:rsidRPr="00A53302">
        <w:rPr>
          <w:rFonts w:ascii="FrankRuehl" w:hAnsi="FrankRuehl" w:cs="FrankRuehl"/>
          <w:sz w:val="24"/>
          <w:szCs w:val="24"/>
          <w:rtl/>
        </w:rPr>
        <w:t xml:space="preserve"> כ</w:t>
      </w:r>
      <w:r>
        <w:rPr>
          <w:rFonts w:ascii="FrankRuehl" w:hAnsi="FrankRuehl" w:cs="FrankRuehl" w:hint="cs"/>
          <w:sz w:val="24"/>
          <w:szCs w:val="24"/>
          <w:rtl/>
        </w:rPr>
        <w:t>ל היום</w:t>
      </w:r>
      <w:r w:rsidRPr="00A53302">
        <w:rPr>
          <w:rFonts w:ascii="FrankRuehl" w:hAnsi="FrankRuehl" w:cs="FrankRuehl"/>
          <w:sz w:val="24"/>
          <w:szCs w:val="24"/>
          <w:rtl/>
        </w:rPr>
        <w:t xml:space="preserve"> א</w:t>
      </w:r>
      <w:r>
        <w:rPr>
          <w:rFonts w:ascii="FrankRuehl" w:hAnsi="FrankRuehl" w:cs="FrankRuehl" w:hint="cs"/>
          <w:sz w:val="24"/>
          <w:szCs w:val="24"/>
          <w:rtl/>
        </w:rPr>
        <w:t>ינו חייב בברכת המזון,</w:t>
      </w:r>
      <w:r w:rsidRPr="00A53302">
        <w:rPr>
          <w:rFonts w:ascii="FrankRuehl" w:hAnsi="FrankRuehl" w:cs="FrankRuehl"/>
          <w:sz w:val="24"/>
          <w:szCs w:val="24"/>
          <w:rtl/>
        </w:rPr>
        <w:t xml:space="preserve"> כי מצד הסברא שביעה אינו שייך רק בהנאת מעיים</w:t>
      </w:r>
      <w:r>
        <w:rPr>
          <w:rFonts w:ascii="FrankRuehl" w:hAnsi="FrankRuehl" w:cs="FrankRuehl" w:hint="cs"/>
          <w:sz w:val="24"/>
          <w:szCs w:val="24"/>
          <w:rtl/>
        </w:rPr>
        <w:t>,</w:t>
      </w:r>
      <w:r>
        <w:rPr>
          <w:rFonts w:ascii="FrankRuehl" w:hAnsi="FrankRuehl" w:cs="FrankRuehl"/>
          <w:sz w:val="24"/>
          <w:szCs w:val="24"/>
          <w:rtl/>
        </w:rPr>
        <w:t xml:space="preserve"> היינו במילוי הכרס</w:t>
      </w:r>
      <w:r>
        <w:rPr>
          <w:rFonts w:ascii="FrankRuehl" w:hAnsi="FrankRuehl" w:cs="FrankRuehl" w:hint="cs"/>
          <w:sz w:val="24"/>
          <w:szCs w:val="24"/>
          <w:rtl/>
        </w:rPr>
        <w:t xml:space="preserve">. </w:t>
      </w:r>
      <w:r w:rsidRPr="00A53302">
        <w:rPr>
          <w:rFonts w:ascii="FrankRuehl" w:hAnsi="FrankRuehl" w:cs="FrankRuehl"/>
          <w:sz w:val="24"/>
          <w:szCs w:val="24"/>
          <w:rtl/>
        </w:rPr>
        <w:t>נהי דכתבתי לעיל דגם הנאת גרון בעינן</w:t>
      </w:r>
      <w:r>
        <w:rPr>
          <w:rFonts w:ascii="FrankRuehl" w:hAnsi="FrankRuehl" w:cs="FrankRuehl" w:hint="cs"/>
          <w:sz w:val="24"/>
          <w:szCs w:val="24"/>
          <w:rtl/>
        </w:rPr>
        <w:t>,</w:t>
      </w:r>
      <w:r w:rsidRPr="00A53302">
        <w:rPr>
          <w:rFonts w:ascii="FrankRuehl" w:hAnsi="FrankRuehl" w:cs="FrankRuehl"/>
          <w:sz w:val="24"/>
          <w:szCs w:val="24"/>
          <w:rtl/>
        </w:rPr>
        <w:t xml:space="preserve"> היינו דלא מהני מילוי הכרס לחוד בלא הנאת גרון</w:t>
      </w:r>
      <w:r>
        <w:rPr>
          <w:rFonts w:ascii="FrankRuehl" w:hAnsi="FrankRuehl" w:cs="FrankRuehl" w:hint="cs"/>
          <w:sz w:val="24"/>
          <w:szCs w:val="24"/>
          <w:rtl/>
        </w:rPr>
        <w:t>,</w:t>
      </w:r>
      <w:r w:rsidRPr="00A53302">
        <w:rPr>
          <w:rFonts w:ascii="FrankRuehl" w:hAnsi="FrankRuehl" w:cs="FrankRuehl"/>
          <w:sz w:val="24"/>
          <w:szCs w:val="24"/>
          <w:rtl/>
        </w:rPr>
        <w:t xml:space="preserve"> אבל הנאת גרון בלבד בודאי אינו שבע ו</w:t>
      </w:r>
      <w:r>
        <w:rPr>
          <w:rFonts w:ascii="FrankRuehl" w:hAnsi="FrankRuehl" w:cs="FrankRuehl"/>
          <w:sz w:val="24"/>
          <w:szCs w:val="24"/>
          <w:rtl/>
        </w:rPr>
        <w:t>אינו חייב בב</w:t>
      </w:r>
      <w:r>
        <w:rPr>
          <w:rFonts w:ascii="FrankRuehl" w:hAnsi="FrankRuehl" w:cs="FrankRuehl" w:hint="cs"/>
          <w:sz w:val="24"/>
          <w:szCs w:val="24"/>
          <w:rtl/>
        </w:rPr>
        <w:t>רכת המזון.</w:t>
      </w:r>
      <w:r>
        <w:rPr>
          <w:rFonts w:ascii="FrankRuehl" w:hAnsi="FrankRuehl" w:cs="FrankRuehl"/>
          <w:sz w:val="24"/>
          <w:szCs w:val="24"/>
          <w:rtl/>
        </w:rPr>
        <w:t xml:space="preserve"> וא</w:t>
      </w:r>
      <w:r>
        <w:rPr>
          <w:rFonts w:ascii="FrankRuehl" w:hAnsi="FrankRuehl" w:cs="FrankRuehl" w:hint="cs"/>
          <w:sz w:val="24"/>
          <w:szCs w:val="24"/>
          <w:rtl/>
        </w:rPr>
        <w:t>ם כן,</w:t>
      </w:r>
      <w:r w:rsidRPr="00A53302">
        <w:rPr>
          <w:rFonts w:ascii="FrankRuehl" w:hAnsi="FrankRuehl" w:cs="FrankRuehl"/>
          <w:sz w:val="24"/>
          <w:szCs w:val="24"/>
          <w:rtl/>
        </w:rPr>
        <w:t xml:space="preserve"> כיון דבש"ס מבואר דביתובי דעתא היא התחלת שביעה כמבואר השתא שבועי משבעא כו' אלא פחות מכביצה מייתבא דעתא וכביצה שבועי משבעא</w:t>
      </w:r>
      <w:r>
        <w:rPr>
          <w:rFonts w:ascii="FrankRuehl" w:hAnsi="FrankRuehl" w:cs="FrankRuehl" w:hint="cs"/>
          <w:sz w:val="24"/>
          <w:szCs w:val="24"/>
          <w:rtl/>
        </w:rPr>
        <w:t>, אם כן</w:t>
      </w:r>
      <w:r w:rsidRPr="00A53302">
        <w:rPr>
          <w:rFonts w:ascii="FrankRuehl" w:hAnsi="FrankRuehl" w:cs="FrankRuehl"/>
          <w:sz w:val="24"/>
          <w:szCs w:val="24"/>
          <w:rtl/>
        </w:rPr>
        <w:t xml:space="preserve"> דבהנאת גרון לחוד לא יוכל לבא לידי שביעה</w:t>
      </w:r>
      <w:r>
        <w:rPr>
          <w:rFonts w:ascii="FrankRuehl" w:hAnsi="FrankRuehl" w:cs="FrankRuehl" w:hint="cs"/>
          <w:sz w:val="24"/>
          <w:szCs w:val="24"/>
          <w:rtl/>
        </w:rPr>
        <w:t>, אם כן</w:t>
      </w:r>
      <w:r w:rsidRPr="00A53302">
        <w:rPr>
          <w:rFonts w:ascii="FrankRuehl" w:hAnsi="FrankRuehl" w:cs="FrankRuehl"/>
          <w:sz w:val="24"/>
          <w:szCs w:val="24"/>
          <w:rtl/>
        </w:rPr>
        <w:t xml:space="preserve"> נראה דגם לא מייתבא דעתא</w:t>
      </w:r>
      <w:r>
        <w:rPr>
          <w:rFonts w:ascii="FrankRuehl" w:hAnsi="FrankRuehl" w:cs="FrankRuehl" w:hint="cs"/>
          <w:sz w:val="24"/>
          <w:szCs w:val="24"/>
          <w:rtl/>
        </w:rPr>
        <w:t>,</w:t>
      </w:r>
      <w:r w:rsidRPr="00A53302">
        <w:rPr>
          <w:rFonts w:ascii="FrankRuehl" w:hAnsi="FrankRuehl" w:cs="FrankRuehl"/>
          <w:sz w:val="24"/>
          <w:szCs w:val="24"/>
          <w:rtl/>
        </w:rPr>
        <w:t xml:space="preserve"> ואם כן ביום הכפורים פטור על הנאת גרון לחוד</w:t>
      </w:r>
      <w:r>
        <w:rPr>
          <w:rFonts w:ascii="FrankRuehl" w:hAnsi="FrankRuehl" w:cs="FrankRuehl" w:hint="cs"/>
          <w:sz w:val="24"/>
          <w:szCs w:val="24"/>
          <w:rtl/>
        </w:rPr>
        <w:t>,</w:t>
      </w:r>
      <w:r w:rsidRPr="00A53302">
        <w:rPr>
          <w:rFonts w:ascii="FrankRuehl" w:hAnsi="FrankRuehl" w:cs="FrankRuehl"/>
          <w:sz w:val="24"/>
          <w:szCs w:val="24"/>
          <w:rtl/>
        </w:rPr>
        <w:t xml:space="preserve"> לא כמו בשאר איסורים</w:t>
      </w:r>
      <w:r>
        <w:rPr>
          <w:rFonts w:ascii="FrankRuehl" w:hAnsi="FrankRuehl" w:cs="FrankRuehl" w:hint="cs"/>
          <w:sz w:val="24"/>
          <w:szCs w:val="24"/>
          <w:rtl/>
        </w:rPr>
        <w:t>,</w:t>
      </w:r>
      <w:r w:rsidRPr="00A53302">
        <w:rPr>
          <w:rFonts w:ascii="FrankRuehl" w:hAnsi="FrankRuehl" w:cs="FrankRuehl"/>
          <w:sz w:val="24"/>
          <w:szCs w:val="24"/>
          <w:rtl/>
        </w:rPr>
        <w:t xml:space="preserve"> ששם התורה חייבה על אכילה והנאת גרון עיקר</w:t>
      </w:r>
      <w:r>
        <w:rPr>
          <w:rFonts w:ascii="FrankRuehl" w:hAnsi="FrankRuehl" w:cs="FrankRuehl" w:hint="cs"/>
          <w:sz w:val="24"/>
          <w:szCs w:val="24"/>
          <w:rtl/>
        </w:rPr>
        <w:t>,</w:t>
      </w:r>
      <w:r w:rsidRPr="00A53302">
        <w:rPr>
          <w:rFonts w:ascii="FrankRuehl" w:hAnsi="FrankRuehl" w:cs="FrankRuehl"/>
          <w:sz w:val="24"/>
          <w:szCs w:val="24"/>
          <w:rtl/>
        </w:rPr>
        <w:t xml:space="preserve"> אבל כאן כתיב </w:t>
      </w:r>
      <w:r>
        <w:rPr>
          <w:rFonts w:ascii="FrankRuehl" w:hAnsi="FrankRuehl" w:cs="FrankRuehl" w:hint="cs"/>
          <w:sz w:val="24"/>
          <w:szCs w:val="24"/>
          <w:rtl/>
        </w:rPr>
        <w:t>'</w:t>
      </w:r>
      <w:r w:rsidRPr="00A53302">
        <w:rPr>
          <w:rFonts w:ascii="FrankRuehl" w:hAnsi="FrankRuehl" w:cs="FrankRuehl"/>
          <w:sz w:val="24"/>
          <w:szCs w:val="24"/>
          <w:rtl/>
        </w:rPr>
        <w:t>לא תעונה</w:t>
      </w:r>
      <w:r>
        <w:rPr>
          <w:rFonts w:ascii="FrankRuehl" w:hAnsi="FrankRuehl" w:cs="FrankRuehl" w:hint="cs"/>
          <w:sz w:val="24"/>
          <w:szCs w:val="24"/>
          <w:rtl/>
        </w:rPr>
        <w:t>'</w:t>
      </w:r>
      <w:r w:rsidRPr="00A53302">
        <w:rPr>
          <w:rFonts w:ascii="FrankRuehl" w:hAnsi="FrankRuehl" w:cs="FrankRuehl"/>
          <w:sz w:val="24"/>
          <w:szCs w:val="24"/>
          <w:rtl/>
        </w:rPr>
        <w:t xml:space="preserve"> וביתובא דעתא תליא מלתא ובהנאת גרון לחוד לא מייתבא דעתא</w:t>
      </w:r>
      <w:r>
        <w:rPr>
          <w:rFonts w:ascii="FrankRuehl" w:hAnsi="FrankRuehl" w:cs="FrankRuehl" w:hint="cs"/>
          <w:sz w:val="24"/>
          <w:szCs w:val="24"/>
          <w:rtl/>
        </w:rPr>
        <w:t>.</w:t>
      </w:r>
      <w:r w:rsidRPr="00A53302">
        <w:rPr>
          <w:rFonts w:ascii="FrankRuehl" w:hAnsi="FrankRuehl" w:cs="FrankRuehl"/>
          <w:sz w:val="24"/>
          <w:szCs w:val="24"/>
          <w:rtl/>
        </w:rPr>
        <w:t xml:space="preserve"> כנלע"ד בעזה"י</w:t>
      </w:r>
      <w:r>
        <w:rPr>
          <w:rFonts w:ascii="FrankRuehl" w:hAnsi="FrankRuehl" w:cs="FrankRuehl" w:hint="cs"/>
          <w:sz w:val="24"/>
          <w:szCs w:val="24"/>
          <w:rtl/>
        </w:rPr>
        <w:t>,</w:t>
      </w:r>
      <w:r>
        <w:rPr>
          <w:rFonts w:ascii="FrankRuehl" w:hAnsi="FrankRuehl" w:cs="FrankRuehl"/>
          <w:sz w:val="24"/>
          <w:szCs w:val="24"/>
          <w:rtl/>
        </w:rPr>
        <w:t xml:space="preserve"> ומ</w:t>
      </w:r>
      <w:r>
        <w:rPr>
          <w:rFonts w:ascii="FrankRuehl" w:hAnsi="FrankRuehl" w:cs="FrankRuehl" w:hint="cs"/>
          <w:sz w:val="24"/>
          <w:szCs w:val="24"/>
          <w:rtl/>
        </w:rPr>
        <w:t>כל מקום</w:t>
      </w:r>
      <w:r w:rsidRPr="00A53302">
        <w:rPr>
          <w:rFonts w:ascii="FrankRuehl" w:hAnsi="FrankRuehl" w:cs="FrankRuehl"/>
          <w:sz w:val="24"/>
          <w:szCs w:val="24"/>
          <w:rtl/>
        </w:rPr>
        <w:t xml:space="preserve"> מסתפינא להקל</w:t>
      </w:r>
      <w:r>
        <w:rPr>
          <w:rFonts w:ascii="FrankRuehl" w:hAnsi="FrankRuehl" w:cs="FrankRuehl" w:hint="cs"/>
          <w:sz w:val="24"/>
          <w:szCs w:val="24"/>
          <w:rtl/>
        </w:rPr>
        <w:t>,</w:t>
      </w:r>
      <w:r w:rsidRPr="00A53302">
        <w:rPr>
          <w:rFonts w:ascii="FrankRuehl" w:hAnsi="FrankRuehl" w:cs="FrankRuehl"/>
          <w:sz w:val="24"/>
          <w:szCs w:val="24"/>
          <w:rtl/>
        </w:rPr>
        <w:t xml:space="preserve"> ולא מצאתי במפרשים שיתעוררו בזה.</w:t>
      </w:r>
    </w:p>
    <w:p w:rsidR="0010620B" w:rsidRDefault="0010620B" w:rsidP="0010620B">
      <w:pPr>
        <w:spacing w:after="120" w:line="276" w:lineRule="exact"/>
        <w:rPr>
          <w:rFonts w:ascii="FrankRuehl" w:hAnsi="FrankRuehl" w:cs="FrankRuehl"/>
          <w:sz w:val="24"/>
          <w:szCs w:val="24"/>
          <w:rtl/>
        </w:rPr>
      </w:pPr>
    </w:p>
    <w:p w:rsidR="0010620B" w:rsidRPr="009F34E8" w:rsidRDefault="0010620B" w:rsidP="0010620B">
      <w:pPr>
        <w:spacing w:after="120" w:line="276" w:lineRule="exact"/>
        <w:rPr>
          <w:rFonts w:ascii="FrankRuehl" w:hAnsi="FrankRuehl" w:cs="FrankRuehl"/>
          <w:sz w:val="24"/>
          <w:szCs w:val="24"/>
          <w:rtl/>
        </w:rPr>
      </w:pPr>
    </w:p>
    <w:p w:rsidR="0010620B" w:rsidRDefault="0010620B" w:rsidP="0010620B">
      <w:pPr>
        <w:spacing w:before="160" w:line="276" w:lineRule="auto"/>
        <w:ind w:firstLine="227"/>
        <w:rPr>
          <w:sz w:val="24"/>
          <w:szCs w:val="24"/>
          <w:rtl/>
        </w:rPr>
      </w:pPr>
      <w:r>
        <w:rPr>
          <w:rFonts w:hint="cs"/>
          <w:sz w:val="24"/>
          <w:szCs w:val="24"/>
          <w:rtl/>
        </w:rPr>
        <w:lastRenderedPageBreak/>
        <w:t>בשלהי פרשיית סדר העבודה נאמר:</w:t>
      </w:r>
    </w:p>
    <w:p w:rsidR="0010620B" w:rsidRPr="00C218BD" w:rsidRDefault="0010620B" w:rsidP="0010620B">
      <w:pPr>
        <w:spacing w:before="160" w:line="276" w:lineRule="auto"/>
        <w:ind w:left="720"/>
        <w:rPr>
          <w:sz w:val="20"/>
          <w:szCs w:val="20"/>
          <w:rtl/>
        </w:rPr>
      </w:pPr>
      <w:r w:rsidRPr="00C218BD">
        <w:rPr>
          <w:sz w:val="24"/>
          <w:szCs w:val="24"/>
          <w:rtl/>
        </w:rPr>
        <w:t>והיתה לכם לחקת עולם</w:t>
      </w:r>
      <w:r>
        <w:rPr>
          <w:rFonts w:hint="cs"/>
          <w:sz w:val="24"/>
          <w:szCs w:val="24"/>
          <w:rtl/>
        </w:rPr>
        <w:t>,</w:t>
      </w:r>
      <w:r w:rsidRPr="00C218BD">
        <w:rPr>
          <w:sz w:val="24"/>
          <w:szCs w:val="24"/>
          <w:rtl/>
        </w:rPr>
        <w:t xml:space="preserve"> בחדש השביעי בעשור לחדש תענו את נפשתיכם וכל מלאכה לא תעשו האזרח והגר הגר בתוכ</w:t>
      </w:r>
      <w:r>
        <w:rPr>
          <w:sz w:val="24"/>
          <w:szCs w:val="24"/>
          <w:rtl/>
        </w:rPr>
        <w:t>כם</w:t>
      </w:r>
      <w:r>
        <w:rPr>
          <w:rFonts w:hint="cs"/>
          <w:sz w:val="24"/>
          <w:szCs w:val="24"/>
          <w:rtl/>
        </w:rPr>
        <w:t>.</w:t>
      </w:r>
      <w:r w:rsidRPr="00C218BD">
        <w:rPr>
          <w:sz w:val="24"/>
          <w:szCs w:val="24"/>
          <w:rtl/>
        </w:rPr>
        <w:t xml:space="preserve"> כי ביום הזה יכפר עליכם לטהר אתכם</w:t>
      </w:r>
      <w:r>
        <w:rPr>
          <w:rFonts w:hint="cs"/>
          <w:sz w:val="24"/>
          <w:szCs w:val="24"/>
          <w:rtl/>
        </w:rPr>
        <w:t>,</w:t>
      </w:r>
      <w:r w:rsidRPr="00C218BD">
        <w:rPr>
          <w:sz w:val="24"/>
          <w:szCs w:val="24"/>
          <w:rtl/>
        </w:rPr>
        <w:t xml:space="preserve"> מכל חטאתיכם לפני ה' תטהרו</w:t>
      </w:r>
      <w:r w:rsidRPr="00C218BD">
        <w:rPr>
          <w:rFonts w:hint="cs"/>
          <w:sz w:val="24"/>
          <w:szCs w:val="24"/>
          <w:rtl/>
        </w:rPr>
        <w:t>.</w:t>
      </w:r>
      <w:r>
        <w:rPr>
          <w:rFonts w:hint="cs"/>
          <w:sz w:val="24"/>
          <w:szCs w:val="24"/>
          <w:rtl/>
        </w:rPr>
        <w:t xml:space="preserve"> </w:t>
      </w:r>
      <w:r w:rsidRPr="006B221F">
        <w:rPr>
          <w:sz w:val="24"/>
          <w:szCs w:val="24"/>
          <w:rtl/>
        </w:rPr>
        <w:t>שבת שבתון היא</w:t>
      </w:r>
      <w:r>
        <w:rPr>
          <w:sz w:val="24"/>
          <w:szCs w:val="24"/>
          <w:rtl/>
        </w:rPr>
        <w:t xml:space="preserve"> לכם ועניתם את נפשתיכם חקת עולם</w:t>
      </w:r>
      <w:r>
        <w:rPr>
          <w:rFonts w:hint="cs"/>
          <w:sz w:val="24"/>
          <w:szCs w:val="24"/>
          <w:rtl/>
        </w:rPr>
        <w:t xml:space="preserve">.   </w:t>
      </w:r>
      <w:r w:rsidRPr="00C218BD">
        <w:rPr>
          <w:rFonts w:hint="cs"/>
          <w:sz w:val="20"/>
          <w:szCs w:val="20"/>
          <w:rtl/>
        </w:rPr>
        <w:t>[ויקרא טז, כט-ל</w:t>
      </w:r>
      <w:r>
        <w:rPr>
          <w:rFonts w:hint="cs"/>
          <w:sz w:val="20"/>
          <w:szCs w:val="20"/>
          <w:rtl/>
        </w:rPr>
        <w:t>א</w:t>
      </w:r>
      <w:r w:rsidRPr="00C218BD">
        <w:rPr>
          <w:rFonts w:hint="cs"/>
          <w:sz w:val="20"/>
          <w:szCs w:val="20"/>
          <w:rtl/>
        </w:rPr>
        <w:t>]</w:t>
      </w:r>
    </w:p>
    <w:p w:rsidR="0010620B" w:rsidRDefault="0010620B" w:rsidP="0010620B">
      <w:pPr>
        <w:spacing w:before="160" w:line="276" w:lineRule="auto"/>
        <w:ind w:firstLine="227"/>
        <w:rPr>
          <w:sz w:val="24"/>
          <w:szCs w:val="24"/>
          <w:rtl/>
        </w:rPr>
      </w:pPr>
      <w:r>
        <w:rPr>
          <w:rFonts w:hint="cs"/>
          <w:sz w:val="24"/>
          <w:szCs w:val="24"/>
          <w:rtl/>
        </w:rPr>
        <w:t>בכתובים אלו מופיע ציווי להתענות ביום הכיפורים ולא לעשות בו מלאכה.</w:t>
      </w:r>
    </w:p>
    <w:p w:rsidR="0010620B" w:rsidRDefault="0010620B" w:rsidP="0010620B">
      <w:pPr>
        <w:spacing w:before="160" w:line="276" w:lineRule="auto"/>
        <w:ind w:firstLine="227"/>
        <w:rPr>
          <w:sz w:val="24"/>
          <w:szCs w:val="24"/>
          <w:rtl/>
        </w:rPr>
      </w:pPr>
      <w:r>
        <w:rPr>
          <w:rFonts w:hint="cs"/>
          <w:sz w:val="24"/>
          <w:szCs w:val="24"/>
          <w:rtl/>
        </w:rPr>
        <w:t>ציוויים אלו נזכרים בתורה פעמים נוספות, בפרשת אמור ובפרשת פינחס:</w:t>
      </w:r>
    </w:p>
    <w:p w:rsidR="0010620B" w:rsidRDefault="0010620B" w:rsidP="0010620B">
      <w:pPr>
        <w:spacing w:before="160" w:line="276" w:lineRule="auto"/>
        <w:ind w:left="720"/>
        <w:rPr>
          <w:sz w:val="24"/>
          <w:szCs w:val="24"/>
          <w:rtl/>
        </w:rPr>
      </w:pPr>
      <w:r w:rsidRPr="00C218BD">
        <w:rPr>
          <w:sz w:val="24"/>
          <w:szCs w:val="24"/>
          <w:rtl/>
        </w:rPr>
        <w:t>אך בעשור לחדש השביעי הזה יום הכפרים הוא מקרא קדש יהיה לכם ועני</w:t>
      </w:r>
      <w:r>
        <w:rPr>
          <w:sz w:val="24"/>
          <w:szCs w:val="24"/>
          <w:rtl/>
        </w:rPr>
        <w:t>תם את נפשתיכם</w:t>
      </w:r>
      <w:r>
        <w:rPr>
          <w:rFonts w:hint="cs"/>
          <w:sz w:val="24"/>
          <w:szCs w:val="24"/>
          <w:rtl/>
        </w:rPr>
        <w:t>,</w:t>
      </w:r>
      <w:r>
        <w:rPr>
          <w:sz w:val="24"/>
          <w:szCs w:val="24"/>
          <w:rtl/>
        </w:rPr>
        <w:t xml:space="preserve"> והקרבתם אשה לה'</w:t>
      </w:r>
      <w:r>
        <w:rPr>
          <w:rFonts w:hint="cs"/>
          <w:sz w:val="24"/>
          <w:szCs w:val="24"/>
          <w:rtl/>
        </w:rPr>
        <w:t>.</w:t>
      </w:r>
      <w:r w:rsidRPr="00C218BD">
        <w:rPr>
          <w:sz w:val="24"/>
          <w:szCs w:val="24"/>
          <w:rtl/>
        </w:rPr>
        <w:t xml:space="preserve"> וכל מלאכה לא תעשו בעצם היום הזה</w:t>
      </w:r>
      <w:r>
        <w:rPr>
          <w:rFonts w:hint="cs"/>
          <w:sz w:val="24"/>
          <w:szCs w:val="24"/>
          <w:rtl/>
        </w:rPr>
        <w:t>,</w:t>
      </w:r>
      <w:r w:rsidRPr="00C218BD">
        <w:rPr>
          <w:sz w:val="24"/>
          <w:szCs w:val="24"/>
          <w:rtl/>
        </w:rPr>
        <w:t xml:space="preserve"> כי יום כפרים הוא לכפר עליכם לפני ה' אלהיכם</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[ויקרא כג, כז-כט]</w:t>
      </w:r>
    </w:p>
    <w:p w:rsidR="0010620B" w:rsidRDefault="0010620B" w:rsidP="0010620B">
      <w:pPr>
        <w:spacing w:before="160" w:line="276" w:lineRule="auto"/>
        <w:ind w:left="720"/>
        <w:rPr>
          <w:sz w:val="24"/>
          <w:szCs w:val="24"/>
          <w:rtl/>
        </w:rPr>
      </w:pPr>
      <w:r w:rsidRPr="00C218BD">
        <w:rPr>
          <w:sz w:val="24"/>
          <w:szCs w:val="24"/>
          <w:rtl/>
        </w:rPr>
        <w:t>ובעשור לחדש השביעי הזה מקרא קדש יהיה לכם ועניתם את נפשתיכם</w:t>
      </w:r>
      <w:r>
        <w:rPr>
          <w:rFonts w:hint="cs"/>
          <w:sz w:val="24"/>
          <w:szCs w:val="24"/>
          <w:rtl/>
        </w:rPr>
        <w:t>,</w:t>
      </w:r>
      <w:r w:rsidRPr="00C218BD">
        <w:rPr>
          <w:sz w:val="24"/>
          <w:szCs w:val="24"/>
          <w:rtl/>
        </w:rPr>
        <w:t xml:space="preserve"> כל מלאכה לא תעשו</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[במדבר כט, ז]</w:t>
      </w:r>
    </w:p>
    <w:p w:rsidR="0010620B" w:rsidRDefault="0010620B" w:rsidP="0010620B">
      <w:pPr>
        <w:spacing w:before="160" w:line="276" w:lineRule="auto"/>
        <w:ind w:firstLine="227"/>
        <w:rPr>
          <w:sz w:val="24"/>
          <w:szCs w:val="24"/>
          <w:rtl/>
        </w:rPr>
      </w:pPr>
      <w:r>
        <w:rPr>
          <w:rFonts w:hint="cs"/>
          <w:sz w:val="24"/>
          <w:szCs w:val="24"/>
          <w:rtl/>
        </w:rPr>
        <w:t>בפרשת אמור מפורש גם העונש על ביטול העינוי ועל עשיית מלאכה:</w:t>
      </w:r>
    </w:p>
    <w:p w:rsidR="0010620B" w:rsidRPr="0089476D" w:rsidRDefault="0010620B" w:rsidP="0010620B">
      <w:pPr>
        <w:spacing w:before="160" w:line="276" w:lineRule="auto"/>
        <w:ind w:left="720"/>
        <w:rPr>
          <w:sz w:val="20"/>
          <w:szCs w:val="20"/>
          <w:rtl/>
        </w:rPr>
      </w:pPr>
      <w:r w:rsidRPr="0089476D">
        <w:rPr>
          <w:sz w:val="24"/>
          <w:szCs w:val="24"/>
          <w:rtl/>
        </w:rPr>
        <w:t xml:space="preserve">כי כל הנפש אשר לא </w:t>
      </w:r>
      <w:r>
        <w:rPr>
          <w:sz w:val="24"/>
          <w:szCs w:val="24"/>
          <w:rtl/>
        </w:rPr>
        <w:t>תענה בעצם היום הזה</w:t>
      </w:r>
      <w:r>
        <w:rPr>
          <w:rFonts w:hint="cs"/>
          <w:sz w:val="24"/>
          <w:szCs w:val="24"/>
          <w:rtl/>
        </w:rPr>
        <w:t>,</w:t>
      </w:r>
      <w:r>
        <w:rPr>
          <w:sz w:val="24"/>
          <w:szCs w:val="24"/>
          <w:rtl/>
        </w:rPr>
        <w:t xml:space="preserve"> ונכרתה מעמיה</w:t>
      </w:r>
      <w:r>
        <w:rPr>
          <w:rFonts w:hint="cs"/>
          <w:sz w:val="24"/>
          <w:szCs w:val="24"/>
          <w:rtl/>
        </w:rPr>
        <w:t>.</w:t>
      </w:r>
      <w:r w:rsidRPr="0089476D">
        <w:rPr>
          <w:sz w:val="24"/>
          <w:szCs w:val="24"/>
          <w:rtl/>
        </w:rPr>
        <w:t xml:space="preserve"> וכל הנפש אשר תעשה כל מלאכה בעצם היום הזה</w:t>
      </w:r>
      <w:r>
        <w:rPr>
          <w:rFonts w:hint="cs"/>
          <w:sz w:val="24"/>
          <w:szCs w:val="24"/>
          <w:rtl/>
        </w:rPr>
        <w:t>,</w:t>
      </w:r>
      <w:r w:rsidRPr="0089476D">
        <w:rPr>
          <w:sz w:val="24"/>
          <w:szCs w:val="24"/>
          <w:rtl/>
        </w:rPr>
        <w:t xml:space="preserve"> והאבדתי את הנפש ההוא מקרב עמה</w:t>
      </w:r>
      <w:r>
        <w:rPr>
          <w:rFonts w:hint="cs"/>
          <w:sz w:val="24"/>
          <w:szCs w:val="24"/>
          <w:rtl/>
        </w:rPr>
        <w:t>.</w:t>
      </w:r>
      <w:r>
        <w:rPr>
          <w:sz w:val="24"/>
          <w:szCs w:val="24"/>
          <w:rtl/>
        </w:rPr>
        <w:tab/>
      </w:r>
      <w:r>
        <w:rPr>
          <w:rFonts w:hint="cs"/>
          <w:sz w:val="24"/>
          <w:szCs w:val="24"/>
          <w:rtl/>
        </w:rPr>
        <w:t xml:space="preserve">        </w:t>
      </w:r>
      <w:r>
        <w:rPr>
          <w:rFonts w:hint="cs"/>
          <w:sz w:val="20"/>
          <w:szCs w:val="20"/>
          <w:rtl/>
        </w:rPr>
        <w:t xml:space="preserve">  [ויקרא כג, כט-ל]</w:t>
      </w:r>
    </w:p>
    <w:p w:rsidR="0010620B" w:rsidRDefault="0010620B" w:rsidP="0010620B">
      <w:pPr>
        <w:spacing w:before="160" w:line="276" w:lineRule="auto"/>
        <w:ind w:firstLine="227"/>
        <w:rPr>
          <w:sz w:val="24"/>
          <w:szCs w:val="24"/>
          <w:rtl/>
        </w:rPr>
      </w:pPr>
      <w:r>
        <w:rPr>
          <w:rFonts w:hint="cs"/>
          <w:sz w:val="24"/>
          <w:szCs w:val="24"/>
          <w:rtl/>
        </w:rPr>
        <w:t>בתורה לא מפורש מהו העינוי המדובר, וחז"ל מביאים ראיות שהעינוי הוא הימנעות מאכילה ושתייה:</w:t>
      </w:r>
    </w:p>
    <w:p w:rsidR="0010620B" w:rsidRDefault="0010620B" w:rsidP="0010620B">
      <w:pPr>
        <w:spacing w:before="160" w:line="276" w:lineRule="auto"/>
        <w:ind w:left="720"/>
        <w:rPr>
          <w:sz w:val="24"/>
          <w:szCs w:val="24"/>
          <w:rtl/>
        </w:rPr>
      </w:pPr>
      <w:r w:rsidRPr="0089476D">
        <w:rPr>
          <w:sz w:val="24"/>
          <w:szCs w:val="24"/>
          <w:rtl/>
        </w:rPr>
        <w:t xml:space="preserve">תענו את נפשתיכם </w:t>
      </w:r>
      <w:r>
        <w:rPr>
          <w:sz w:val="24"/>
          <w:szCs w:val="24"/>
          <w:rtl/>
        </w:rPr>
        <w:t>–</w:t>
      </w:r>
      <w:r>
        <w:rPr>
          <w:rFonts w:hint="cs"/>
          <w:sz w:val="24"/>
          <w:szCs w:val="24"/>
          <w:rtl/>
        </w:rPr>
        <w:t xml:space="preserve">  </w:t>
      </w:r>
      <w:r w:rsidRPr="0089476D">
        <w:rPr>
          <w:sz w:val="24"/>
          <w:szCs w:val="24"/>
          <w:rtl/>
        </w:rPr>
        <w:t>יכול ישב בחמה או בצנה כדי שיצטער</w:t>
      </w:r>
      <w:r>
        <w:rPr>
          <w:rFonts w:hint="cs"/>
          <w:sz w:val="24"/>
          <w:szCs w:val="24"/>
          <w:rtl/>
        </w:rPr>
        <w:t>?</w:t>
      </w:r>
      <w:r w:rsidRPr="0089476D">
        <w:rPr>
          <w:sz w:val="24"/>
          <w:szCs w:val="24"/>
          <w:rtl/>
        </w:rPr>
        <w:t xml:space="preserve"> תלמוד לומר </w:t>
      </w:r>
      <w:r>
        <w:rPr>
          <w:rFonts w:hint="cs"/>
          <w:sz w:val="24"/>
          <w:szCs w:val="24"/>
          <w:rtl/>
        </w:rPr>
        <w:t>'</w:t>
      </w:r>
      <w:r w:rsidRPr="0089476D">
        <w:rPr>
          <w:sz w:val="24"/>
          <w:szCs w:val="24"/>
          <w:rtl/>
        </w:rPr>
        <w:t>וכל מלאכה לא תעשו</w:t>
      </w:r>
      <w:r>
        <w:rPr>
          <w:rFonts w:hint="cs"/>
          <w:sz w:val="24"/>
          <w:szCs w:val="24"/>
          <w:rtl/>
        </w:rPr>
        <w:t xml:space="preserve">' </w:t>
      </w:r>
      <w:r>
        <w:rPr>
          <w:sz w:val="24"/>
          <w:szCs w:val="24"/>
          <w:rtl/>
        </w:rPr>
        <w:t>–</w:t>
      </w:r>
      <w:r w:rsidRPr="0089476D">
        <w:rPr>
          <w:sz w:val="24"/>
          <w:szCs w:val="24"/>
          <w:rtl/>
        </w:rPr>
        <w:t xml:space="preserve"> מה מלאכה שב ואל תעשה אף ענוי נפש שב ואל תעשה</w:t>
      </w:r>
      <w:r>
        <w:rPr>
          <w:rFonts w:hint="cs"/>
          <w:sz w:val="24"/>
          <w:szCs w:val="24"/>
          <w:rtl/>
        </w:rPr>
        <w:t>...</w:t>
      </w:r>
      <w:r w:rsidRPr="0089476D">
        <w:rPr>
          <w:sz w:val="24"/>
          <w:szCs w:val="24"/>
          <w:rtl/>
        </w:rPr>
        <w:t xml:space="preserve"> תניא אידך</w:t>
      </w:r>
      <w:r>
        <w:rPr>
          <w:rFonts w:hint="cs"/>
          <w:sz w:val="24"/>
          <w:szCs w:val="24"/>
          <w:rtl/>
        </w:rPr>
        <w:t>,</w:t>
      </w:r>
      <w:r w:rsidRPr="0089476D">
        <w:rPr>
          <w:sz w:val="24"/>
          <w:szCs w:val="24"/>
          <w:rtl/>
        </w:rPr>
        <w:t xml:space="preserve"> </w:t>
      </w:r>
      <w:r>
        <w:rPr>
          <w:rFonts w:hint="cs"/>
          <w:sz w:val="24"/>
          <w:szCs w:val="24"/>
          <w:rtl/>
        </w:rPr>
        <w:t>'</w:t>
      </w:r>
      <w:r w:rsidRPr="0089476D">
        <w:rPr>
          <w:sz w:val="24"/>
          <w:szCs w:val="24"/>
          <w:rtl/>
        </w:rPr>
        <w:t>תענו את נפשתיכם</w:t>
      </w:r>
      <w:r>
        <w:rPr>
          <w:rFonts w:hint="cs"/>
          <w:sz w:val="24"/>
          <w:szCs w:val="24"/>
          <w:rtl/>
        </w:rPr>
        <w:t xml:space="preserve">' </w:t>
      </w:r>
      <w:r>
        <w:rPr>
          <w:sz w:val="24"/>
          <w:szCs w:val="24"/>
          <w:rtl/>
        </w:rPr>
        <w:t>–</w:t>
      </w:r>
      <w:r w:rsidRPr="0089476D">
        <w:rPr>
          <w:sz w:val="24"/>
          <w:szCs w:val="24"/>
          <w:rtl/>
        </w:rPr>
        <w:t xml:space="preserve"> יכול ישב בחמה ובצנה ויצטער</w:t>
      </w:r>
      <w:r>
        <w:rPr>
          <w:rFonts w:hint="cs"/>
          <w:sz w:val="24"/>
          <w:szCs w:val="24"/>
          <w:rtl/>
        </w:rPr>
        <w:t>?</w:t>
      </w:r>
      <w:r w:rsidRPr="0089476D">
        <w:rPr>
          <w:sz w:val="24"/>
          <w:szCs w:val="24"/>
          <w:rtl/>
        </w:rPr>
        <w:t xml:space="preserve"> תלמוד לומר </w:t>
      </w:r>
      <w:r>
        <w:rPr>
          <w:rFonts w:hint="cs"/>
          <w:sz w:val="24"/>
          <w:szCs w:val="24"/>
          <w:rtl/>
        </w:rPr>
        <w:t>'</w:t>
      </w:r>
      <w:r w:rsidRPr="0089476D">
        <w:rPr>
          <w:sz w:val="24"/>
          <w:szCs w:val="24"/>
          <w:rtl/>
        </w:rPr>
        <w:t>וכל מלאכה לא תעשו</w:t>
      </w:r>
      <w:r>
        <w:rPr>
          <w:rFonts w:hint="cs"/>
          <w:sz w:val="24"/>
          <w:szCs w:val="24"/>
          <w:rtl/>
        </w:rPr>
        <w:t xml:space="preserve">' </w:t>
      </w:r>
      <w:r>
        <w:rPr>
          <w:sz w:val="24"/>
          <w:szCs w:val="24"/>
          <w:rtl/>
        </w:rPr>
        <w:t>–</w:t>
      </w:r>
      <w:r w:rsidRPr="0089476D">
        <w:rPr>
          <w:sz w:val="24"/>
          <w:szCs w:val="24"/>
          <w:rtl/>
        </w:rPr>
        <w:t xml:space="preserve"> מה מלאכה דבר שחייבין עליו במקום אחר</w:t>
      </w:r>
      <w:r>
        <w:rPr>
          <w:rFonts w:hint="cs"/>
          <w:sz w:val="24"/>
          <w:szCs w:val="24"/>
          <w:rtl/>
        </w:rPr>
        <w:t>,</w:t>
      </w:r>
      <w:r w:rsidRPr="0089476D">
        <w:rPr>
          <w:sz w:val="24"/>
          <w:szCs w:val="24"/>
          <w:rtl/>
        </w:rPr>
        <w:t xml:space="preserve"> אף ענוי נפש שחייבין עליו במקום אחר</w:t>
      </w:r>
      <w:r>
        <w:rPr>
          <w:rFonts w:hint="cs"/>
          <w:sz w:val="24"/>
          <w:szCs w:val="24"/>
          <w:rtl/>
        </w:rPr>
        <w:t>...</w:t>
      </w:r>
      <w:r w:rsidRPr="0089476D">
        <w:rPr>
          <w:sz w:val="24"/>
          <w:szCs w:val="24"/>
          <w:rtl/>
        </w:rPr>
        <w:t xml:space="preserve"> ואם נפשך לומר</w:t>
      </w:r>
      <w:r>
        <w:rPr>
          <w:rFonts w:hint="cs"/>
          <w:sz w:val="24"/>
          <w:szCs w:val="24"/>
          <w:rtl/>
        </w:rPr>
        <w:t>,</w:t>
      </w:r>
      <w:r w:rsidRPr="0089476D">
        <w:rPr>
          <w:sz w:val="24"/>
          <w:szCs w:val="24"/>
          <w:rtl/>
        </w:rPr>
        <w:t xml:space="preserve"> הרי הוא אומר </w:t>
      </w:r>
      <w:r>
        <w:rPr>
          <w:rFonts w:hint="cs"/>
          <w:sz w:val="24"/>
          <w:szCs w:val="24"/>
          <w:rtl/>
        </w:rPr>
        <w:t>'</w:t>
      </w:r>
      <w:r w:rsidRPr="0089476D">
        <w:rPr>
          <w:sz w:val="24"/>
          <w:szCs w:val="24"/>
          <w:rtl/>
        </w:rPr>
        <w:t>והאבדתי את הנפש ההיא</w:t>
      </w:r>
      <w:r>
        <w:rPr>
          <w:rFonts w:hint="cs"/>
          <w:sz w:val="24"/>
          <w:szCs w:val="24"/>
          <w:rtl/>
        </w:rPr>
        <w:t xml:space="preserve">' </w:t>
      </w:r>
      <w:r>
        <w:rPr>
          <w:sz w:val="24"/>
          <w:szCs w:val="24"/>
          <w:rtl/>
        </w:rPr>
        <w:t>–</w:t>
      </w:r>
      <w:r w:rsidRPr="0089476D">
        <w:rPr>
          <w:sz w:val="24"/>
          <w:szCs w:val="24"/>
          <w:rtl/>
        </w:rPr>
        <w:t xml:space="preserve"> ענוי שהוא אבידת הנפש</w:t>
      </w:r>
      <w:r>
        <w:rPr>
          <w:rFonts w:hint="cs"/>
          <w:sz w:val="24"/>
          <w:szCs w:val="24"/>
          <w:rtl/>
        </w:rPr>
        <w:t>,</w:t>
      </w:r>
      <w:r w:rsidRPr="0089476D">
        <w:rPr>
          <w:sz w:val="24"/>
          <w:szCs w:val="24"/>
          <w:rtl/>
        </w:rPr>
        <w:t xml:space="preserve"> ואיזה זה</w:t>
      </w:r>
      <w:r>
        <w:rPr>
          <w:rFonts w:hint="cs"/>
          <w:sz w:val="24"/>
          <w:szCs w:val="24"/>
          <w:rtl/>
        </w:rPr>
        <w:t>,</w:t>
      </w:r>
      <w:r w:rsidRPr="0089476D">
        <w:rPr>
          <w:sz w:val="24"/>
          <w:szCs w:val="24"/>
          <w:rtl/>
        </w:rPr>
        <w:t xml:space="preserve"> זה אכילה ושתיה</w:t>
      </w:r>
      <w:r>
        <w:rPr>
          <w:rFonts w:hint="cs"/>
          <w:sz w:val="24"/>
          <w:szCs w:val="24"/>
          <w:rtl/>
        </w:rPr>
        <w:t>...</w:t>
      </w:r>
      <w:r w:rsidRPr="0089476D">
        <w:rPr>
          <w:sz w:val="24"/>
          <w:szCs w:val="24"/>
          <w:rtl/>
        </w:rPr>
        <w:t xml:space="preserve"> דבי רבי ישמעאל תנא</w:t>
      </w:r>
      <w:r>
        <w:rPr>
          <w:rFonts w:hint="cs"/>
          <w:sz w:val="24"/>
          <w:szCs w:val="24"/>
          <w:rtl/>
        </w:rPr>
        <w:t>,</w:t>
      </w:r>
      <w:r w:rsidRPr="0089476D">
        <w:rPr>
          <w:sz w:val="24"/>
          <w:szCs w:val="24"/>
          <w:rtl/>
        </w:rPr>
        <w:t xml:space="preserve"> נאמר כאן ענוי ונאמר להלן ענוי</w:t>
      </w:r>
      <w:r>
        <w:rPr>
          <w:rFonts w:hint="cs"/>
          <w:sz w:val="24"/>
          <w:szCs w:val="24"/>
          <w:rtl/>
        </w:rPr>
        <w:t>,</w:t>
      </w:r>
      <w:r w:rsidRPr="0089476D">
        <w:rPr>
          <w:sz w:val="24"/>
          <w:szCs w:val="24"/>
          <w:rtl/>
        </w:rPr>
        <w:t xml:space="preserve"> מה להלן ענוי רעבון אף כאן ענוי רעבון</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עד:]</w:t>
      </w:r>
    </w:p>
    <w:p w:rsidR="0010620B" w:rsidRDefault="0010620B" w:rsidP="0010620B">
      <w:pPr>
        <w:spacing w:before="160" w:line="276" w:lineRule="auto"/>
        <w:ind w:firstLine="227"/>
        <w:rPr>
          <w:sz w:val="24"/>
          <w:szCs w:val="24"/>
          <w:rtl/>
        </w:rPr>
      </w:pPr>
      <w:r>
        <w:rPr>
          <w:rFonts w:hint="cs"/>
          <w:sz w:val="24"/>
          <w:szCs w:val="24"/>
          <w:rtl/>
        </w:rPr>
        <w:t>על פי זה, ניתן היה להבין כי ביום הכיפורים אסרה התורה את האכילה ואת השתייה, ובכך דומה האכילה והשתייה ביום הכיפורים לשאר איסורי האכילה</w:t>
      </w:r>
      <w:r>
        <w:rPr>
          <w:rStyle w:val="a7"/>
          <w:sz w:val="24"/>
          <w:szCs w:val="24"/>
          <w:rtl/>
        </w:rPr>
        <w:footnoteReference w:id="194"/>
      </w:r>
      <w:r>
        <w:rPr>
          <w:rFonts w:hint="cs"/>
          <w:sz w:val="24"/>
          <w:szCs w:val="24"/>
          <w:rtl/>
        </w:rPr>
        <w:t>. אמנם, מהמשנה עולה ששיעור אכילה ביום הכיפורים שונה משיעורי שאר איסורי האכילה:</w:t>
      </w:r>
    </w:p>
    <w:p w:rsidR="0010620B" w:rsidRPr="001A5945" w:rsidRDefault="0010620B" w:rsidP="0010620B">
      <w:pPr>
        <w:spacing w:before="160" w:line="276" w:lineRule="auto"/>
        <w:ind w:firstLine="720"/>
        <w:rPr>
          <w:sz w:val="20"/>
          <w:szCs w:val="20"/>
          <w:rtl/>
        </w:rPr>
      </w:pPr>
      <w:r w:rsidRPr="001A5945">
        <w:rPr>
          <w:sz w:val="24"/>
          <w:szCs w:val="24"/>
          <w:rtl/>
        </w:rPr>
        <w:t>האוכל ככותבת הגסה כמוה וכגרעינתה</w:t>
      </w:r>
      <w:r>
        <w:rPr>
          <w:rFonts w:hint="cs"/>
          <w:sz w:val="24"/>
          <w:szCs w:val="24"/>
          <w:rtl/>
        </w:rPr>
        <w:t>,</w:t>
      </w:r>
      <w:r w:rsidRPr="001A5945">
        <w:rPr>
          <w:sz w:val="24"/>
          <w:szCs w:val="24"/>
          <w:rtl/>
        </w:rPr>
        <w:t xml:space="preserve"> והשותה מלא לוגמיו </w:t>
      </w:r>
      <w:r>
        <w:rPr>
          <w:sz w:val="24"/>
          <w:szCs w:val="24"/>
          <w:rtl/>
        </w:rPr>
        <w:t>–</w:t>
      </w:r>
      <w:r>
        <w:rPr>
          <w:rFonts w:hint="cs"/>
          <w:sz w:val="24"/>
          <w:szCs w:val="24"/>
          <w:rtl/>
        </w:rPr>
        <w:t xml:space="preserve"> </w:t>
      </w:r>
      <w:r w:rsidRPr="001A5945">
        <w:rPr>
          <w:sz w:val="24"/>
          <w:szCs w:val="24"/>
          <w:rtl/>
        </w:rPr>
        <w:t>חייב</w:t>
      </w:r>
      <w:r>
        <w:rPr>
          <w:rFonts w:hint="cs"/>
          <w:sz w:val="24"/>
          <w:szCs w:val="24"/>
          <w:rtl/>
        </w:rPr>
        <w:t>.</w:t>
      </w:r>
      <w:r>
        <w:rPr>
          <w:rFonts w:hint="cs"/>
          <w:sz w:val="20"/>
          <w:szCs w:val="20"/>
          <w:rtl/>
        </w:rPr>
        <w:t xml:space="preserve">            [משנה יומא עג:]</w:t>
      </w:r>
    </w:p>
    <w:p w:rsidR="0010620B" w:rsidRDefault="0010620B" w:rsidP="0010620B">
      <w:pPr>
        <w:spacing w:before="160" w:line="276" w:lineRule="auto"/>
        <w:ind w:firstLine="227"/>
        <w:rPr>
          <w:sz w:val="24"/>
          <w:szCs w:val="24"/>
          <w:rtl/>
        </w:rPr>
      </w:pPr>
      <w:r>
        <w:rPr>
          <w:rFonts w:hint="cs"/>
          <w:sz w:val="24"/>
          <w:szCs w:val="24"/>
          <w:rtl/>
        </w:rPr>
        <w:t>מבואר במשנה, כי בעוד שיעור האכילה המקובל בדינים אחרים הוא 'כזית', ביום הכיפורים שיעור אכילה המחייב כרת הוא 'ככותבת'.</w:t>
      </w:r>
    </w:p>
    <w:p w:rsidR="0010620B" w:rsidRDefault="0010620B" w:rsidP="0010620B">
      <w:pPr>
        <w:spacing w:before="160" w:line="276" w:lineRule="auto"/>
        <w:ind w:firstLine="227"/>
        <w:rPr>
          <w:sz w:val="24"/>
          <w:szCs w:val="24"/>
          <w:rtl/>
        </w:rPr>
      </w:pPr>
      <w:r>
        <w:rPr>
          <w:rFonts w:hint="cs"/>
          <w:sz w:val="24"/>
          <w:szCs w:val="24"/>
          <w:rtl/>
        </w:rPr>
        <w:t>הגמרא מבארת מדוע החיוב ביום הכיפורים קיים רק באכילת 'ככותבת':</w:t>
      </w:r>
    </w:p>
    <w:p w:rsidR="0010620B" w:rsidRPr="007C2C64" w:rsidRDefault="0010620B" w:rsidP="0010620B">
      <w:pPr>
        <w:spacing w:before="160" w:line="276" w:lineRule="auto"/>
        <w:ind w:left="720"/>
        <w:rPr>
          <w:sz w:val="20"/>
          <w:szCs w:val="20"/>
          <w:rtl/>
        </w:rPr>
      </w:pPr>
      <w:r>
        <w:rPr>
          <w:sz w:val="24"/>
          <w:szCs w:val="24"/>
          <w:rtl/>
        </w:rPr>
        <w:t>אמר רבה</w:t>
      </w:r>
      <w:r w:rsidRPr="007C2C64">
        <w:rPr>
          <w:sz w:val="24"/>
          <w:szCs w:val="24"/>
          <w:rtl/>
        </w:rPr>
        <w:t xml:space="preserve"> אמר רב יהודה</w:t>
      </w:r>
      <w:r>
        <w:rPr>
          <w:rFonts w:hint="cs"/>
          <w:sz w:val="24"/>
          <w:szCs w:val="24"/>
          <w:rtl/>
        </w:rPr>
        <w:t>:</w:t>
      </w:r>
      <w:r w:rsidRPr="007C2C64">
        <w:rPr>
          <w:sz w:val="24"/>
          <w:szCs w:val="24"/>
          <w:rtl/>
        </w:rPr>
        <w:t xml:space="preserve"> כותבת הגסה שאמרו יתירה מכביצה</w:t>
      </w:r>
      <w:r>
        <w:rPr>
          <w:rFonts w:hint="cs"/>
          <w:sz w:val="24"/>
          <w:szCs w:val="24"/>
          <w:rtl/>
        </w:rPr>
        <w:t>,</w:t>
      </w:r>
      <w:r w:rsidRPr="007C2C64">
        <w:rPr>
          <w:sz w:val="24"/>
          <w:szCs w:val="24"/>
          <w:rtl/>
        </w:rPr>
        <w:t xml:space="preserve"> וקים להו לרבנן דבהכי מיתבא דעתיה בציר מהכי לא מיתבא דעתיה</w:t>
      </w:r>
      <w:r>
        <w:rPr>
          <w:rFonts w:hint="cs"/>
          <w:sz w:val="24"/>
          <w:szCs w:val="24"/>
          <w:rtl/>
        </w:rPr>
        <w:t>.</w:t>
      </w:r>
      <w:r>
        <w:rPr>
          <w:sz w:val="24"/>
          <w:szCs w:val="24"/>
          <w:rtl/>
        </w:rPr>
        <w:tab/>
      </w:r>
      <w:r>
        <w:rPr>
          <w:sz w:val="24"/>
          <w:szCs w:val="24"/>
          <w:rtl/>
        </w:rPr>
        <w:tab/>
      </w:r>
      <w:r>
        <w:rPr>
          <w:sz w:val="20"/>
          <w:szCs w:val="20"/>
          <w:rtl/>
        </w:rPr>
        <w:tab/>
      </w:r>
      <w:r>
        <w:rPr>
          <w:sz w:val="20"/>
          <w:szCs w:val="20"/>
          <w:rtl/>
        </w:rPr>
        <w:tab/>
      </w:r>
      <w:r>
        <w:rPr>
          <w:rFonts w:hint="cs"/>
          <w:sz w:val="20"/>
          <w:szCs w:val="20"/>
          <w:rtl/>
        </w:rPr>
        <w:t xml:space="preserve">      [יומא עט.]</w:t>
      </w:r>
    </w:p>
    <w:p w:rsidR="0010620B" w:rsidRPr="00D24AB3" w:rsidRDefault="0010620B" w:rsidP="0010620B">
      <w:pPr>
        <w:spacing w:before="160" w:line="276" w:lineRule="auto"/>
        <w:ind w:firstLine="227"/>
        <w:rPr>
          <w:sz w:val="24"/>
          <w:szCs w:val="24"/>
          <w:rtl/>
        </w:rPr>
      </w:pPr>
      <w:r>
        <w:rPr>
          <w:rFonts w:hint="cs"/>
          <w:sz w:val="24"/>
          <w:szCs w:val="24"/>
          <w:rtl/>
        </w:rPr>
        <w:t xml:space="preserve">לדברי הגמרא, אכילה בשיעור זה מיישבת דעתו של האדם, ולכן רק עליה יש חיוב כרת. בהמשך הסוגיה </w:t>
      </w:r>
      <w:r>
        <w:rPr>
          <w:rFonts w:hint="cs"/>
          <w:sz w:val="20"/>
          <w:szCs w:val="20"/>
          <w:rtl/>
        </w:rPr>
        <w:t>[פ.]</w:t>
      </w:r>
      <w:r>
        <w:rPr>
          <w:rFonts w:hint="cs"/>
          <w:sz w:val="24"/>
          <w:szCs w:val="24"/>
          <w:rtl/>
        </w:rPr>
        <w:t xml:space="preserve"> מבואר, שהמקור לשיעור 'ככותבת' באכילה ביום הכיפורים הוא מהכתוב "לא תעונה" </w:t>
      </w:r>
      <w:r>
        <w:rPr>
          <w:sz w:val="24"/>
          <w:szCs w:val="24"/>
          <w:rtl/>
        </w:rPr>
        <w:t>–</w:t>
      </w:r>
      <w:r>
        <w:rPr>
          <w:rFonts w:hint="cs"/>
          <w:sz w:val="24"/>
          <w:szCs w:val="24"/>
          <w:rtl/>
        </w:rPr>
        <w:t xml:space="preserve">  הואיל והתורה לא נקטה ביום הכיפורים לשון 'אכילה' אלא לשון 'עינוי', שיעור החיוב אינו שיעור האכילה הרגיל, אלא שיעור מיוחד </w:t>
      </w:r>
      <w:r>
        <w:rPr>
          <w:sz w:val="24"/>
          <w:szCs w:val="24"/>
          <w:rtl/>
        </w:rPr>
        <w:t>–</w:t>
      </w:r>
      <w:r>
        <w:rPr>
          <w:rFonts w:hint="cs"/>
          <w:sz w:val="24"/>
          <w:szCs w:val="24"/>
          <w:rtl/>
        </w:rPr>
        <w:t xml:space="preserve"> 'ככותבת', שזהו שיעור האכילה המיישב דעתו של האדם.</w:t>
      </w:r>
    </w:p>
    <w:p w:rsidR="0010620B" w:rsidRDefault="0010620B" w:rsidP="0010620B">
      <w:pPr>
        <w:spacing w:before="160" w:line="276" w:lineRule="auto"/>
        <w:ind w:firstLine="227"/>
        <w:rPr>
          <w:sz w:val="24"/>
          <w:szCs w:val="24"/>
          <w:rtl/>
        </w:rPr>
      </w:pPr>
      <w:r>
        <w:rPr>
          <w:rFonts w:hint="cs"/>
          <w:sz w:val="24"/>
          <w:szCs w:val="24"/>
          <w:rtl/>
        </w:rPr>
        <w:t xml:space="preserve">לאור דברי הגמרא, ניתן להבין כי איסור אכילה ביום הכיפורים שונה במהותו משאר איסורי התורה: ביום הכיפורים האיסור ביסודו אינו במעשה האכילה אלא בביטול העינוי, ולכן שיעורו </w:t>
      </w:r>
      <w:r>
        <w:rPr>
          <w:rFonts w:hint="cs"/>
          <w:sz w:val="24"/>
          <w:szCs w:val="24"/>
          <w:rtl/>
        </w:rPr>
        <w:lastRenderedPageBreak/>
        <w:t>שונה מאיסורי האכילה. עם זאת, הבנה זו אינה מוכרחת, שכן ניתן להבין שהכתוב "לא תעונה" רק לימד ששיעור החיוב ביום הכיפורים שונה משאר איסורי התורה, אך גם איסור זה הינו איסור אכילה, בדומה לשאר איסורי האכילה שבתורה.</w:t>
      </w:r>
    </w:p>
    <w:p w:rsidR="0010620B" w:rsidRDefault="0010620B" w:rsidP="0010620B">
      <w:pPr>
        <w:spacing w:before="160" w:line="276" w:lineRule="auto"/>
        <w:ind w:firstLine="227"/>
        <w:rPr>
          <w:sz w:val="24"/>
          <w:szCs w:val="24"/>
          <w:rtl/>
        </w:rPr>
      </w:pPr>
    </w:p>
    <w:p w:rsidR="0010620B" w:rsidRDefault="0010620B" w:rsidP="0010620B">
      <w:pPr>
        <w:spacing w:before="160" w:line="276" w:lineRule="auto"/>
        <w:ind w:firstLine="227"/>
        <w:rPr>
          <w:sz w:val="24"/>
          <w:szCs w:val="24"/>
          <w:rtl/>
        </w:rPr>
      </w:pPr>
      <w:r>
        <w:rPr>
          <w:rFonts w:hint="cs"/>
          <w:sz w:val="24"/>
          <w:szCs w:val="24"/>
          <w:rtl/>
        </w:rPr>
        <w:t>שתי הבנות אלו עומדות ביסוד מחלוקת הראשונים בביאור דברי הגמרא במסכת יבמות:</w:t>
      </w:r>
    </w:p>
    <w:p w:rsidR="0010620B" w:rsidRDefault="0010620B" w:rsidP="0010620B">
      <w:pPr>
        <w:spacing w:before="160" w:line="276" w:lineRule="auto"/>
        <w:ind w:left="720"/>
        <w:rPr>
          <w:sz w:val="24"/>
          <w:szCs w:val="24"/>
          <w:rtl/>
        </w:rPr>
      </w:pPr>
      <w:r w:rsidRPr="00BF5DFF">
        <w:rPr>
          <w:sz w:val="24"/>
          <w:szCs w:val="24"/>
          <w:rtl/>
        </w:rPr>
        <w:t>אכילה גסה מי שמה אכילה</w:t>
      </w:r>
      <w:r>
        <w:rPr>
          <w:rFonts w:hint="cs"/>
          <w:sz w:val="24"/>
          <w:szCs w:val="24"/>
          <w:rtl/>
        </w:rPr>
        <w:t>,</w:t>
      </w:r>
      <w:r>
        <w:rPr>
          <w:sz w:val="24"/>
          <w:szCs w:val="24"/>
          <w:rtl/>
        </w:rPr>
        <w:t xml:space="preserve"> והאמר ר</w:t>
      </w:r>
      <w:r>
        <w:rPr>
          <w:rFonts w:hint="cs"/>
          <w:sz w:val="24"/>
          <w:szCs w:val="24"/>
          <w:rtl/>
        </w:rPr>
        <w:t>יש לקיש:</w:t>
      </w:r>
      <w:r>
        <w:rPr>
          <w:sz w:val="24"/>
          <w:szCs w:val="24"/>
          <w:rtl/>
        </w:rPr>
        <w:t xml:space="preserve"> האוכל אכילה גסה ביו</w:t>
      </w:r>
      <w:r>
        <w:rPr>
          <w:rFonts w:hint="cs"/>
          <w:sz w:val="24"/>
          <w:szCs w:val="24"/>
          <w:rtl/>
        </w:rPr>
        <w:t>ם הכיפורים</w:t>
      </w:r>
      <w:r w:rsidRPr="00BF5DFF">
        <w:rPr>
          <w:sz w:val="24"/>
          <w:szCs w:val="24"/>
          <w:rtl/>
        </w:rPr>
        <w:t xml:space="preserve"> פטור מ</w:t>
      </w:r>
      <w:r>
        <w:rPr>
          <w:rFonts w:hint="cs"/>
          <w:sz w:val="24"/>
          <w:szCs w:val="24"/>
          <w:rtl/>
        </w:rPr>
        <w:t>'</w:t>
      </w:r>
      <w:r w:rsidRPr="00BF5DFF">
        <w:rPr>
          <w:sz w:val="24"/>
          <w:szCs w:val="24"/>
          <w:rtl/>
        </w:rPr>
        <w:t>לא תעונה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[יבמות מ.]</w:t>
      </w:r>
      <w:r w:rsidRPr="00BF5DFF">
        <w:rPr>
          <w:sz w:val="24"/>
          <w:szCs w:val="24"/>
          <w:rtl/>
        </w:rPr>
        <w:t xml:space="preserve"> </w:t>
      </w:r>
      <w:r>
        <w:rPr>
          <w:sz w:val="24"/>
          <w:szCs w:val="24"/>
          <w:rtl/>
        </w:rPr>
        <w:t xml:space="preserve"> </w:t>
      </w:r>
    </w:p>
    <w:p w:rsidR="0010620B" w:rsidRDefault="0010620B" w:rsidP="0010620B">
      <w:pPr>
        <w:spacing w:before="160" w:line="276" w:lineRule="auto"/>
        <w:ind w:firstLine="227"/>
        <w:rPr>
          <w:sz w:val="24"/>
          <w:szCs w:val="24"/>
          <w:rtl/>
        </w:rPr>
      </w:pPr>
      <w:r>
        <w:rPr>
          <w:rFonts w:hint="cs"/>
          <w:sz w:val="24"/>
          <w:szCs w:val="24"/>
          <w:rtl/>
        </w:rPr>
        <w:t xml:space="preserve">הגמרא מביאה את דברי ריש לקיש, שהאוכל אכילה גסה ביום הכיפורים פטור, ולומדת מהם שאכילה גסה אינה נחשבת לאכילה. </w:t>
      </w:r>
    </w:p>
    <w:p w:rsidR="0010620B" w:rsidRDefault="0010620B" w:rsidP="0010620B">
      <w:pPr>
        <w:spacing w:before="160" w:line="276" w:lineRule="auto"/>
        <w:ind w:firstLine="227"/>
        <w:rPr>
          <w:sz w:val="24"/>
          <w:szCs w:val="24"/>
          <w:rtl/>
        </w:rPr>
      </w:pPr>
      <w:r>
        <w:rPr>
          <w:rFonts w:hint="cs"/>
          <w:sz w:val="24"/>
          <w:szCs w:val="24"/>
          <w:rtl/>
        </w:rPr>
        <w:t xml:space="preserve">הריטב"א מקשה כיצד לומדת הגמרא מדברי ריש לקיש דין כללי לכל התורה: </w:t>
      </w:r>
    </w:p>
    <w:p w:rsidR="0010620B" w:rsidRDefault="0010620B" w:rsidP="0010620B">
      <w:pPr>
        <w:spacing w:before="160" w:line="276" w:lineRule="auto"/>
        <w:ind w:left="720"/>
        <w:rPr>
          <w:sz w:val="24"/>
          <w:szCs w:val="24"/>
          <w:rtl/>
        </w:rPr>
      </w:pPr>
      <w:r>
        <w:rPr>
          <w:rFonts w:hint="cs"/>
          <w:sz w:val="24"/>
          <w:szCs w:val="24"/>
          <w:rtl/>
        </w:rPr>
        <w:t>ואם תאמר,</w:t>
      </w:r>
      <w:r w:rsidRPr="00BF5DFF">
        <w:rPr>
          <w:sz w:val="24"/>
          <w:szCs w:val="24"/>
          <w:rtl/>
        </w:rPr>
        <w:t xml:space="preserve"> והא ביום הכיפורים לא כתיבא אכילה אלא עינוי</w:t>
      </w:r>
      <w:r>
        <w:rPr>
          <w:rFonts w:hint="cs"/>
          <w:sz w:val="24"/>
          <w:szCs w:val="24"/>
          <w:rtl/>
        </w:rPr>
        <w:t>,</w:t>
      </w:r>
      <w:r w:rsidRPr="00BF5DFF">
        <w:rPr>
          <w:sz w:val="24"/>
          <w:szCs w:val="24"/>
          <w:rtl/>
        </w:rPr>
        <w:t xml:space="preserve"> ודלמא משום הכי פטור דאכתי איכא עינוי</w:t>
      </w:r>
      <w:r>
        <w:rPr>
          <w:sz w:val="24"/>
          <w:szCs w:val="24"/>
          <w:rtl/>
        </w:rPr>
        <w:t xml:space="preserve"> ואף על גב דעבד אכילה</w:t>
      </w:r>
      <w:r>
        <w:rPr>
          <w:rFonts w:hint="cs"/>
          <w:sz w:val="24"/>
          <w:szCs w:val="24"/>
          <w:rtl/>
        </w:rPr>
        <w:t>.</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[ריטב"א שם, ד"ה והא]</w:t>
      </w:r>
    </w:p>
    <w:p w:rsidR="0010620B" w:rsidRDefault="0010620B" w:rsidP="0010620B">
      <w:pPr>
        <w:spacing w:before="160" w:line="276" w:lineRule="auto"/>
        <w:ind w:firstLine="227"/>
        <w:rPr>
          <w:sz w:val="24"/>
          <w:szCs w:val="24"/>
          <w:rtl/>
        </w:rPr>
      </w:pPr>
      <w:r>
        <w:rPr>
          <w:rFonts w:hint="cs"/>
          <w:sz w:val="24"/>
          <w:szCs w:val="24"/>
          <w:rtl/>
        </w:rPr>
        <w:t>לדברי הריטב"א, ניתן להבין שהפטור ביום הכיפורים הוא דין ייחודי, הואיל וזו אכילה שיש בה עינוי, ואין ללמוד ממנו שבכל התורה אכילה גסה אינה אכילה.</w:t>
      </w:r>
    </w:p>
    <w:p w:rsidR="0010620B" w:rsidRDefault="0010620B" w:rsidP="0010620B">
      <w:pPr>
        <w:spacing w:before="160" w:line="276" w:lineRule="auto"/>
        <w:ind w:firstLine="227"/>
        <w:rPr>
          <w:sz w:val="24"/>
          <w:szCs w:val="24"/>
          <w:rtl/>
        </w:rPr>
      </w:pPr>
      <w:r>
        <w:rPr>
          <w:rFonts w:hint="cs"/>
          <w:sz w:val="24"/>
          <w:szCs w:val="24"/>
          <w:rtl/>
        </w:rPr>
        <w:t>הריטב"א מתרץ:</w:t>
      </w:r>
    </w:p>
    <w:p w:rsidR="0010620B" w:rsidRPr="00BF5DFF" w:rsidRDefault="0010620B" w:rsidP="0010620B">
      <w:pPr>
        <w:spacing w:before="160" w:line="276" w:lineRule="auto"/>
        <w:ind w:left="720"/>
        <w:rPr>
          <w:sz w:val="20"/>
          <w:szCs w:val="20"/>
          <w:rtl/>
        </w:rPr>
      </w:pPr>
      <w:r>
        <w:rPr>
          <w:sz w:val="24"/>
          <w:szCs w:val="24"/>
          <w:rtl/>
        </w:rPr>
        <w:t>י</w:t>
      </w:r>
      <w:r>
        <w:rPr>
          <w:rFonts w:hint="cs"/>
          <w:sz w:val="24"/>
          <w:szCs w:val="24"/>
          <w:rtl/>
        </w:rPr>
        <w:t>ש לומר,</w:t>
      </w:r>
      <w:r>
        <w:rPr>
          <w:sz w:val="24"/>
          <w:szCs w:val="24"/>
          <w:rtl/>
        </w:rPr>
        <w:t xml:space="preserve"> דהא מוכחינן התם מקראי דעינוי</w:t>
      </w:r>
      <w:r w:rsidRPr="00BF5DFF">
        <w:rPr>
          <w:sz w:val="24"/>
          <w:szCs w:val="24"/>
          <w:rtl/>
        </w:rPr>
        <w:t xml:space="preserve"> דאכילה אקרי עינוי</w:t>
      </w:r>
      <w:r>
        <w:rPr>
          <w:rFonts w:hint="cs"/>
          <w:sz w:val="24"/>
          <w:szCs w:val="24"/>
          <w:rtl/>
        </w:rPr>
        <w:t>,</w:t>
      </w:r>
      <w:r w:rsidRPr="00BF5DFF">
        <w:rPr>
          <w:sz w:val="24"/>
          <w:szCs w:val="24"/>
          <w:rtl/>
        </w:rPr>
        <w:t xml:space="preserve"> והרי הוא כאילו אמר </w:t>
      </w:r>
      <w:r>
        <w:rPr>
          <w:rFonts w:hint="cs"/>
          <w:sz w:val="24"/>
          <w:szCs w:val="24"/>
          <w:rtl/>
        </w:rPr>
        <w:t>'</w:t>
      </w:r>
      <w:r w:rsidRPr="00BF5DFF">
        <w:rPr>
          <w:sz w:val="24"/>
          <w:szCs w:val="24"/>
          <w:rtl/>
        </w:rPr>
        <w:t>תענו את נפשותיכם מאכילה</w:t>
      </w:r>
      <w:r>
        <w:rPr>
          <w:rFonts w:hint="cs"/>
          <w:sz w:val="24"/>
          <w:szCs w:val="24"/>
          <w:rtl/>
        </w:rPr>
        <w:t>'</w:t>
      </w:r>
      <w:r w:rsidRPr="00BF5DFF">
        <w:rPr>
          <w:sz w:val="24"/>
          <w:szCs w:val="24"/>
          <w:rtl/>
        </w:rPr>
        <w:t>, אלא ששינה הכתוב במשמעו וכדי שלא יתחייב בכזית אלא בככותבת.</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[שם]</w:t>
      </w:r>
    </w:p>
    <w:p w:rsidR="0010620B" w:rsidRDefault="0010620B" w:rsidP="0010620B">
      <w:pPr>
        <w:spacing w:before="160" w:line="276" w:lineRule="auto"/>
        <w:ind w:firstLine="227"/>
        <w:rPr>
          <w:sz w:val="24"/>
          <w:szCs w:val="24"/>
          <w:rtl/>
        </w:rPr>
      </w:pPr>
      <w:r>
        <w:rPr>
          <w:rFonts w:hint="cs"/>
          <w:sz w:val="24"/>
          <w:szCs w:val="24"/>
          <w:rtl/>
        </w:rPr>
        <w:t>הריטב"א מתרץ, שההבדל בין יום הכיפורים לשאר איסורי האכילה הוא בשיעור החיוב בלבד. בשל כך, אם התורה פוטרת את האוכל אכילה גסה ביום הכיפורים, בהכרח הטעם לכך הוא שבכל התורה אכילה גסה אינה אכילה.</w:t>
      </w:r>
    </w:p>
    <w:p w:rsidR="0010620B" w:rsidRDefault="0010620B" w:rsidP="0010620B">
      <w:pPr>
        <w:spacing w:before="160" w:line="276" w:lineRule="auto"/>
        <w:ind w:firstLine="227"/>
        <w:rPr>
          <w:sz w:val="24"/>
          <w:szCs w:val="24"/>
          <w:rtl/>
        </w:rPr>
      </w:pPr>
      <w:r>
        <w:rPr>
          <w:rFonts w:hint="cs"/>
          <w:sz w:val="24"/>
          <w:szCs w:val="24"/>
          <w:rtl/>
        </w:rPr>
        <w:t>לרבי אברהם מן ההר שיטה שונה בביאור הסוגיה:</w:t>
      </w:r>
    </w:p>
    <w:p w:rsidR="0010620B" w:rsidRDefault="0010620B" w:rsidP="0010620B">
      <w:pPr>
        <w:spacing w:before="160" w:line="276" w:lineRule="auto"/>
        <w:ind w:left="720"/>
        <w:rPr>
          <w:sz w:val="24"/>
          <w:szCs w:val="24"/>
          <w:rtl/>
        </w:rPr>
      </w:pPr>
      <w:r>
        <w:rPr>
          <w:sz w:val="24"/>
          <w:szCs w:val="24"/>
          <w:rtl/>
        </w:rPr>
        <w:t>פטור –</w:t>
      </w:r>
      <w:r>
        <w:rPr>
          <w:rFonts w:hint="cs"/>
          <w:sz w:val="24"/>
          <w:szCs w:val="24"/>
          <w:rtl/>
        </w:rPr>
        <w:t xml:space="preserve"> </w:t>
      </w:r>
      <w:r w:rsidRPr="00651DF6">
        <w:rPr>
          <w:sz w:val="24"/>
          <w:szCs w:val="24"/>
          <w:rtl/>
        </w:rPr>
        <w:t>מלאו ד</w:t>
      </w:r>
      <w:r>
        <w:rPr>
          <w:rFonts w:hint="cs"/>
          <w:sz w:val="24"/>
          <w:szCs w:val="24"/>
          <w:rtl/>
        </w:rPr>
        <w:t>'</w:t>
      </w:r>
      <w:r w:rsidRPr="00651DF6">
        <w:rPr>
          <w:sz w:val="24"/>
          <w:szCs w:val="24"/>
          <w:rtl/>
        </w:rPr>
        <w:t>לא תעונה</w:t>
      </w:r>
      <w:r>
        <w:rPr>
          <w:rFonts w:hint="cs"/>
          <w:sz w:val="24"/>
          <w:szCs w:val="24"/>
          <w:rtl/>
        </w:rPr>
        <w:t>'</w:t>
      </w:r>
      <w:r w:rsidRPr="00651DF6">
        <w:rPr>
          <w:sz w:val="24"/>
          <w:szCs w:val="24"/>
          <w:rtl/>
        </w:rPr>
        <w:t>, שאף זה עינוי הוא, שמזיק את עצמו. וכיון דעינוי הוא לא מקיימא מצות אכילה</w:t>
      </w:r>
      <w:r>
        <w:rPr>
          <w:rFonts w:hint="cs"/>
          <w:sz w:val="24"/>
          <w:szCs w:val="24"/>
          <w:rtl/>
        </w:rPr>
        <w:t>...</w:t>
      </w:r>
      <w:r w:rsidRPr="00651DF6">
        <w:rPr>
          <w:sz w:val="24"/>
          <w:szCs w:val="24"/>
          <w:rtl/>
        </w:rPr>
        <w:t xml:space="preserve"> אבל אוכל איסורין אכילה גסה ודאי מחייב, דהאי דפטור ביום הכפורים משום דכתיב ביה </w:t>
      </w:r>
      <w:r>
        <w:rPr>
          <w:rFonts w:hint="cs"/>
          <w:sz w:val="24"/>
          <w:szCs w:val="24"/>
          <w:rtl/>
        </w:rPr>
        <w:t>'</w:t>
      </w:r>
      <w:r w:rsidRPr="00651DF6">
        <w:rPr>
          <w:sz w:val="24"/>
          <w:szCs w:val="24"/>
          <w:rtl/>
        </w:rPr>
        <w:t>לא תעונה</w:t>
      </w:r>
      <w:r>
        <w:rPr>
          <w:rFonts w:hint="cs"/>
          <w:sz w:val="24"/>
          <w:szCs w:val="24"/>
          <w:rtl/>
        </w:rPr>
        <w:t>'</w:t>
      </w:r>
      <w:r w:rsidRPr="00651DF6">
        <w:rPr>
          <w:sz w:val="24"/>
          <w:szCs w:val="24"/>
          <w:rtl/>
        </w:rPr>
        <w:t>, והרי הוא בקצת עינוי הואיל ומזיק את עצמו. אבל במאי שהזהירה תורה על אכילתם, ודאי בשום אכילה אמר רחמנא, וכבר אכלם ומחייב. אבל מה שצ</w:t>
      </w:r>
      <w:r>
        <w:rPr>
          <w:rFonts w:hint="cs"/>
          <w:sz w:val="24"/>
          <w:szCs w:val="24"/>
          <w:rtl/>
        </w:rPr>
        <w:t>יו</w:t>
      </w:r>
      <w:r w:rsidRPr="00651DF6">
        <w:rPr>
          <w:sz w:val="24"/>
          <w:szCs w:val="24"/>
          <w:rtl/>
        </w:rPr>
        <w:t>ותה באכי</w:t>
      </w:r>
      <w:r>
        <w:rPr>
          <w:sz w:val="24"/>
          <w:szCs w:val="24"/>
          <w:rtl/>
        </w:rPr>
        <w:t>לתם, ודאי בעיקר אכילה אמר רחמנא</w:t>
      </w:r>
      <w:r>
        <w:rPr>
          <w:rFonts w:hint="cs"/>
          <w:sz w:val="24"/>
          <w:szCs w:val="24"/>
          <w:rtl/>
        </w:rPr>
        <w:t>,</w:t>
      </w:r>
      <w:r w:rsidRPr="00651DF6">
        <w:rPr>
          <w:sz w:val="24"/>
          <w:szCs w:val="24"/>
          <w:rtl/>
        </w:rPr>
        <w:t xml:space="preserve"> לא קיים מצות אכילה אם אכלם אכילה גסה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[פירוש רבי אברהם מן ההר שם, ד"ה פטור]</w:t>
      </w:r>
    </w:p>
    <w:p w:rsidR="0010620B" w:rsidRDefault="0010620B" w:rsidP="0010620B">
      <w:pPr>
        <w:spacing w:before="160" w:line="276" w:lineRule="auto"/>
        <w:ind w:firstLine="227"/>
        <w:rPr>
          <w:sz w:val="24"/>
          <w:szCs w:val="24"/>
          <w:rtl/>
        </w:rPr>
      </w:pPr>
      <w:r>
        <w:rPr>
          <w:rFonts w:hint="cs"/>
          <w:sz w:val="24"/>
          <w:szCs w:val="24"/>
          <w:rtl/>
        </w:rPr>
        <w:t xml:space="preserve">רבי אברהם מן ההר טוען </w:t>
      </w:r>
      <w:r>
        <w:rPr>
          <w:sz w:val="24"/>
          <w:szCs w:val="24"/>
          <w:rtl/>
        </w:rPr>
        <w:t>–</w:t>
      </w:r>
      <w:r>
        <w:rPr>
          <w:rFonts w:hint="cs"/>
          <w:sz w:val="24"/>
          <w:szCs w:val="24"/>
          <w:rtl/>
        </w:rPr>
        <w:t xml:space="preserve"> בניגוד לפשט הסוגיה </w:t>
      </w:r>
      <w:r>
        <w:rPr>
          <w:sz w:val="24"/>
          <w:szCs w:val="24"/>
          <w:rtl/>
        </w:rPr>
        <w:t>–</w:t>
      </w:r>
      <w:r>
        <w:rPr>
          <w:rFonts w:hint="cs"/>
          <w:sz w:val="24"/>
          <w:szCs w:val="24"/>
          <w:rtl/>
        </w:rPr>
        <w:t xml:space="preserve"> כי הכלל שאכילה גסה אינה אכילה אינו מהווה כלל בכל דיני התורה. לדבריו, זהו דין ייחודי לאכילה ביום הכיפורים, הואיל וזו אכילה שיש בה עינוי, ולאכילה שיש בה מצוה. </w:t>
      </w:r>
    </w:p>
    <w:p w:rsidR="0010620B" w:rsidRDefault="0010620B" w:rsidP="0010620B">
      <w:pPr>
        <w:spacing w:before="160" w:line="276" w:lineRule="auto"/>
        <w:ind w:firstLine="227"/>
        <w:rPr>
          <w:sz w:val="24"/>
          <w:szCs w:val="24"/>
          <w:rtl/>
        </w:rPr>
      </w:pPr>
      <w:r>
        <w:rPr>
          <w:rFonts w:hint="cs"/>
          <w:sz w:val="24"/>
          <w:szCs w:val="24"/>
          <w:rtl/>
        </w:rPr>
        <w:t>דברי רבי אברהם מן ההר מבוססים על ההבנה כי קיים חילוק עקרוני בגדר האיסור בין יום הכיפורים לשאר איסורי האכילה: ביום הכיפורים האיסור אינו בעצם מעשה האכילה אלא בביטול העינוי, ולכן רק בו קיים פטור על אכילה גסה.</w:t>
      </w:r>
    </w:p>
    <w:p w:rsidR="0010620B" w:rsidRDefault="0010620B" w:rsidP="0010620B">
      <w:pPr>
        <w:spacing w:before="160" w:line="276" w:lineRule="auto"/>
        <w:ind w:firstLine="227"/>
        <w:rPr>
          <w:sz w:val="24"/>
          <w:szCs w:val="24"/>
          <w:rtl/>
        </w:rPr>
      </w:pPr>
    </w:p>
    <w:p w:rsidR="0010620B" w:rsidRDefault="0010620B" w:rsidP="0010620B">
      <w:pPr>
        <w:spacing w:before="160" w:line="276" w:lineRule="auto"/>
        <w:ind w:firstLine="227"/>
        <w:rPr>
          <w:sz w:val="24"/>
          <w:szCs w:val="24"/>
          <w:rtl/>
        </w:rPr>
      </w:pPr>
      <w:r>
        <w:rPr>
          <w:rFonts w:hint="cs"/>
          <w:sz w:val="24"/>
          <w:szCs w:val="24"/>
          <w:rtl/>
        </w:rPr>
        <w:t>שאלת היחס בין איסור האכילה ביום הכיפורים לשאר איסורי האכילה, עומדת ביסוד דיונים הלכתיים נוספים.</w:t>
      </w:r>
    </w:p>
    <w:p w:rsidR="0010620B" w:rsidRDefault="0010620B" w:rsidP="0010620B">
      <w:pPr>
        <w:spacing w:before="160" w:line="276" w:lineRule="auto"/>
        <w:ind w:firstLine="227"/>
        <w:rPr>
          <w:sz w:val="24"/>
          <w:szCs w:val="24"/>
          <w:rtl/>
        </w:rPr>
      </w:pPr>
      <w:r>
        <w:rPr>
          <w:rFonts w:hint="cs"/>
          <w:sz w:val="24"/>
          <w:szCs w:val="24"/>
          <w:rtl/>
        </w:rPr>
        <w:t>הגמרא כותבת בתחילת פרק 'יום הכיפורים':</w:t>
      </w:r>
    </w:p>
    <w:p w:rsidR="0010620B" w:rsidRPr="00054D42" w:rsidRDefault="0010620B" w:rsidP="0010620B">
      <w:pPr>
        <w:spacing w:before="160" w:line="276" w:lineRule="auto"/>
        <w:ind w:left="720"/>
        <w:rPr>
          <w:sz w:val="20"/>
          <w:szCs w:val="20"/>
          <w:rtl/>
        </w:rPr>
      </w:pPr>
      <w:r w:rsidRPr="00054D42">
        <w:rPr>
          <w:sz w:val="24"/>
          <w:szCs w:val="24"/>
          <w:rtl/>
        </w:rPr>
        <w:t>אסור</w:t>
      </w:r>
      <w:r>
        <w:rPr>
          <w:rFonts w:hint="cs"/>
          <w:sz w:val="24"/>
          <w:szCs w:val="24"/>
          <w:rtl/>
        </w:rPr>
        <w:t>,</w:t>
      </w:r>
      <w:r w:rsidRPr="00054D42">
        <w:rPr>
          <w:sz w:val="24"/>
          <w:szCs w:val="24"/>
          <w:rtl/>
        </w:rPr>
        <w:t xml:space="preserve"> ענוש כרת הוא</w:t>
      </w:r>
      <w:r>
        <w:rPr>
          <w:rFonts w:hint="cs"/>
          <w:sz w:val="24"/>
          <w:szCs w:val="24"/>
          <w:rtl/>
        </w:rPr>
        <w:t>?</w:t>
      </w:r>
      <w:r w:rsidRPr="00054D42">
        <w:rPr>
          <w:sz w:val="24"/>
          <w:szCs w:val="24"/>
          <w:rtl/>
        </w:rPr>
        <w:t xml:space="preserve"> אמר רבי אילא</w:t>
      </w:r>
      <w:r>
        <w:rPr>
          <w:rFonts w:hint="cs"/>
          <w:sz w:val="24"/>
          <w:szCs w:val="24"/>
          <w:rtl/>
        </w:rPr>
        <w:t>,</w:t>
      </w:r>
      <w:r w:rsidRPr="00054D42">
        <w:rPr>
          <w:sz w:val="24"/>
          <w:szCs w:val="24"/>
          <w:rtl/>
        </w:rPr>
        <w:t xml:space="preserve"> ואיתימא רבי ירמיה</w:t>
      </w:r>
      <w:r>
        <w:rPr>
          <w:rFonts w:hint="cs"/>
          <w:sz w:val="24"/>
          <w:szCs w:val="24"/>
          <w:rtl/>
        </w:rPr>
        <w:t>:</w:t>
      </w:r>
      <w:r w:rsidRPr="00054D42">
        <w:rPr>
          <w:sz w:val="24"/>
          <w:szCs w:val="24"/>
          <w:rtl/>
        </w:rPr>
        <w:t xml:space="preserve"> לא נצרכה אלא לחצי שיעור</w:t>
      </w:r>
      <w:r>
        <w:rPr>
          <w:rFonts w:hint="cs"/>
          <w:sz w:val="24"/>
          <w:szCs w:val="24"/>
          <w:rtl/>
        </w:rPr>
        <w:t>.</w:t>
      </w:r>
      <w:r w:rsidRPr="00054D42">
        <w:rPr>
          <w:sz w:val="24"/>
          <w:szCs w:val="24"/>
          <w:rtl/>
        </w:rPr>
        <w:t xml:space="preserve"> הניחא למאן דאמר חצי שיעור אסור מן התורה</w:t>
      </w:r>
      <w:r>
        <w:rPr>
          <w:rFonts w:hint="cs"/>
          <w:sz w:val="24"/>
          <w:szCs w:val="24"/>
          <w:rtl/>
        </w:rPr>
        <w:t>,</w:t>
      </w:r>
      <w:r w:rsidRPr="00054D42">
        <w:rPr>
          <w:sz w:val="24"/>
          <w:szCs w:val="24"/>
          <w:rtl/>
        </w:rPr>
        <w:t xml:space="preserve"> אלא למאן דאמר חצי שיעור מותר מן </w:t>
      </w:r>
      <w:r w:rsidRPr="00054D42">
        <w:rPr>
          <w:sz w:val="24"/>
          <w:szCs w:val="24"/>
          <w:rtl/>
        </w:rPr>
        <w:lastRenderedPageBreak/>
        <w:t>התורה מאי איכא למימר</w:t>
      </w:r>
      <w:r>
        <w:rPr>
          <w:rFonts w:hint="cs"/>
          <w:sz w:val="24"/>
          <w:szCs w:val="24"/>
          <w:rtl/>
        </w:rPr>
        <w:t>?</w:t>
      </w:r>
      <w:r w:rsidRPr="00054D42">
        <w:rPr>
          <w:sz w:val="24"/>
          <w:szCs w:val="24"/>
          <w:rtl/>
        </w:rPr>
        <w:t xml:space="preserve"> דאיתמר</w:t>
      </w:r>
      <w:r>
        <w:rPr>
          <w:rFonts w:hint="cs"/>
          <w:sz w:val="24"/>
          <w:szCs w:val="24"/>
          <w:rtl/>
        </w:rPr>
        <w:t>,</w:t>
      </w:r>
      <w:r w:rsidRPr="00054D42">
        <w:rPr>
          <w:sz w:val="24"/>
          <w:szCs w:val="24"/>
          <w:rtl/>
        </w:rPr>
        <w:t xml:space="preserve"> חצי שיעור</w:t>
      </w:r>
      <w:r>
        <w:rPr>
          <w:rFonts w:hint="cs"/>
          <w:sz w:val="24"/>
          <w:szCs w:val="24"/>
          <w:rtl/>
        </w:rPr>
        <w:t>,</w:t>
      </w:r>
      <w:r w:rsidRPr="00054D42">
        <w:rPr>
          <w:sz w:val="24"/>
          <w:szCs w:val="24"/>
          <w:rtl/>
        </w:rPr>
        <w:t xml:space="preserve"> רבי יוחנן אמר</w:t>
      </w:r>
      <w:r>
        <w:rPr>
          <w:rFonts w:hint="cs"/>
          <w:sz w:val="24"/>
          <w:szCs w:val="24"/>
          <w:rtl/>
        </w:rPr>
        <w:t>:</w:t>
      </w:r>
      <w:r w:rsidRPr="00054D42">
        <w:rPr>
          <w:sz w:val="24"/>
          <w:szCs w:val="24"/>
          <w:rtl/>
        </w:rPr>
        <w:t xml:space="preserve"> אסור מן התורה</w:t>
      </w:r>
      <w:r>
        <w:rPr>
          <w:rFonts w:hint="cs"/>
          <w:sz w:val="24"/>
          <w:szCs w:val="24"/>
          <w:rtl/>
        </w:rPr>
        <w:t>,</w:t>
      </w:r>
      <w:r w:rsidRPr="00054D42">
        <w:rPr>
          <w:sz w:val="24"/>
          <w:szCs w:val="24"/>
          <w:rtl/>
        </w:rPr>
        <w:t xml:space="preserve"> ריש לקיש אמר</w:t>
      </w:r>
      <w:r>
        <w:rPr>
          <w:rFonts w:hint="cs"/>
          <w:sz w:val="24"/>
          <w:szCs w:val="24"/>
          <w:rtl/>
        </w:rPr>
        <w:t>:</w:t>
      </w:r>
      <w:r w:rsidRPr="00054D42">
        <w:rPr>
          <w:sz w:val="24"/>
          <w:szCs w:val="24"/>
          <w:rtl/>
        </w:rPr>
        <w:t xml:space="preserve"> מותר מן התורה</w:t>
      </w:r>
      <w:r>
        <w:rPr>
          <w:rFonts w:hint="cs"/>
          <w:sz w:val="24"/>
          <w:szCs w:val="24"/>
          <w:rtl/>
        </w:rPr>
        <w:t>.</w:t>
      </w:r>
      <w:r w:rsidRPr="00054D42">
        <w:rPr>
          <w:sz w:val="24"/>
          <w:szCs w:val="24"/>
          <w:rtl/>
        </w:rPr>
        <w:t xml:space="preserve"> הניחא לרבי יוחנן</w:t>
      </w:r>
      <w:r>
        <w:rPr>
          <w:rFonts w:hint="cs"/>
          <w:sz w:val="24"/>
          <w:szCs w:val="24"/>
          <w:rtl/>
        </w:rPr>
        <w:t>,</w:t>
      </w:r>
      <w:r w:rsidRPr="00054D42">
        <w:rPr>
          <w:sz w:val="24"/>
          <w:szCs w:val="24"/>
          <w:rtl/>
        </w:rPr>
        <w:t xml:space="preserve"> אלא לריש לקיש מאי איכא למימר</w:t>
      </w:r>
      <w:r>
        <w:rPr>
          <w:rFonts w:hint="cs"/>
          <w:sz w:val="24"/>
          <w:szCs w:val="24"/>
          <w:rtl/>
        </w:rPr>
        <w:t>?</w:t>
      </w:r>
      <w:r w:rsidRPr="00054D42">
        <w:rPr>
          <w:sz w:val="24"/>
          <w:szCs w:val="24"/>
          <w:rtl/>
        </w:rPr>
        <w:t xml:space="preserve"> מודה ריש לקיש שאסור מדרבנן</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עג:]</w:t>
      </w:r>
    </w:p>
    <w:p w:rsidR="0010620B" w:rsidRDefault="0010620B" w:rsidP="0010620B">
      <w:pPr>
        <w:spacing w:before="160" w:line="276" w:lineRule="auto"/>
        <w:ind w:firstLine="227"/>
        <w:rPr>
          <w:sz w:val="24"/>
          <w:szCs w:val="24"/>
          <w:rtl/>
        </w:rPr>
      </w:pPr>
      <w:r>
        <w:rPr>
          <w:rFonts w:hint="cs"/>
          <w:sz w:val="24"/>
          <w:szCs w:val="24"/>
          <w:rtl/>
        </w:rPr>
        <w:t xml:space="preserve">הגמרא כותבת שלשון המשנה "יום הכיפורים אסור באכילה ובשתייה" מתייחס לאכילת חצי שיעור, שבה יש איסור אך אין חיוב כרת. הגמרא בדבריה משווה באופן מוחלט בדין 'חצי שיעור' בין יום הכיפורים לשאר איסורי התורה. </w:t>
      </w:r>
    </w:p>
    <w:p w:rsidR="0010620B" w:rsidRDefault="0010620B" w:rsidP="0010620B">
      <w:pPr>
        <w:spacing w:before="160" w:line="276" w:lineRule="auto"/>
        <w:ind w:firstLine="227"/>
        <w:rPr>
          <w:sz w:val="24"/>
          <w:szCs w:val="24"/>
          <w:rtl/>
        </w:rPr>
      </w:pPr>
      <w:r>
        <w:rPr>
          <w:rFonts w:hint="cs"/>
          <w:sz w:val="24"/>
          <w:szCs w:val="24"/>
          <w:rtl/>
        </w:rPr>
        <w:t>לעומת זאת, בירושלמי מופיעה הבחנה בין יום הכיפורים לשאר האיסורים בדין 'חצי שיעור':</w:t>
      </w:r>
    </w:p>
    <w:p w:rsidR="0010620B" w:rsidRPr="004E0DA9" w:rsidRDefault="0010620B" w:rsidP="0010620B">
      <w:pPr>
        <w:spacing w:before="160" w:line="276" w:lineRule="auto"/>
        <w:ind w:firstLine="720"/>
        <w:rPr>
          <w:sz w:val="20"/>
          <w:szCs w:val="20"/>
          <w:rtl/>
        </w:rPr>
      </w:pPr>
      <w:r>
        <w:rPr>
          <w:sz w:val="24"/>
          <w:szCs w:val="24"/>
          <w:rtl/>
        </w:rPr>
        <w:t>ומודה ר</w:t>
      </w:r>
      <w:r>
        <w:rPr>
          <w:rFonts w:hint="cs"/>
          <w:sz w:val="24"/>
          <w:szCs w:val="24"/>
          <w:rtl/>
        </w:rPr>
        <w:t>בי</w:t>
      </w:r>
      <w:r w:rsidRPr="004E0DA9">
        <w:rPr>
          <w:sz w:val="24"/>
          <w:szCs w:val="24"/>
          <w:rtl/>
        </w:rPr>
        <w:t xml:space="preserve"> שמעון בן לקיש ביום הכיפורים.</w:t>
      </w:r>
      <w:r>
        <w:rPr>
          <w:sz w:val="24"/>
          <w:szCs w:val="24"/>
          <w:rtl/>
        </w:rPr>
        <w:tab/>
      </w:r>
      <w:r>
        <w:rPr>
          <w:sz w:val="24"/>
          <w:szCs w:val="24"/>
          <w:rtl/>
        </w:rPr>
        <w:tab/>
      </w:r>
      <w:r>
        <w:rPr>
          <w:rFonts w:hint="cs"/>
          <w:sz w:val="24"/>
          <w:szCs w:val="24"/>
          <w:rtl/>
        </w:rPr>
        <w:t xml:space="preserve">          </w:t>
      </w:r>
      <w:r>
        <w:rPr>
          <w:rFonts w:hint="cs"/>
          <w:sz w:val="20"/>
          <w:szCs w:val="20"/>
          <w:rtl/>
        </w:rPr>
        <w:t>[ירושלמי תרומות פ"ו ה"א]</w:t>
      </w:r>
    </w:p>
    <w:p w:rsidR="0010620B" w:rsidRDefault="0010620B" w:rsidP="0010620B">
      <w:pPr>
        <w:spacing w:before="160" w:line="276" w:lineRule="auto"/>
        <w:ind w:firstLine="227"/>
        <w:rPr>
          <w:sz w:val="24"/>
          <w:szCs w:val="24"/>
          <w:rtl/>
        </w:rPr>
      </w:pPr>
      <w:r>
        <w:rPr>
          <w:rFonts w:hint="cs"/>
          <w:sz w:val="24"/>
          <w:szCs w:val="24"/>
          <w:rtl/>
        </w:rPr>
        <w:t>לדברי הירושלמי, ריש לקיש חולק על רבי יוחנן רק לגבי שאר איסורי התורה, אך הוא מודה לגבי יום הכיפורים שקיים איסור באכילת 'חצי שיעור'. הגר"א מבאר את טעם החילוק בין יום הכיפורים לשאר איסורי התורה:</w:t>
      </w:r>
    </w:p>
    <w:p w:rsidR="0010620B" w:rsidRPr="004E0DA9" w:rsidRDefault="0010620B" w:rsidP="0010620B">
      <w:pPr>
        <w:spacing w:before="160" w:line="276" w:lineRule="auto"/>
        <w:ind w:left="720"/>
        <w:rPr>
          <w:sz w:val="24"/>
          <w:szCs w:val="24"/>
          <w:rtl/>
        </w:rPr>
      </w:pPr>
      <w:r>
        <w:rPr>
          <w:sz w:val="24"/>
          <w:szCs w:val="24"/>
          <w:rtl/>
        </w:rPr>
        <w:t>מודה ר</w:t>
      </w:r>
      <w:r>
        <w:rPr>
          <w:rFonts w:hint="cs"/>
          <w:sz w:val="24"/>
          <w:szCs w:val="24"/>
          <w:rtl/>
        </w:rPr>
        <w:t>יש לקיש</w:t>
      </w:r>
      <w:r w:rsidRPr="004E0DA9">
        <w:rPr>
          <w:sz w:val="24"/>
          <w:szCs w:val="24"/>
          <w:rtl/>
        </w:rPr>
        <w:t xml:space="preserve"> דאף פחות מכשיעור אסור, דלא כתיב ביה אכילה אלא עינוי, ובפחות מכשיעור נמי מייתב דעתיה כל שהוא</w:t>
      </w:r>
      <w:r>
        <w:rPr>
          <w:rFonts w:hint="cs"/>
          <w:sz w:val="24"/>
          <w:szCs w:val="24"/>
          <w:rtl/>
        </w:rPr>
        <w:t>.</w:t>
      </w:r>
      <w:r>
        <w:rPr>
          <w:sz w:val="20"/>
          <w:szCs w:val="20"/>
          <w:rtl/>
        </w:rPr>
        <w:tab/>
      </w:r>
      <w:r>
        <w:rPr>
          <w:sz w:val="20"/>
          <w:szCs w:val="20"/>
          <w:rtl/>
        </w:rPr>
        <w:tab/>
      </w:r>
      <w:r>
        <w:rPr>
          <w:rFonts w:hint="cs"/>
          <w:sz w:val="20"/>
          <w:szCs w:val="20"/>
          <w:rtl/>
        </w:rPr>
        <w:t xml:space="preserve">   [ביאור הגר"א לירושלמי שם, ד"ה מודה ר"ל]</w:t>
      </w:r>
      <w:r>
        <w:rPr>
          <w:rStyle w:val="a7"/>
          <w:sz w:val="24"/>
          <w:szCs w:val="24"/>
          <w:rtl/>
        </w:rPr>
        <w:footnoteReference w:id="195"/>
      </w:r>
    </w:p>
    <w:p w:rsidR="0010620B" w:rsidRDefault="0010620B" w:rsidP="0010620B">
      <w:pPr>
        <w:spacing w:before="160" w:line="276" w:lineRule="auto"/>
        <w:ind w:firstLine="227"/>
        <w:rPr>
          <w:sz w:val="24"/>
          <w:szCs w:val="24"/>
          <w:rtl/>
        </w:rPr>
      </w:pPr>
      <w:r>
        <w:rPr>
          <w:rFonts w:hint="cs"/>
          <w:sz w:val="24"/>
          <w:szCs w:val="24"/>
          <w:rtl/>
        </w:rPr>
        <w:t>חילוק זה מבוסס על ההבנה שגדר האיסור ביום הכיפורים שונה במהותו מגדר איסורי האכילה שבכל התורה. לעומת זאת, מדברי הבבלי המשווה בין יום הכיפורים לשאר איסורי התורה, משתמע שגדר האיסור ביום הכיפורים הוא במעשה האכילה, בדומה לשאר איסורי התורה</w:t>
      </w:r>
      <w:r>
        <w:rPr>
          <w:rStyle w:val="a7"/>
          <w:sz w:val="24"/>
          <w:szCs w:val="24"/>
          <w:rtl/>
        </w:rPr>
        <w:footnoteReference w:id="196"/>
      </w:r>
      <w:r>
        <w:rPr>
          <w:rFonts w:hint="cs"/>
          <w:sz w:val="24"/>
          <w:szCs w:val="24"/>
          <w:rtl/>
        </w:rPr>
        <w:t>.</w:t>
      </w:r>
    </w:p>
    <w:p w:rsidR="0010620B" w:rsidRDefault="0010620B" w:rsidP="0010620B">
      <w:pPr>
        <w:spacing w:before="160" w:line="276" w:lineRule="auto"/>
        <w:ind w:firstLine="227"/>
        <w:rPr>
          <w:sz w:val="24"/>
          <w:szCs w:val="24"/>
          <w:rtl/>
        </w:rPr>
      </w:pPr>
    </w:p>
    <w:p w:rsidR="0010620B" w:rsidRDefault="0010620B" w:rsidP="0010620B">
      <w:pPr>
        <w:spacing w:before="160" w:line="276" w:lineRule="auto"/>
        <w:ind w:firstLine="227"/>
        <w:rPr>
          <w:sz w:val="24"/>
          <w:szCs w:val="24"/>
          <w:rtl/>
        </w:rPr>
      </w:pPr>
      <w:r>
        <w:rPr>
          <w:rFonts w:hint="cs"/>
          <w:sz w:val="24"/>
          <w:szCs w:val="24"/>
          <w:rtl/>
        </w:rPr>
        <w:t xml:space="preserve">הבנות אלו עומדות ביסוד דין 'אכילה שלא כדרך הנאתה' ביום הכיפורים. </w:t>
      </w:r>
    </w:p>
    <w:p w:rsidR="0010620B" w:rsidRDefault="0010620B" w:rsidP="0010620B">
      <w:pPr>
        <w:spacing w:before="160" w:line="276" w:lineRule="auto"/>
        <w:ind w:firstLine="227"/>
        <w:rPr>
          <w:sz w:val="24"/>
          <w:szCs w:val="24"/>
          <w:rtl/>
        </w:rPr>
      </w:pPr>
      <w:r>
        <w:rPr>
          <w:rFonts w:hint="cs"/>
          <w:sz w:val="24"/>
          <w:szCs w:val="24"/>
          <w:rtl/>
        </w:rPr>
        <w:t>הרמב"ם כותב בהלכות יסודי התורה:</w:t>
      </w:r>
    </w:p>
    <w:p w:rsidR="0010620B" w:rsidRPr="00A458FC" w:rsidRDefault="0010620B" w:rsidP="0010620B">
      <w:pPr>
        <w:spacing w:before="160" w:line="276" w:lineRule="auto"/>
        <w:ind w:left="720"/>
        <w:rPr>
          <w:sz w:val="20"/>
          <w:szCs w:val="20"/>
          <w:rtl/>
        </w:rPr>
      </w:pPr>
      <w:r w:rsidRPr="00A458FC">
        <w:rPr>
          <w:sz w:val="24"/>
          <w:szCs w:val="24"/>
          <w:rtl/>
        </w:rPr>
        <w:t>במה דברים אמורים שאין מתרפ</w:t>
      </w:r>
      <w:r>
        <w:rPr>
          <w:sz w:val="24"/>
          <w:szCs w:val="24"/>
          <w:rtl/>
        </w:rPr>
        <w:t>אין בשאר איסורים אלא במקום סכנה</w:t>
      </w:r>
      <w:r>
        <w:rPr>
          <w:rFonts w:hint="cs"/>
          <w:sz w:val="24"/>
          <w:szCs w:val="24"/>
          <w:rtl/>
        </w:rPr>
        <w:t>?</w:t>
      </w:r>
      <w:r>
        <w:rPr>
          <w:sz w:val="24"/>
          <w:szCs w:val="24"/>
          <w:rtl/>
        </w:rPr>
        <w:t xml:space="preserve"> בזמן שהן דרך הנאתן</w:t>
      </w:r>
      <w:r>
        <w:rPr>
          <w:rFonts w:hint="cs"/>
          <w:sz w:val="24"/>
          <w:szCs w:val="24"/>
          <w:rtl/>
        </w:rPr>
        <w:t xml:space="preserve">, </w:t>
      </w:r>
      <w:r w:rsidRPr="00A458FC">
        <w:rPr>
          <w:sz w:val="24"/>
          <w:szCs w:val="24"/>
          <w:rtl/>
        </w:rPr>
        <w:t xml:space="preserve">כגון שמאכילין את החולה שקצים ורמשים או </w:t>
      </w:r>
      <w:r>
        <w:rPr>
          <w:sz w:val="24"/>
          <w:szCs w:val="24"/>
          <w:rtl/>
        </w:rPr>
        <w:t xml:space="preserve">חמץ בפסח </w:t>
      </w:r>
      <w:r w:rsidRPr="00A458FC">
        <w:rPr>
          <w:b/>
          <w:bCs/>
          <w:sz w:val="24"/>
          <w:szCs w:val="24"/>
          <w:rtl/>
        </w:rPr>
        <w:t>או שמאכילין אותו ביו</w:t>
      </w:r>
      <w:r w:rsidRPr="00A458FC">
        <w:rPr>
          <w:rFonts w:hint="cs"/>
          <w:b/>
          <w:bCs/>
          <w:sz w:val="24"/>
          <w:szCs w:val="24"/>
          <w:rtl/>
        </w:rPr>
        <w:t>ם הכיפורים</w:t>
      </w:r>
      <w:r w:rsidRPr="00A458FC">
        <w:rPr>
          <w:sz w:val="24"/>
          <w:szCs w:val="24"/>
          <w:rtl/>
        </w:rPr>
        <w:t>, אבל שלא דרך הנאתן</w:t>
      </w:r>
      <w:r>
        <w:rPr>
          <w:rFonts w:hint="cs"/>
          <w:sz w:val="24"/>
          <w:szCs w:val="24"/>
          <w:rtl/>
        </w:rPr>
        <w:t>,</w:t>
      </w:r>
      <w:r w:rsidRPr="00A458FC">
        <w:rPr>
          <w:sz w:val="24"/>
          <w:szCs w:val="24"/>
          <w:rtl/>
        </w:rPr>
        <w:t xml:space="preserve"> כגון שעושין לו רטיה או מלוגמא מחמץ או מערלה, או שמשקין אותו דברים שיש בהן מר מעורב עם אסורי מאכל</w:t>
      </w:r>
      <w:r>
        <w:rPr>
          <w:rFonts w:hint="cs"/>
          <w:sz w:val="24"/>
          <w:szCs w:val="24"/>
          <w:rtl/>
        </w:rPr>
        <w:t>,</w:t>
      </w:r>
      <w:r w:rsidRPr="00A458FC">
        <w:rPr>
          <w:sz w:val="24"/>
          <w:szCs w:val="24"/>
          <w:rtl/>
        </w:rPr>
        <w:t xml:space="preserve"> שהרי אין בהן הנאה לחיך </w:t>
      </w:r>
      <w:r>
        <w:rPr>
          <w:sz w:val="24"/>
          <w:szCs w:val="24"/>
          <w:rtl/>
        </w:rPr>
        <w:t>–</w:t>
      </w:r>
      <w:r>
        <w:rPr>
          <w:rFonts w:hint="cs"/>
          <w:sz w:val="24"/>
          <w:szCs w:val="24"/>
          <w:rtl/>
        </w:rPr>
        <w:t xml:space="preserve"> </w:t>
      </w:r>
      <w:r w:rsidRPr="00A458FC">
        <w:rPr>
          <w:sz w:val="24"/>
          <w:szCs w:val="24"/>
          <w:rtl/>
        </w:rPr>
        <w:t>הרי זה מותר ואפילו שלא במקום סכנה</w:t>
      </w:r>
      <w:r>
        <w:rPr>
          <w:rFonts w:hint="cs"/>
          <w:sz w:val="24"/>
          <w:szCs w:val="24"/>
          <w:rtl/>
        </w:rPr>
        <w:t>.</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[הל' יסודי התורה פ"ה ה"ח]</w:t>
      </w:r>
    </w:p>
    <w:p w:rsidR="0010620B" w:rsidRDefault="0010620B" w:rsidP="0010620B">
      <w:pPr>
        <w:spacing w:before="160" w:line="276" w:lineRule="auto"/>
        <w:ind w:firstLine="227"/>
        <w:rPr>
          <w:sz w:val="24"/>
          <w:szCs w:val="24"/>
          <w:rtl/>
        </w:rPr>
      </w:pPr>
      <w:r>
        <w:rPr>
          <w:rFonts w:hint="cs"/>
          <w:sz w:val="24"/>
          <w:szCs w:val="24"/>
          <w:rtl/>
        </w:rPr>
        <w:t>הרמב"ם כותב שהאיסור להתרפא באיסורים קיים רק בדרך הנאתם. הרמב"ם כולל בין האיסורים את איסור האכילה ביום הכיפורים, ועולה מכך כי לשיטתו אין איסור תורה באכילה ביום הכיפורים שלא כדרך הנאתה.</w:t>
      </w:r>
    </w:p>
    <w:p w:rsidR="0010620B" w:rsidRDefault="0010620B" w:rsidP="0010620B">
      <w:pPr>
        <w:spacing w:before="160" w:line="276" w:lineRule="auto"/>
        <w:ind w:firstLine="227"/>
        <w:rPr>
          <w:sz w:val="24"/>
          <w:szCs w:val="24"/>
          <w:rtl/>
        </w:rPr>
      </w:pPr>
      <w:r>
        <w:rPr>
          <w:rFonts w:hint="cs"/>
          <w:sz w:val="24"/>
          <w:szCs w:val="24"/>
          <w:rtl/>
        </w:rPr>
        <w:t>לעומת דברי הרמב"ם, השאגת אריה נוקט כדבר פשוט שאכילה ביום הכיפורים אסורה גם שלא כדרך הנאתה:</w:t>
      </w:r>
    </w:p>
    <w:p w:rsidR="0010620B" w:rsidRDefault="0010620B" w:rsidP="0010620B">
      <w:pPr>
        <w:spacing w:before="160" w:line="276" w:lineRule="auto"/>
        <w:ind w:left="720"/>
        <w:rPr>
          <w:sz w:val="24"/>
          <w:szCs w:val="24"/>
          <w:rtl/>
        </w:rPr>
      </w:pPr>
      <w:r>
        <w:rPr>
          <w:sz w:val="24"/>
          <w:szCs w:val="24"/>
          <w:rtl/>
        </w:rPr>
        <w:t>והא וודאי גבי יו</w:t>
      </w:r>
      <w:r>
        <w:rPr>
          <w:rFonts w:hint="cs"/>
          <w:sz w:val="24"/>
          <w:szCs w:val="24"/>
          <w:rtl/>
        </w:rPr>
        <w:t>ם הכיפורים</w:t>
      </w:r>
      <w:r w:rsidRPr="003E57D3">
        <w:rPr>
          <w:sz w:val="24"/>
          <w:szCs w:val="24"/>
          <w:rtl/>
        </w:rPr>
        <w:t xml:space="preserve"> דלא כתיב ביה אכילה אלא </w:t>
      </w:r>
      <w:r>
        <w:rPr>
          <w:rFonts w:hint="cs"/>
          <w:sz w:val="24"/>
          <w:szCs w:val="24"/>
          <w:rtl/>
        </w:rPr>
        <w:t>'</w:t>
      </w:r>
      <w:r w:rsidRPr="003E57D3">
        <w:rPr>
          <w:sz w:val="24"/>
          <w:szCs w:val="24"/>
          <w:rtl/>
        </w:rPr>
        <w:t>כל הנפש אשר לא תעונה</w:t>
      </w:r>
      <w:r>
        <w:rPr>
          <w:rFonts w:hint="cs"/>
          <w:sz w:val="24"/>
          <w:szCs w:val="24"/>
          <w:rtl/>
        </w:rPr>
        <w:t>'</w:t>
      </w:r>
      <w:r>
        <w:rPr>
          <w:sz w:val="24"/>
          <w:szCs w:val="24"/>
          <w:rtl/>
        </w:rPr>
        <w:t>, אפי</w:t>
      </w:r>
      <w:r>
        <w:rPr>
          <w:rFonts w:hint="cs"/>
          <w:sz w:val="24"/>
          <w:szCs w:val="24"/>
          <w:rtl/>
        </w:rPr>
        <w:t>לו</w:t>
      </w:r>
      <w:r w:rsidRPr="003E57D3">
        <w:rPr>
          <w:sz w:val="24"/>
          <w:szCs w:val="24"/>
          <w:rtl/>
        </w:rPr>
        <w:t xml:space="preserve"> אם אכלן שלא כדרך אכילתן, כגון אוכל חלב חי כדאמרינן התם, וכל שכן בשר בהמה חי</w:t>
      </w:r>
      <w:r>
        <w:rPr>
          <w:rFonts w:hint="cs"/>
          <w:sz w:val="24"/>
          <w:szCs w:val="24"/>
          <w:rtl/>
        </w:rPr>
        <w:t>...</w:t>
      </w:r>
      <w:r w:rsidRPr="003E57D3">
        <w:rPr>
          <w:sz w:val="24"/>
          <w:szCs w:val="24"/>
          <w:rtl/>
        </w:rPr>
        <w:t xml:space="preserve"> אפילו הכי חייב משום </w:t>
      </w:r>
      <w:r>
        <w:rPr>
          <w:rFonts w:hint="cs"/>
          <w:sz w:val="24"/>
          <w:szCs w:val="24"/>
          <w:rtl/>
        </w:rPr>
        <w:t>'</w:t>
      </w:r>
      <w:r>
        <w:rPr>
          <w:sz w:val="24"/>
          <w:szCs w:val="24"/>
          <w:rtl/>
        </w:rPr>
        <w:t>לא תעונה</w:t>
      </w:r>
      <w:r>
        <w:rPr>
          <w:rFonts w:hint="cs"/>
          <w:sz w:val="24"/>
          <w:szCs w:val="24"/>
          <w:rtl/>
        </w:rPr>
        <w:t>' דיום הכיפורים</w:t>
      </w:r>
      <w:r w:rsidRPr="003E57D3">
        <w:rPr>
          <w:sz w:val="24"/>
          <w:szCs w:val="24"/>
          <w:rtl/>
        </w:rPr>
        <w:t>.</w:t>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[שאגת אריה סי' עו]</w:t>
      </w:r>
    </w:p>
    <w:p w:rsidR="0010620B" w:rsidRDefault="0010620B" w:rsidP="0010620B">
      <w:pPr>
        <w:spacing w:before="160" w:line="276" w:lineRule="auto"/>
        <w:ind w:firstLine="227"/>
        <w:rPr>
          <w:sz w:val="24"/>
          <w:szCs w:val="24"/>
          <w:rtl/>
        </w:rPr>
      </w:pPr>
      <w:r>
        <w:rPr>
          <w:rFonts w:hint="cs"/>
          <w:sz w:val="24"/>
          <w:szCs w:val="24"/>
          <w:rtl/>
        </w:rPr>
        <w:t>נראה כי גם דין זה תלוי בגדר איסור אכילה ביום הכיפורים. לפי הרמב"ם, איסור אכילה ביום הכיפורים זהה ביסודו לאיסור אכילה בכל התורה, ולכן גם בו קיים פטור באכילה שלא כדרך הנאתה. לעומת זאת, לפי השאגת אריה, איסור אכילה ביום הכיפורים ביסודו הוא על ביטול העינוי, ולכן האיסור קיים גם באכילה שלא כדרך הנאתה.</w:t>
      </w:r>
    </w:p>
    <w:p w:rsidR="0010620B" w:rsidRDefault="0010620B" w:rsidP="0010620B">
      <w:pPr>
        <w:spacing w:before="160" w:line="276" w:lineRule="auto"/>
        <w:ind w:firstLine="227"/>
        <w:rPr>
          <w:sz w:val="24"/>
          <w:szCs w:val="24"/>
          <w:rtl/>
        </w:rPr>
      </w:pPr>
    </w:p>
    <w:p w:rsidR="0010620B" w:rsidRDefault="0010620B" w:rsidP="0010620B">
      <w:pPr>
        <w:spacing w:before="160" w:line="276" w:lineRule="auto"/>
        <w:ind w:firstLine="227"/>
        <w:rPr>
          <w:sz w:val="24"/>
          <w:szCs w:val="24"/>
          <w:rtl/>
        </w:rPr>
      </w:pPr>
      <w:r>
        <w:rPr>
          <w:rFonts w:hint="cs"/>
          <w:sz w:val="24"/>
          <w:szCs w:val="24"/>
          <w:rtl/>
        </w:rPr>
        <w:t>ההבנות השונות לגדר הדין משליכות גם על דין אכילת דברים שאינם ראויים.</w:t>
      </w:r>
    </w:p>
    <w:p w:rsidR="0010620B" w:rsidRDefault="0010620B" w:rsidP="0010620B">
      <w:pPr>
        <w:spacing w:before="160" w:line="276" w:lineRule="auto"/>
        <w:ind w:firstLine="227"/>
        <w:rPr>
          <w:sz w:val="24"/>
          <w:szCs w:val="24"/>
          <w:rtl/>
        </w:rPr>
      </w:pPr>
      <w:r>
        <w:rPr>
          <w:rFonts w:hint="cs"/>
          <w:sz w:val="24"/>
          <w:szCs w:val="24"/>
          <w:rtl/>
        </w:rPr>
        <w:t>במשנה מפורש שאין חיוב על אכילת ושתיית דברים שאינם ראויים:</w:t>
      </w:r>
    </w:p>
    <w:p w:rsidR="0010620B" w:rsidRDefault="0010620B" w:rsidP="0010620B">
      <w:pPr>
        <w:spacing w:before="160" w:line="276" w:lineRule="auto"/>
        <w:ind w:left="720"/>
        <w:rPr>
          <w:sz w:val="24"/>
          <w:szCs w:val="24"/>
          <w:rtl/>
        </w:rPr>
      </w:pPr>
      <w:r w:rsidRPr="00E33BD3">
        <w:rPr>
          <w:sz w:val="24"/>
          <w:szCs w:val="24"/>
          <w:rtl/>
        </w:rPr>
        <w:t>אכל אוכלין שאינן ראויין לאכילה, ושתה משקין שאינן רא</w:t>
      </w:r>
      <w:r>
        <w:rPr>
          <w:sz w:val="24"/>
          <w:szCs w:val="24"/>
          <w:rtl/>
        </w:rPr>
        <w:t>ויין לשתייה, ושתה ציר או מוריי</w:t>
      </w:r>
      <w:r>
        <w:rPr>
          <w:rFonts w:hint="cs"/>
          <w:sz w:val="24"/>
          <w:szCs w:val="24"/>
          <w:rtl/>
        </w:rPr>
        <w:t xml:space="preserve">ס </w:t>
      </w:r>
      <w:r>
        <w:rPr>
          <w:sz w:val="24"/>
          <w:szCs w:val="24"/>
          <w:rtl/>
        </w:rPr>
        <w:t>–</w:t>
      </w:r>
      <w:r>
        <w:rPr>
          <w:rFonts w:hint="cs"/>
          <w:sz w:val="24"/>
          <w:szCs w:val="24"/>
          <w:rtl/>
        </w:rPr>
        <w:t xml:space="preserve"> </w:t>
      </w:r>
      <w:r w:rsidRPr="00E33BD3">
        <w:rPr>
          <w:sz w:val="24"/>
          <w:szCs w:val="24"/>
          <w:rtl/>
        </w:rPr>
        <w:t>פטור.</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[משנה פא.]</w:t>
      </w:r>
    </w:p>
    <w:p w:rsidR="0010620B" w:rsidRDefault="0010620B" w:rsidP="0010620B">
      <w:pPr>
        <w:spacing w:before="160" w:line="276" w:lineRule="auto"/>
        <w:ind w:firstLine="227"/>
        <w:rPr>
          <w:sz w:val="24"/>
          <w:szCs w:val="24"/>
          <w:rtl/>
        </w:rPr>
      </w:pPr>
      <w:r>
        <w:rPr>
          <w:rFonts w:hint="cs"/>
          <w:sz w:val="24"/>
          <w:szCs w:val="24"/>
          <w:rtl/>
        </w:rPr>
        <w:t>אמנם, רבנו ירוחם כותב:</w:t>
      </w:r>
    </w:p>
    <w:p w:rsidR="0010620B" w:rsidRDefault="0010620B" w:rsidP="0010620B">
      <w:pPr>
        <w:spacing w:before="160" w:line="276" w:lineRule="auto"/>
        <w:ind w:firstLine="720"/>
        <w:rPr>
          <w:sz w:val="20"/>
          <w:szCs w:val="20"/>
          <w:rtl/>
        </w:rPr>
      </w:pPr>
      <w:r w:rsidRPr="00EA016C">
        <w:rPr>
          <w:sz w:val="24"/>
          <w:szCs w:val="24"/>
          <w:rtl/>
        </w:rPr>
        <w:t>וכל הפטורים שכתבתי</w:t>
      </w:r>
      <w:r>
        <w:rPr>
          <w:rFonts w:hint="cs"/>
          <w:sz w:val="24"/>
          <w:szCs w:val="24"/>
          <w:rtl/>
        </w:rPr>
        <w:t>,</w:t>
      </w:r>
      <w:r w:rsidRPr="00EA016C">
        <w:rPr>
          <w:sz w:val="24"/>
          <w:szCs w:val="24"/>
          <w:rtl/>
        </w:rPr>
        <w:t xml:space="preserve"> בין באכילה בין בשתייה</w:t>
      </w:r>
      <w:r>
        <w:rPr>
          <w:rFonts w:hint="cs"/>
          <w:sz w:val="24"/>
          <w:szCs w:val="24"/>
          <w:rtl/>
        </w:rPr>
        <w:t>,</w:t>
      </w:r>
      <w:r w:rsidRPr="00EA016C">
        <w:rPr>
          <w:sz w:val="24"/>
          <w:szCs w:val="24"/>
          <w:rtl/>
        </w:rPr>
        <w:t xml:space="preserve"> דוקא מעט אבל הרבה לא</w:t>
      </w:r>
      <w:r>
        <w:rPr>
          <w:rFonts w:hint="cs"/>
          <w:sz w:val="24"/>
          <w:szCs w:val="24"/>
          <w:rtl/>
        </w:rPr>
        <w:t xml:space="preserve">. </w:t>
      </w:r>
    </w:p>
    <w:p w:rsidR="0010620B" w:rsidRPr="00EA016C" w:rsidRDefault="0010620B" w:rsidP="0010620B">
      <w:pPr>
        <w:spacing w:before="160" w:line="276" w:lineRule="auto"/>
        <w:ind w:firstLine="720"/>
        <w:jc w:val="right"/>
        <w:rPr>
          <w:sz w:val="24"/>
          <w:szCs w:val="24"/>
          <w:rtl/>
        </w:rPr>
      </w:pPr>
      <w:r w:rsidRPr="00EA016C">
        <w:rPr>
          <w:rFonts w:hint="cs"/>
          <w:sz w:val="20"/>
          <w:szCs w:val="20"/>
          <w:rtl/>
        </w:rPr>
        <w:t>[</w:t>
      </w:r>
      <w:r w:rsidRPr="00EA016C">
        <w:rPr>
          <w:sz w:val="20"/>
          <w:szCs w:val="20"/>
          <w:rtl/>
        </w:rPr>
        <w:t>תולדות אדם וחוה נתיב ז חלק ב</w:t>
      </w:r>
      <w:r w:rsidRPr="00EA016C">
        <w:rPr>
          <w:rFonts w:hint="cs"/>
          <w:sz w:val="20"/>
          <w:szCs w:val="20"/>
          <w:rtl/>
        </w:rPr>
        <w:t>]</w:t>
      </w:r>
    </w:p>
    <w:p w:rsidR="0010620B" w:rsidRDefault="0010620B" w:rsidP="0010620B">
      <w:pPr>
        <w:spacing w:before="160" w:line="276" w:lineRule="auto"/>
        <w:ind w:firstLine="227"/>
        <w:rPr>
          <w:sz w:val="24"/>
          <w:szCs w:val="24"/>
          <w:rtl/>
        </w:rPr>
      </w:pPr>
      <w:r>
        <w:rPr>
          <w:rFonts w:hint="cs"/>
          <w:sz w:val="24"/>
          <w:szCs w:val="24"/>
          <w:rtl/>
        </w:rPr>
        <w:t>לדבריו, האוכל או שותה הרבה דברים שאינם ראויים חייב</w:t>
      </w:r>
      <w:r>
        <w:rPr>
          <w:rStyle w:val="a7"/>
          <w:sz w:val="24"/>
          <w:szCs w:val="24"/>
          <w:rtl/>
        </w:rPr>
        <w:footnoteReference w:id="197"/>
      </w:r>
      <w:r>
        <w:rPr>
          <w:rFonts w:hint="cs"/>
          <w:sz w:val="24"/>
          <w:szCs w:val="24"/>
          <w:rtl/>
        </w:rPr>
        <w:t>.</w:t>
      </w:r>
    </w:p>
    <w:p w:rsidR="0010620B" w:rsidRDefault="0010620B" w:rsidP="0010620B">
      <w:pPr>
        <w:spacing w:before="160" w:line="276" w:lineRule="auto"/>
        <w:ind w:firstLine="227"/>
        <w:rPr>
          <w:sz w:val="24"/>
          <w:szCs w:val="24"/>
          <w:rtl/>
        </w:rPr>
      </w:pPr>
      <w:r>
        <w:rPr>
          <w:rFonts w:hint="cs"/>
          <w:sz w:val="24"/>
          <w:szCs w:val="24"/>
          <w:rtl/>
        </w:rPr>
        <w:t>הגר"א מכריע כדברי רבנו ירוחם:</w:t>
      </w:r>
    </w:p>
    <w:p w:rsidR="0010620B" w:rsidRDefault="0010620B" w:rsidP="0010620B">
      <w:pPr>
        <w:spacing w:before="160" w:line="276" w:lineRule="auto"/>
        <w:ind w:firstLine="720"/>
        <w:rPr>
          <w:sz w:val="24"/>
          <w:szCs w:val="24"/>
          <w:rtl/>
        </w:rPr>
      </w:pPr>
      <w:r w:rsidRPr="00EA016C">
        <w:rPr>
          <w:sz w:val="24"/>
          <w:szCs w:val="24"/>
          <w:rtl/>
        </w:rPr>
        <w:t xml:space="preserve">ודברי רבנו ירוחם עיקר, שכששותה הרבה שובר רעבונו והתורה אמרה אשר </w:t>
      </w:r>
      <w:r>
        <w:rPr>
          <w:rFonts w:hint="cs"/>
          <w:sz w:val="24"/>
          <w:szCs w:val="24"/>
          <w:rtl/>
        </w:rPr>
        <w:t>'</w:t>
      </w:r>
      <w:r w:rsidRPr="00EA016C">
        <w:rPr>
          <w:sz w:val="24"/>
          <w:szCs w:val="24"/>
          <w:rtl/>
        </w:rPr>
        <w:t>לא תעונה</w:t>
      </w:r>
      <w:r>
        <w:rPr>
          <w:rFonts w:hint="cs"/>
          <w:sz w:val="24"/>
          <w:szCs w:val="24"/>
          <w:rtl/>
        </w:rPr>
        <w:t>'</w:t>
      </w:r>
      <w:r w:rsidRPr="00EA016C">
        <w:rPr>
          <w:sz w:val="24"/>
          <w:szCs w:val="24"/>
          <w:rtl/>
        </w:rPr>
        <w:t>.</w:t>
      </w:r>
    </w:p>
    <w:p w:rsidR="0010620B" w:rsidRPr="00EA016C" w:rsidRDefault="0010620B" w:rsidP="0010620B">
      <w:pPr>
        <w:spacing w:before="160" w:line="276" w:lineRule="auto"/>
        <w:ind w:firstLine="720"/>
        <w:jc w:val="right"/>
        <w:rPr>
          <w:sz w:val="20"/>
          <w:szCs w:val="20"/>
          <w:rtl/>
        </w:rPr>
      </w:pPr>
      <w:r>
        <w:rPr>
          <w:rFonts w:hint="cs"/>
          <w:sz w:val="20"/>
          <w:szCs w:val="20"/>
          <w:rtl/>
        </w:rPr>
        <w:t>[ביאור הגר"א סי' תריב סעי' ט]</w:t>
      </w:r>
    </w:p>
    <w:p w:rsidR="0010620B" w:rsidRDefault="0010620B" w:rsidP="0010620B">
      <w:pPr>
        <w:spacing w:before="160" w:line="276" w:lineRule="auto"/>
        <w:ind w:firstLine="227"/>
        <w:rPr>
          <w:sz w:val="24"/>
          <w:szCs w:val="24"/>
          <w:rtl/>
        </w:rPr>
      </w:pPr>
      <w:r>
        <w:rPr>
          <w:rFonts w:hint="cs"/>
          <w:sz w:val="24"/>
          <w:szCs w:val="24"/>
          <w:rtl/>
        </w:rPr>
        <w:t>לדברי הגר"א, על אף שאלו דברים שאינם ראויים, בשתייה מרובה שובר רעבונו, ויש בכך ביטול של העינוי. מבואר מכך כי לשיטתו האיסור אינו במעשה האכילה אלא על ביטול העינוי.</w:t>
      </w:r>
    </w:p>
    <w:p w:rsidR="0010620B" w:rsidRDefault="0010620B" w:rsidP="0010620B">
      <w:pPr>
        <w:spacing w:before="160" w:line="276" w:lineRule="auto"/>
        <w:ind w:firstLine="227"/>
        <w:rPr>
          <w:sz w:val="24"/>
          <w:szCs w:val="24"/>
          <w:rtl/>
        </w:rPr>
      </w:pPr>
    </w:p>
    <w:p w:rsidR="0010620B" w:rsidRDefault="0010620B" w:rsidP="0010620B">
      <w:pPr>
        <w:spacing w:before="160" w:line="276" w:lineRule="auto"/>
        <w:ind w:firstLine="227"/>
        <w:rPr>
          <w:sz w:val="24"/>
          <w:szCs w:val="24"/>
          <w:rtl/>
        </w:rPr>
      </w:pPr>
      <w:r>
        <w:rPr>
          <w:rFonts w:hint="cs"/>
          <w:sz w:val="24"/>
          <w:szCs w:val="24"/>
          <w:rtl/>
        </w:rPr>
        <w:t>עד כה ראינו שתי תפיסות בגדר האיסור: האם האיסור הוא על מעשה האכילה או על ביטול העינוי. מדברי המנחת חינוך עולה שיטה שלישית בעניין זה.</w:t>
      </w:r>
    </w:p>
    <w:p w:rsidR="0010620B" w:rsidRDefault="0010620B" w:rsidP="0010620B">
      <w:pPr>
        <w:spacing w:before="160" w:line="276" w:lineRule="auto"/>
        <w:ind w:firstLine="227"/>
        <w:rPr>
          <w:sz w:val="24"/>
          <w:szCs w:val="24"/>
          <w:rtl/>
        </w:rPr>
      </w:pPr>
      <w:r>
        <w:rPr>
          <w:rFonts w:hint="cs"/>
          <w:sz w:val="24"/>
          <w:szCs w:val="24"/>
          <w:rtl/>
        </w:rPr>
        <w:t xml:space="preserve">הגמרא במסכת חולין </w:t>
      </w:r>
      <w:r>
        <w:rPr>
          <w:rFonts w:hint="cs"/>
          <w:sz w:val="20"/>
          <w:szCs w:val="20"/>
          <w:rtl/>
        </w:rPr>
        <w:t>[קג:]</w:t>
      </w:r>
      <w:r>
        <w:rPr>
          <w:rFonts w:hint="cs"/>
          <w:sz w:val="24"/>
          <w:szCs w:val="24"/>
          <w:rtl/>
        </w:rPr>
        <w:t xml:space="preserve"> מביאה מחלוקת לגבי איסורי אכילה, האם הולכים אחר 'הנאת גרונו' או אחר 'הנאת מעיו'. הרמב"ם </w:t>
      </w:r>
      <w:r>
        <w:rPr>
          <w:rFonts w:hint="cs"/>
          <w:sz w:val="20"/>
          <w:szCs w:val="20"/>
          <w:rtl/>
        </w:rPr>
        <w:t>[הל' מאכלות אסורות פי"ד ה"ג]</w:t>
      </w:r>
      <w:r>
        <w:rPr>
          <w:rFonts w:hint="cs"/>
          <w:sz w:val="24"/>
          <w:szCs w:val="24"/>
          <w:rtl/>
        </w:rPr>
        <w:t xml:space="preserve"> פוסק שהחיוב הוא על 'הנאת גרונו'. </w:t>
      </w:r>
    </w:p>
    <w:p w:rsidR="0010620B" w:rsidRPr="00A21690" w:rsidRDefault="0010620B" w:rsidP="0010620B">
      <w:pPr>
        <w:spacing w:before="160" w:line="276" w:lineRule="auto"/>
        <w:ind w:firstLine="227"/>
        <w:rPr>
          <w:sz w:val="24"/>
          <w:szCs w:val="24"/>
          <w:rtl/>
        </w:rPr>
      </w:pPr>
      <w:r>
        <w:rPr>
          <w:rFonts w:hint="cs"/>
          <w:sz w:val="24"/>
          <w:szCs w:val="24"/>
          <w:rtl/>
        </w:rPr>
        <w:t>המנחת חינוך דן בשאלה זו לגבי אכילה ביום הכיפורים. המנחת חינוך מסתפק האם ביום הכיפורים</w:t>
      </w:r>
      <w:r w:rsidRPr="00A21690">
        <w:rPr>
          <w:rFonts w:hint="cs"/>
          <w:sz w:val="24"/>
          <w:szCs w:val="24"/>
          <w:rtl/>
        </w:rPr>
        <w:t xml:space="preserve"> החיוב מותנה בהנאת המעיים:</w:t>
      </w:r>
    </w:p>
    <w:p w:rsidR="0010620B" w:rsidRPr="00A21690" w:rsidRDefault="0010620B" w:rsidP="0010620B">
      <w:pPr>
        <w:spacing w:before="160" w:line="276" w:lineRule="auto"/>
        <w:ind w:left="720"/>
        <w:rPr>
          <w:sz w:val="20"/>
          <w:szCs w:val="20"/>
          <w:rtl/>
        </w:rPr>
      </w:pPr>
      <w:r w:rsidRPr="00A21690">
        <w:rPr>
          <w:rFonts w:hint="cs"/>
          <w:sz w:val="24"/>
          <w:szCs w:val="24"/>
          <w:rtl/>
        </w:rPr>
        <w:t>והנה</w:t>
      </w:r>
      <w:r w:rsidRPr="00A21690">
        <w:rPr>
          <w:sz w:val="24"/>
          <w:szCs w:val="24"/>
          <w:rtl/>
        </w:rPr>
        <w:t xml:space="preserve"> </w:t>
      </w:r>
      <w:r w:rsidRPr="00A21690">
        <w:rPr>
          <w:rFonts w:hint="cs"/>
          <w:sz w:val="24"/>
          <w:szCs w:val="24"/>
          <w:rtl/>
        </w:rPr>
        <w:t>לשון</w:t>
      </w:r>
      <w:r w:rsidRPr="00A21690">
        <w:rPr>
          <w:sz w:val="24"/>
          <w:szCs w:val="24"/>
          <w:rtl/>
        </w:rPr>
        <w:t xml:space="preserve"> </w:t>
      </w:r>
      <w:r w:rsidRPr="00A21690">
        <w:rPr>
          <w:rFonts w:hint="cs"/>
          <w:sz w:val="24"/>
          <w:szCs w:val="24"/>
          <w:rtl/>
        </w:rPr>
        <w:t>הגמרא</w:t>
      </w:r>
      <w:r w:rsidRPr="00A21690">
        <w:rPr>
          <w:sz w:val="24"/>
          <w:szCs w:val="24"/>
          <w:rtl/>
        </w:rPr>
        <w:t xml:space="preserve"> </w:t>
      </w:r>
      <w:r w:rsidRPr="00A21690">
        <w:rPr>
          <w:rFonts w:hint="cs"/>
          <w:sz w:val="24"/>
          <w:szCs w:val="24"/>
          <w:rtl/>
        </w:rPr>
        <w:t>והר</w:t>
      </w:r>
      <w:r w:rsidRPr="00A21690">
        <w:rPr>
          <w:sz w:val="24"/>
          <w:szCs w:val="24"/>
          <w:rtl/>
        </w:rPr>
        <w:t>"</w:t>
      </w:r>
      <w:r w:rsidRPr="00A21690">
        <w:rPr>
          <w:rFonts w:hint="cs"/>
          <w:sz w:val="24"/>
          <w:szCs w:val="24"/>
          <w:rtl/>
        </w:rPr>
        <w:t>מ</w:t>
      </w:r>
      <w:r w:rsidRPr="00A21690">
        <w:rPr>
          <w:sz w:val="24"/>
          <w:szCs w:val="24"/>
          <w:rtl/>
        </w:rPr>
        <w:t xml:space="preserve"> </w:t>
      </w:r>
      <w:r w:rsidRPr="00A21690">
        <w:rPr>
          <w:rFonts w:hint="cs"/>
          <w:sz w:val="24"/>
          <w:szCs w:val="24"/>
          <w:rtl/>
        </w:rPr>
        <w:t>נקטו</w:t>
      </w:r>
      <w:r w:rsidRPr="00A21690">
        <w:rPr>
          <w:sz w:val="24"/>
          <w:szCs w:val="24"/>
          <w:rtl/>
        </w:rPr>
        <w:t xml:space="preserve"> </w:t>
      </w:r>
      <w:r w:rsidRPr="00A21690">
        <w:rPr>
          <w:rFonts w:hint="cs"/>
          <w:sz w:val="24"/>
          <w:szCs w:val="24"/>
          <w:rtl/>
        </w:rPr>
        <w:t>כזית</w:t>
      </w:r>
      <w:r>
        <w:rPr>
          <w:rFonts w:hint="cs"/>
          <w:sz w:val="24"/>
          <w:szCs w:val="24"/>
          <w:rtl/>
        </w:rPr>
        <w:t>,</w:t>
      </w:r>
      <w:r w:rsidRPr="00A21690">
        <w:rPr>
          <w:sz w:val="24"/>
          <w:szCs w:val="24"/>
          <w:rtl/>
        </w:rPr>
        <w:t xml:space="preserve"> </w:t>
      </w:r>
      <w:r w:rsidRPr="00A21690">
        <w:rPr>
          <w:rFonts w:hint="cs"/>
          <w:sz w:val="24"/>
          <w:szCs w:val="24"/>
          <w:rtl/>
        </w:rPr>
        <w:t>והנה</w:t>
      </w:r>
      <w:r w:rsidRPr="00A21690">
        <w:rPr>
          <w:sz w:val="24"/>
          <w:szCs w:val="24"/>
          <w:rtl/>
        </w:rPr>
        <w:t xml:space="preserve"> </w:t>
      </w:r>
      <w:r w:rsidRPr="00A21690">
        <w:rPr>
          <w:rFonts w:hint="cs"/>
          <w:sz w:val="24"/>
          <w:szCs w:val="24"/>
          <w:rtl/>
        </w:rPr>
        <w:t>היאך</w:t>
      </w:r>
      <w:r w:rsidRPr="00A21690">
        <w:rPr>
          <w:sz w:val="24"/>
          <w:szCs w:val="24"/>
          <w:rtl/>
        </w:rPr>
        <w:t xml:space="preserve"> </w:t>
      </w:r>
      <w:r w:rsidRPr="00A21690">
        <w:rPr>
          <w:rFonts w:hint="cs"/>
          <w:sz w:val="24"/>
          <w:szCs w:val="24"/>
          <w:rtl/>
        </w:rPr>
        <w:t>הדין</w:t>
      </w:r>
      <w:r w:rsidRPr="00A21690">
        <w:rPr>
          <w:sz w:val="24"/>
          <w:szCs w:val="24"/>
          <w:rtl/>
        </w:rPr>
        <w:t xml:space="preserve"> </w:t>
      </w:r>
      <w:r>
        <w:rPr>
          <w:rFonts w:hint="cs"/>
          <w:sz w:val="24"/>
          <w:szCs w:val="24"/>
          <w:rtl/>
        </w:rPr>
        <w:t>ביום הכיפורים...</w:t>
      </w:r>
      <w:r w:rsidRPr="00A21690">
        <w:rPr>
          <w:sz w:val="24"/>
          <w:szCs w:val="24"/>
          <w:rtl/>
        </w:rPr>
        <w:t xml:space="preserve"> </w:t>
      </w:r>
      <w:r w:rsidRPr="00A21690">
        <w:rPr>
          <w:rFonts w:hint="cs"/>
          <w:sz w:val="24"/>
          <w:szCs w:val="24"/>
          <w:rtl/>
        </w:rPr>
        <w:t>אם</w:t>
      </w:r>
      <w:r w:rsidRPr="00A21690">
        <w:rPr>
          <w:sz w:val="24"/>
          <w:szCs w:val="24"/>
          <w:rtl/>
        </w:rPr>
        <w:t xml:space="preserve"> </w:t>
      </w:r>
      <w:r w:rsidRPr="00A21690">
        <w:rPr>
          <w:rFonts w:hint="cs"/>
          <w:sz w:val="24"/>
          <w:szCs w:val="24"/>
          <w:rtl/>
        </w:rPr>
        <w:t>כאן</w:t>
      </w:r>
      <w:r w:rsidRPr="00A21690">
        <w:rPr>
          <w:sz w:val="24"/>
          <w:szCs w:val="24"/>
          <w:rtl/>
        </w:rPr>
        <w:t xml:space="preserve"> </w:t>
      </w:r>
      <w:r w:rsidRPr="00A21690">
        <w:rPr>
          <w:rFonts w:hint="cs"/>
          <w:sz w:val="24"/>
          <w:szCs w:val="24"/>
          <w:rtl/>
        </w:rPr>
        <w:t>נמי</w:t>
      </w:r>
      <w:r w:rsidRPr="00A21690">
        <w:rPr>
          <w:sz w:val="24"/>
          <w:szCs w:val="24"/>
          <w:rtl/>
        </w:rPr>
        <w:t xml:space="preserve"> </w:t>
      </w:r>
      <w:r w:rsidRPr="00A21690">
        <w:rPr>
          <w:rFonts w:hint="cs"/>
          <w:sz w:val="24"/>
          <w:szCs w:val="24"/>
          <w:rtl/>
        </w:rPr>
        <w:t>די</w:t>
      </w:r>
      <w:r w:rsidRPr="00A21690">
        <w:rPr>
          <w:sz w:val="24"/>
          <w:szCs w:val="24"/>
          <w:rtl/>
        </w:rPr>
        <w:t xml:space="preserve"> </w:t>
      </w:r>
      <w:r w:rsidRPr="00A21690">
        <w:rPr>
          <w:rFonts w:hint="cs"/>
          <w:sz w:val="24"/>
          <w:szCs w:val="24"/>
          <w:rtl/>
        </w:rPr>
        <w:t>בהנאת</w:t>
      </w:r>
      <w:r w:rsidRPr="00A21690">
        <w:rPr>
          <w:sz w:val="24"/>
          <w:szCs w:val="24"/>
          <w:rtl/>
        </w:rPr>
        <w:t xml:space="preserve"> </w:t>
      </w:r>
      <w:r w:rsidRPr="00A21690">
        <w:rPr>
          <w:rFonts w:hint="cs"/>
          <w:sz w:val="24"/>
          <w:szCs w:val="24"/>
          <w:rtl/>
        </w:rPr>
        <w:t>גרונו</w:t>
      </w:r>
      <w:r w:rsidRPr="00A21690">
        <w:rPr>
          <w:sz w:val="24"/>
          <w:szCs w:val="24"/>
          <w:rtl/>
        </w:rPr>
        <w:t xml:space="preserve"> </w:t>
      </w:r>
      <w:r w:rsidRPr="00A21690">
        <w:rPr>
          <w:rFonts w:hint="cs"/>
          <w:sz w:val="24"/>
          <w:szCs w:val="24"/>
          <w:rtl/>
        </w:rPr>
        <w:t>בככותבת</w:t>
      </w:r>
      <w:r>
        <w:rPr>
          <w:rFonts w:hint="cs"/>
          <w:sz w:val="24"/>
          <w:szCs w:val="24"/>
          <w:rtl/>
        </w:rPr>
        <w:t>,</w:t>
      </w:r>
      <w:r w:rsidRPr="00A21690">
        <w:rPr>
          <w:sz w:val="24"/>
          <w:szCs w:val="24"/>
          <w:rtl/>
        </w:rPr>
        <w:t xml:space="preserve"> </w:t>
      </w:r>
      <w:r w:rsidRPr="00A21690">
        <w:rPr>
          <w:rFonts w:hint="cs"/>
          <w:sz w:val="24"/>
          <w:szCs w:val="24"/>
          <w:rtl/>
        </w:rPr>
        <w:t>או</w:t>
      </w:r>
      <w:r w:rsidRPr="00A21690">
        <w:rPr>
          <w:sz w:val="24"/>
          <w:szCs w:val="24"/>
          <w:rtl/>
        </w:rPr>
        <w:t xml:space="preserve"> </w:t>
      </w:r>
      <w:r w:rsidRPr="00A21690">
        <w:rPr>
          <w:rFonts w:hint="cs"/>
          <w:sz w:val="24"/>
          <w:szCs w:val="24"/>
          <w:rtl/>
        </w:rPr>
        <w:t>אפשר</w:t>
      </w:r>
      <w:r w:rsidRPr="00A21690">
        <w:rPr>
          <w:sz w:val="24"/>
          <w:szCs w:val="24"/>
          <w:rtl/>
        </w:rPr>
        <w:t xml:space="preserve"> </w:t>
      </w:r>
      <w:r w:rsidRPr="00A21690">
        <w:rPr>
          <w:rFonts w:hint="cs"/>
          <w:sz w:val="24"/>
          <w:szCs w:val="24"/>
          <w:rtl/>
        </w:rPr>
        <w:t>לענין</w:t>
      </w:r>
      <w:r w:rsidRPr="00A21690">
        <w:rPr>
          <w:sz w:val="24"/>
          <w:szCs w:val="24"/>
          <w:rtl/>
        </w:rPr>
        <w:t xml:space="preserve"> </w:t>
      </w:r>
      <w:r w:rsidRPr="00A21690">
        <w:rPr>
          <w:rFonts w:hint="cs"/>
          <w:sz w:val="24"/>
          <w:szCs w:val="24"/>
          <w:rtl/>
        </w:rPr>
        <w:t>יתובי</w:t>
      </w:r>
      <w:r w:rsidRPr="00A21690">
        <w:rPr>
          <w:sz w:val="24"/>
          <w:szCs w:val="24"/>
          <w:rtl/>
        </w:rPr>
        <w:t xml:space="preserve"> </w:t>
      </w:r>
      <w:r w:rsidRPr="00A21690">
        <w:rPr>
          <w:rFonts w:hint="cs"/>
          <w:sz w:val="24"/>
          <w:szCs w:val="24"/>
          <w:rtl/>
        </w:rPr>
        <w:t>דעתו</w:t>
      </w:r>
      <w:r w:rsidRPr="00A21690">
        <w:rPr>
          <w:sz w:val="24"/>
          <w:szCs w:val="24"/>
          <w:rtl/>
        </w:rPr>
        <w:t xml:space="preserve"> </w:t>
      </w:r>
      <w:r w:rsidRPr="00A21690">
        <w:rPr>
          <w:rFonts w:hint="cs"/>
          <w:sz w:val="24"/>
          <w:szCs w:val="24"/>
          <w:rtl/>
        </w:rPr>
        <w:t>תלוי</w:t>
      </w:r>
      <w:r w:rsidRPr="00A21690">
        <w:rPr>
          <w:sz w:val="24"/>
          <w:szCs w:val="24"/>
          <w:rtl/>
        </w:rPr>
        <w:t xml:space="preserve"> </w:t>
      </w:r>
      <w:r w:rsidRPr="00A21690">
        <w:rPr>
          <w:rFonts w:hint="cs"/>
          <w:sz w:val="24"/>
          <w:szCs w:val="24"/>
          <w:rtl/>
        </w:rPr>
        <w:t>בהנאת</w:t>
      </w:r>
      <w:r w:rsidRPr="00A21690">
        <w:rPr>
          <w:sz w:val="24"/>
          <w:szCs w:val="24"/>
          <w:rtl/>
        </w:rPr>
        <w:t xml:space="preserve"> </w:t>
      </w:r>
      <w:r w:rsidRPr="00A21690">
        <w:rPr>
          <w:rFonts w:hint="cs"/>
          <w:sz w:val="24"/>
          <w:szCs w:val="24"/>
          <w:rtl/>
        </w:rPr>
        <w:t>מעיים</w:t>
      </w:r>
      <w:r w:rsidRPr="00A21690">
        <w:rPr>
          <w:sz w:val="24"/>
          <w:szCs w:val="24"/>
          <w:rtl/>
        </w:rPr>
        <w:t xml:space="preserve"> </w:t>
      </w:r>
      <w:r w:rsidRPr="00A21690">
        <w:rPr>
          <w:rFonts w:hint="cs"/>
          <w:sz w:val="24"/>
          <w:szCs w:val="24"/>
          <w:rtl/>
        </w:rPr>
        <w:t>ואינו</w:t>
      </w:r>
      <w:r w:rsidRPr="00A21690">
        <w:rPr>
          <w:sz w:val="24"/>
          <w:szCs w:val="24"/>
          <w:rtl/>
        </w:rPr>
        <w:t xml:space="preserve"> </w:t>
      </w:r>
      <w:r w:rsidRPr="00A21690">
        <w:rPr>
          <w:rFonts w:hint="cs"/>
          <w:sz w:val="24"/>
          <w:szCs w:val="24"/>
          <w:rtl/>
        </w:rPr>
        <w:t>חייב</w:t>
      </w:r>
      <w:r w:rsidRPr="00A21690">
        <w:rPr>
          <w:sz w:val="24"/>
          <w:szCs w:val="24"/>
          <w:rtl/>
        </w:rPr>
        <w:t xml:space="preserve"> </w:t>
      </w:r>
      <w:r w:rsidRPr="00A21690">
        <w:rPr>
          <w:rFonts w:hint="cs"/>
          <w:sz w:val="24"/>
          <w:szCs w:val="24"/>
          <w:rtl/>
        </w:rPr>
        <w:t>ע</w:t>
      </w:r>
      <w:r>
        <w:rPr>
          <w:rFonts w:hint="cs"/>
          <w:sz w:val="24"/>
          <w:szCs w:val="24"/>
          <w:rtl/>
        </w:rPr>
        <w:t>ל זה</w:t>
      </w:r>
      <w:r w:rsidRPr="00A21690">
        <w:rPr>
          <w:sz w:val="24"/>
          <w:szCs w:val="24"/>
          <w:rtl/>
        </w:rPr>
        <w:t xml:space="preserve"> </w:t>
      </w:r>
      <w:r w:rsidRPr="00A21690">
        <w:rPr>
          <w:rFonts w:hint="cs"/>
          <w:sz w:val="24"/>
          <w:szCs w:val="24"/>
          <w:rtl/>
        </w:rPr>
        <w:t>עד</w:t>
      </w:r>
      <w:r w:rsidRPr="00A21690">
        <w:rPr>
          <w:sz w:val="24"/>
          <w:szCs w:val="24"/>
          <w:rtl/>
        </w:rPr>
        <w:t xml:space="preserve"> </w:t>
      </w:r>
      <w:r w:rsidRPr="00A21690">
        <w:rPr>
          <w:rFonts w:hint="cs"/>
          <w:sz w:val="24"/>
          <w:szCs w:val="24"/>
          <w:rtl/>
        </w:rPr>
        <w:t>שיהי</w:t>
      </w:r>
      <w:r>
        <w:rPr>
          <w:rFonts w:hint="cs"/>
          <w:sz w:val="24"/>
          <w:szCs w:val="24"/>
          <w:rtl/>
        </w:rPr>
        <w:t xml:space="preserve">ה </w:t>
      </w:r>
      <w:r w:rsidRPr="00A21690">
        <w:rPr>
          <w:rFonts w:hint="cs"/>
          <w:sz w:val="24"/>
          <w:szCs w:val="24"/>
          <w:rtl/>
        </w:rPr>
        <w:t>במעיים</w:t>
      </w:r>
      <w:r w:rsidRPr="00A21690">
        <w:rPr>
          <w:sz w:val="24"/>
          <w:szCs w:val="24"/>
          <w:rtl/>
        </w:rPr>
        <w:t xml:space="preserve"> </w:t>
      </w:r>
      <w:r>
        <w:rPr>
          <w:rFonts w:hint="cs"/>
          <w:sz w:val="24"/>
          <w:szCs w:val="24"/>
          <w:rtl/>
        </w:rPr>
        <w:t xml:space="preserve">ככותבת... </w:t>
      </w:r>
      <w:r w:rsidRPr="00A21690">
        <w:rPr>
          <w:rFonts w:hint="cs"/>
          <w:sz w:val="24"/>
          <w:szCs w:val="24"/>
          <w:rtl/>
        </w:rPr>
        <w:t>דאפשר</w:t>
      </w:r>
      <w:r w:rsidRPr="00A21690">
        <w:rPr>
          <w:sz w:val="24"/>
          <w:szCs w:val="24"/>
          <w:rtl/>
        </w:rPr>
        <w:t xml:space="preserve"> </w:t>
      </w:r>
      <w:r w:rsidRPr="00A21690">
        <w:rPr>
          <w:rFonts w:hint="cs"/>
          <w:sz w:val="24"/>
          <w:szCs w:val="24"/>
          <w:rtl/>
        </w:rPr>
        <w:t>דהתורה</w:t>
      </w:r>
      <w:r w:rsidRPr="00A21690">
        <w:rPr>
          <w:sz w:val="24"/>
          <w:szCs w:val="24"/>
          <w:rtl/>
        </w:rPr>
        <w:t xml:space="preserve"> </w:t>
      </w:r>
      <w:r w:rsidRPr="00A21690">
        <w:rPr>
          <w:rFonts w:hint="cs"/>
          <w:sz w:val="24"/>
          <w:szCs w:val="24"/>
          <w:rtl/>
        </w:rPr>
        <w:t>לא</w:t>
      </w:r>
      <w:r w:rsidRPr="00A21690">
        <w:rPr>
          <w:sz w:val="24"/>
          <w:szCs w:val="24"/>
          <w:rtl/>
        </w:rPr>
        <w:t xml:space="preserve"> </w:t>
      </w:r>
      <w:r w:rsidRPr="00A21690">
        <w:rPr>
          <w:rFonts w:hint="cs"/>
          <w:sz w:val="24"/>
          <w:szCs w:val="24"/>
          <w:rtl/>
        </w:rPr>
        <w:t>חייבה</w:t>
      </w:r>
      <w:r w:rsidRPr="00A21690">
        <w:rPr>
          <w:sz w:val="24"/>
          <w:szCs w:val="24"/>
          <w:rtl/>
        </w:rPr>
        <w:t xml:space="preserve"> </w:t>
      </w:r>
      <w:r w:rsidRPr="00A21690">
        <w:rPr>
          <w:rFonts w:hint="cs"/>
          <w:sz w:val="24"/>
          <w:szCs w:val="24"/>
          <w:rtl/>
        </w:rPr>
        <w:t>כאן</w:t>
      </w:r>
      <w:r w:rsidRPr="00A21690">
        <w:rPr>
          <w:sz w:val="24"/>
          <w:szCs w:val="24"/>
          <w:rtl/>
        </w:rPr>
        <w:t xml:space="preserve"> </w:t>
      </w:r>
      <w:r w:rsidRPr="00A21690">
        <w:rPr>
          <w:rFonts w:hint="cs"/>
          <w:sz w:val="24"/>
          <w:szCs w:val="24"/>
          <w:rtl/>
        </w:rPr>
        <w:t>על</w:t>
      </w:r>
      <w:r w:rsidRPr="00A21690">
        <w:rPr>
          <w:sz w:val="24"/>
          <w:szCs w:val="24"/>
          <w:rtl/>
        </w:rPr>
        <w:t xml:space="preserve"> </w:t>
      </w:r>
      <w:r w:rsidRPr="00A21690">
        <w:rPr>
          <w:rFonts w:hint="cs"/>
          <w:sz w:val="24"/>
          <w:szCs w:val="24"/>
          <w:rtl/>
        </w:rPr>
        <w:t>הנאה</w:t>
      </w:r>
      <w:r w:rsidRPr="00A21690">
        <w:rPr>
          <w:sz w:val="24"/>
          <w:szCs w:val="24"/>
          <w:rtl/>
        </w:rPr>
        <w:t xml:space="preserve"> </w:t>
      </w:r>
      <w:r w:rsidRPr="00A21690">
        <w:rPr>
          <w:rFonts w:hint="cs"/>
          <w:sz w:val="24"/>
          <w:szCs w:val="24"/>
          <w:rtl/>
        </w:rPr>
        <w:t>רק</w:t>
      </w:r>
      <w:r w:rsidRPr="00A21690">
        <w:rPr>
          <w:sz w:val="24"/>
          <w:szCs w:val="24"/>
          <w:rtl/>
        </w:rPr>
        <w:t xml:space="preserve"> </w:t>
      </w:r>
      <w:r w:rsidRPr="00A21690">
        <w:rPr>
          <w:rFonts w:hint="cs"/>
          <w:sz w:val="24"/>
          <w:szCs w:val="24"/>
          <w:rtl/>
        </w:rPr>
        <w:t>אם</w:t>
      </w:r>
      <w:r w:rsidRPr="00A21690">
        <w:rPr>
          <w:sz w:val="24"/>
          <w:szCs w:val="24"/>
          <w:rtl/>
        </w:rPr>
        <w:t xml:space="preserve"> </w:t>
      </w:r>
      <w:r w:rsidRPr="00A21690">
        <w:rPr>
          <w:rFonts w:hint="cs"/>
          <w:sz w:val="24"/>
          <w:szCs w:val="24"/>
          <w:rtl/>
        </w:rPr>
        <w:t>נתיישב</w:t>
      </w:r>
      <w:r w:rsidRPr="00A21690">
        <w:rPr>
          <w:sz w:val="24"/>
          <w:szCs w:val="24"/>
          <w:rtl/>
        </w:rPr>
        <w:t xml:space="preserve"> </w:t>
      </w:r>
      <w:r w:rsidRPr="00A21690">
        <w:rPr>
          <w:rFonts w:hint="cs"/>
          <w:sz w:val="24"/>
          <w:szCs w:val="24"/>
          <w:rtl/>
        </w:rPr>
        <w:t>דעתו</w:t>
      </w:r>
      <w:r w:rsidRPr="00A21690">
        <w:rPr>
          <w:sz w:val="24"/>
          <w:szCs w:val="24"/>
          <w:rtl/>
        </w:rPr>
        <w:t xml:space="preserve"> </w:t>
      </w:r>
      <w:r w:rsidRPr="00A21690">
        <w:rPr>
          <w:rFonts w:hint="cs"/>
          <w:sz w:val="24"/>
          <w:szCs w:val="24"/>
          <w:rtl/>
        </w:rPr>
        <w:t>ויתובי</w:t>
      </w:r>
      <w:r w:rsidRPr="00A21690">
        <w:rPr>
          <w:sz w:val="24"/>
          <w:szCs w:val="24"/>
          <w:rtl/>
        </w:rPr>
        <w:t xml:space="preserve"> </w:t>
      </w:r>
      <w:r w:rsidRPr="00A21690">
        <w:rPr>
          <w:rFonts w:hint="cs"/>
          <w:sz w:val="24"/>
          <w:szCs w:val="24"/>
          <w:rtl/>
        </w:rPr>
        <w:t>דעתו</w:t>
      </w:r>
      <w:r w:rsidRPr="00A21690">
        <w:rPr>
          <w:sz w:val="24"/>
          <w:szCs w:val="24"/>
          <w:rtl/>
        </w:rPr>
        <w:t xml:space="preserve"> </w:t>
      </w:r>
      <w:r w:rsidRPr="00A21690">
        <w:rPr>
          <w:rFonts w:hint="cs"/>
          <w:sz w:val="24"/>
          <w:szCs w:val="24"/>
          <w:rtl/>
        </w:rPr>
        <w:t>אינו</w:t>
      </w:r>
      <w:r w:rsidRPr="00A21690">
        <w:rPr>
          <w:sz w:val="24"/>
          <w:szCs w:val="24"/>
          <w:rtl/>
        </w:rPr>
        <w:t xml:space="preserve"> </w:t>
      </w:r>
      <w:r w:rsidRPr="00A21690">
        <w:rPr>
          <w:rFonts w:hint="cs"/>
          <w:sz w:val="24"/>
          <w:szCs w:val="24"/>
          <w:rtl/>
        </w:rPr>
        <w:t>אלא</w:t>
      </w:r>
      <w:r w:rsidRPr="00A21690">
        <w:rPr>
          <w:sz w:val="24"/>
          <w:szCs w:val="24"/>
          <w:rtl/>
        </w:rPr>
        <w:t xml:space="preserve"> </w:t>
      </w:r>
      <w:r w:rsidRPr="00A21690">
        <w:rPr>
          <w:rFonts w:hint="cs"/>
          <w:sz w:val="24"/>
          <w:szCs w:val="24"/>
          <w:rtl/>
        </w:rPr>
        <w:t>במילוי</w:t>
      </w:r>
      <w:r w:rsidRPr="00A21690">
        <w:rPr>
          <w:sz w:val="24"/>
          <w:szCs w:val="24"/>
          <w:rtl/>
        </w:rPr>
        <w:t xml:space="preserve"> </w:t>
      </w:r>
      <w:r w:rsidRPr="00A21690">
        <w:rPr>
          <w:rFonts w:hint="cs"/>
          <w:sz w:val="24"/>
          <w:szCs w:val="24"/>
          <w:rtl/>
        </w:rPr>
        <w:t>המעיים</w:t>
      </w:r>
      <w:r>
        <w:rPr>
          <w:rFonts w:hint="cs"/>
          <w:sz w:val="24"/>
          <w:szCs w:val="24"/>
          <w:rtl/>
        </w:rPr>
        <w:t>,</w:t>
      </w:r>
      <w:r w:rsidRPr="00A21690">
        <w:rPr>
          <w:sz w:val="24"/>
          <w:szCs w:val="24"/>
          <w:rtl/>
        </w:rPr>
        <w:t xml:space="preserve"> </w:t>
      </w:r>
      <w:r w:rsidRPr="00A21690">
        <w:rPr>
          <w:rFonts w:hint="cs"/>
          <w:sz w:val="24"/>
          <w:szCs w:val="24"/>
          <w:rtl/>
        </w:rPr>
        <w:t>ו</w:t>
      </w:r>
      <w:r>
        <w:rPr>
          <w:rFonts w:hint="cs"/>
          <w:sz w:val="24"/>
          <w:szCs w:val="24"/>
          <w:rtl/>
        </w:rPr>
        <w:t xml:space="preserve">צריך עיון </w:t>
      </w:r>
      <w:r w:rsidRPr="00A21690">
        <w:rPr>
          <w:rFonts w:hint="cs"/>
          <w:sz w:val="24"/>
          <w:szCs w:val="24"/>
          <w:rtl/>
        </w:rPr>
        <w:t>דין</w:t>
      </w:r>
      <w:r w:rsidRPr="00A21690">
        <w:rPr>
          <w:sz w:val="24"/>
          <w:szCs w:val="24"/>
          <w:rtl/>
        </w:rPr>
        <w:t xml:space="preserve"> </w:t>
      </w:r>
      <w:r w:rsidRPr="00A21690">
        <w:rPr>
          <w:rFonts w:hint="cs"/>
          <w:sz w:val="24"/>
          <w:szCs w:val="24"/>
          <w:rtl/>
        </w:rPr>
        <w:t>זה</w:t>
      </w:r>
      <w:r w:rsidRPr="00A21690">
        <w:rPr>
          <w:sz w:val="24"/>
          <w:szCs w:val="24"/>
          <w:rtl/>
        </w:rPr>
        <w:t>.</w:t>
      </w:r>
      <w:r>
        <w:rPr>
          <w:sz w:val="24"/>
          <w:szCs w:val="24"/>
          <w:rtl/>
        </w:rPr>
        <w:tab/>
      </w:r>
      <w:r>
        <w:rPr>
          <w:rFonts w:hint="cs"/>
          <w:sz w:val="24"/>
          <w:szCs w:val="24"/>
          <w:rtl/>
        </w:rPr>
        <w:t xml:space="preserve">      </w:t>
      </w:r>
      <w:r>
        <w:rPr>
          <w:rFonts w:hint="cs"/>
          <w:sz w:val="20"/>
          <w:szCs w:val="20"/>
          <w:rtl/>
        </w:rPr>
        <w:t>[מנחת חינוך מצוה שיג אות ב]</w:t>
      </w:r>
    </w:p>
    <w:p w:rsidR="0010620B" w:rsidRPr="00A21690" w:rsidRDefault="0010620B" w:rsidP="0010620B">
      <w:pPr>
        <w:spacing w:before="160" w:line="276" w:lineRule="auto"/>
        <w:ind w:firstLine="227"/>
        <w:rPr>
          <w:sz w:val="24"/>
          <w:szCs w:val="24"/>
          <w:rtl/>
        </w:rPr>
      </w:pPr>
      <w:r>
        <w:rPr>
          <w:rFonts w:hint="cs"/>
          <w:sz w:val="24"/>
          <w:szCs w:val="24"/>
          <w:rtl/>
        </w:rPr>
        <w:t xml:space="preserve">המנחת חינוך מעלה סברה שביום הכיפורים מתחייב </w:t>
      </w:r>
      <w:r w:rsidRPr="00A21690">
        <w:rPr>
          <w:rFonts w:hint="cs"/>
          <w:sz w:val="24"/>
          <w:szCs w:val="24"/>
          <w:rtl/>
        </w:rPr>
        <w:t>בהנאת המעיים ללא הנאת הגרון:</w:t>
      </w:r>
    </w:p>
    <w:p w:rsidR="0010620B" w:rsidRPr="00A21690" w:rsidRDefault="0010620B" w:rsidP="0010620B">
      <w:pPr>
        <w:spacing w:before="160" w:line="276" w:lineRule="auto"/>
        <w:ind w:left="720"/>
        <w:rPr>
          <w:sz w:val="20"/>
          <w:szCs w:val="20"/>
          <w:rtl/>
        </w:rPr>
      </w:pPr>
      <w:r w:rsidRPr="00A21690">
        <w:rPr>
          <w:rFonts w:hint="cs"/>
          <w:sz w:val="24"/>
          <w:szCs w:val="24"/>
          <w:rtl/>
        </w:rPr>
        <w:t>עוד</w:t>
      </w:r>
      <w:r w:rsidRPr="00A21690">
        <w:rPr>
          <w:sz w:val="24"/>
          <w:szCs w:val="24"/>
          <w:rtl/>
        </w:rPr>
        <w:t xml:space="preserve"> </w:t>
      </w:r>
      <w:r w:rsidRPr="00A21690">
        <w:rPr>
          <w:rFonts w:hint="cs"/>
          <w:sz w:val="24"/>
          <w:szCs w:val="24"/>
          <w:rtl/>
        </w:rPr>
        <w:t>אני</w:t>
      </w:r>
      <w:r w:rsidRPr="00A21690">
        <w:rPr>
          <w:sz w:val="24"/>
          <w:szCs w:val="24"/>
          <w:rtl/>
        </w:rPr>
        <w:t xml:space="preserve"> </w:t>
      </w:r>
      <w:r w:rsidRPr="00A21690">
        <w:rPr>
          <w:rFonts w:hint="cs"/>
          <w:sz w:val="24"/>
          <w:szCs w:val="24"/>
          <w:rtl/>
        </w:rPr>
        <w:t>מסופק</w:t>
      </w:r>
      <w:r>
        <w:rPr>
          <w:rFonts w:hint="cs"/>
          <w:sz w:val="24"/>
          <w:szCs w:val="24"/>
          <w:rtl/>
        </w:rPr>
        <w:t>,</w:t>
      </w:r>
      <w:r w:rsidRPr="00A21690">
        <w:rPr>
          <w:sz w:val="24"/>
          <w:szCs w:val="24"/>
          <w:rtl/>
        </w:rPr>
        <w:t xml:space="preserve"> </w:t>
      </w:r>
      <w:r w:rsidRPr="00A21690">
        <w:rPr>
          <w:rFonts w:hint="cs"/>
          <w:sz w:val="24"/>
          <w:szCs w:val="24"/>
          <w:rtl/>
        </w:rPr>
        <w:t>אפי</w:t>
      </w:r>
      <w:r>
        <w:rPr>
          <w:rFonts w:hint="cs"/>
          <w:sz w:val="24"/>
          <w:szCs w:val="24"/>
          <w:rtl/>
        </w:rPr>
        <w:t>לו</w:t>
      </w:r>
      <w:r w:rsidRPr="00A21690">
        <w:rPr>
          <w:sz w:val="24"/>
          <w:szCs w:val="24"/>
          <w:rtl/>
        </w:rPr>
        <w:t xml:space="preserve"> </w:t>
      </w:r>
      <w:r w:rsidRPr="00A21690">
        <w:rPr>
          <w:rFonts w:hint="cs"/>
          <w:sz w:val="24"/>
          <w:szCs w:val="24"/>
          <w:rtl/>
        </w:rPr>
        <w:t>אם</w:t>
      </w:r>
      <w:r w:rsidRPr="00A21690">
        <w:rPr>
          <w:sz w:val="24"/>
          <w:szCs w:val="24"/>
          <w:rtl/>
        </w:rPr>
        <w:t xml:space="preserve"> </w:t>
      </w:r>
      <w:r w:rsidRPr="00A21690">
        <w:rPr>
          <w:rFonts w:hint="cs"/>
          <w:sz w:val="24"/>
          <w:szCs w:val="24"/>
          <w:rtl/>
        </w:rPr>
        <w:t>נאמר</w:t>
      </w:r>
      <w:r w:rsidRPr="00A21690">
        <w:rPr>
          <w:sz w:val="24"/>
          <w:szCs w:val="24"/>
          <w:rtl/>
        </w:rPr>
        <w:t xml:space="preserve"> </w:t>
      </w:r>
      <w:r w:rsidRPr="00A21690">
        <w:rPr>
          <w:rFonts w:hint="cs"/>
          <w:sz w:val="24"/>
          <w:szCs w:val="24"/>
          <w:rtl/>
        </w:rPr>
        <w:t>דהנאת</w:t>
      </w:r>
      <w:r w:rsidRPr="00A21690">
        <w:rPr>
          <w:sz w:val="24"/>
          <w:szCs w:val="24"/>
          <w:rtl/>
        </w:rPr>
        <w:t xml:space="preserve"> </w:t>
      </w:r>
      <w:r w:rsidRPr="00A21690">
        <w:rPr>
          <w:rFonts w:hint="cs"/>
          <w:sz w:val="24"/>
          <w:szCs w:val="24"/>
          <w:rtl/>
        </w:rPr>
        <w:t>גרון</w:t>
      </w:r>
      <w:r w:rsidRPr="00A21690">
        <w:rPr>
          <w:sz w:val="24"/>
          <w:szCs w:val="24"/>
          <w:rtl/>
        </w:rPr>
        <w:t xml:space="preserve"> </w:t>
      </w:r>
      <w:r w:rsidRPr="00A21690">
        <w:rPr>
          <w:rFonts w:hint="cs"/>
          <w:sz w:val="24"/>
          <w:szCs w:val="24"/>
          <w:rtl/>
        </w:rPr>
        <w:t>לבדו</w:t>
      </w:r>
      <w:r w:rsidRPr="00A21690">
        <w:rPr>
          <w:sz w:val="24"/>
          <w:szCs w:val="24"/>
          <w:rtl/>
        </w:rPr>
        <w:t xml:space="preserve"> </w:t>
      </w:r>
      <w:r w:rsidRPr="00A21690">
        <w:rPr>
          <w:rFonts w:hint="cs"/>
          <w:sz w:val="24"/>
          <w:szCs w:val="24"/>
          <w:rtl/>
        </w:rPr>
        <w:t>בודאי</w:t>
      </w:r>
      <w:r w:rsidRPr="00A21690">
        <w:rPr>
          <w:sz w:val="24"/>
          <w:szCs w:val="24"/>
          <w:rtl/>
        </w:rPr>
        <w:t xml:space="preserve"> </w:t>
      </w:r>
      <w:r w:rsidRPr="00A21690">
        <w:rPr>
          <w:rFonts w:hint="cs"/>
          <w:sz w:val="24"/>
          <w:szCs w:val="24"/>
          <w:rtl/>
        </w:rPr>
        <w:t>א</w:t>
      </w:r>
      <w:r>
        <w:rPr>
          <w:rFonts w:hint="cs"/>
          <w:sz w:val="24"/>
          <w:szCs w:val="24"/>
          <w:rtl/>
        </w:rPr>
        <w:t>ינו חייב</w:t>
      </w:r>
      <w:r w:rsidRPr="00A21690">
        <w:rPr>
          <w:sz w:val="24"/>
          <w:szCs w:val="24"/>
          <w:rtl/>
        </w:rPr>
        <w:t xml:space="preserve"> </w:t>
      </w:r>
      <w:r w:rsidRPr="00A21690">
        <w:rPr>
          <w:rFonts w:hint="cs"/>
          <w:sz w:val="24"/>
          <w:szCs w:val="24"/>
          <w:rtl/>
        </w:rPr>
        <w:t>כיון</w:t>
      </w:r>
      <w:r w:rsidRPr="00A21690">
        <w:rPr>
          <w:sz w:val="24"/>
          <w:szCs w:val="24"/>
          <w:rtl/>
        </w:rPr>
        <w:t xml:space="preserve"> </w:t>
      </w:r>
      <w:r w:rsidRPr="00A21690">
        <w:rPr>
          <w:rFonts w:hint="cs"/>
          <w:sz w:val="24"/>
          <w:szCs w:val="24"/>
          <w:rtl/>
        </w:rPr>
        <w:t>דלא</w:t>
      </w:r>
      <w:r w:rsidRPr="00A21690">
        <w:rPr>
          <w:sz w:val="24"/>
          <w:szCs w:val="24"/>
          <w:rtl/>
        </w:rPr>
        <w:t xml:space="preserve"> </w:t>
      </w:r>
      <w:r w:rsidRPr="00A21690">
        <w:rPr>
          <w:rFonts w:hint="cs"/>
          <w:sz w:val="24"/>
          <w:szCs w:val="24"/>
          <w:rtl/>
        </w:rPr>
        <w:t>הוי</w:t>
      </w:r>
      <w:r w:rsidRPr="00A21690">
        <w:rPr>
          <w:sz w:val="24"/>
          <w:szCs w:val="24"/>
          <w:rtl/>
        </w:rPr>
        <w:t xml:space="preserve"> </w:t>
      </w:r>
      <w:r w:rsidRPr="00A21690">
        <w:rPr>
          <w:rFonts w:hint="cs"/>
          <w:sz w:val="24"/>
          <w:szCs w:val="24"/>
          <w:rtl/>
        </w:rPr>
        <w:t>מילוי</w:t>
      </w:r>
      <w:r w:rsidRPr="00A21690">
        <w:rPr>
          <w:sz w:val="24"/>
          <w:szCs w:val="24"/>
          <w:rtl/>
        </w:rPr>
        <w:t xml:space="preserve"> </w:t>
      </w:r>
      <w:r w:rsidRPr="00A21690">
        <w:rPr>
          <w:rFonts w:hint="cs"/>
          <w:sz w:val="24"/>
          <w:szCs w:val="24"/>
          <w:rtl/>
        </w:rPr>
        <w:t>המעיים</w:t>
      </w:r>
      <w:r>
        <w:rPr>
          <w:rFonts w:hint="cs"/>
          <w:sz w:val="24"/>
          <w:szCs w:val="24"/>
          <w:rtl/>
        </w:rPr>
        <w:t>,</w:t>
      </w:r>
      <w:r w:rsidRPr="00A21690">
        <w:rPr>
          <w:sz w:val="24"/>
          <w:szCs w:val="24"/>
          <w:rtl/>
        </w:rPr>
        <w:t xml:space="preserve"> </w:t>
      </w:r>
      <w:r w:rsidRPr="00A21690">
        <w:rPr>
          <w:rFonts w:hint="cs"/>
          <w:sz w:val="24"/>
          <w:szCs w:val="24"/>
          <w:rtl/>
        </w:rPr>
        <w:t>היאך</w:t>
      </w:r>
      <w:r w:rsidRPr="00A21690">
        <w:rPr>
          <w:sz w:val="24"/>
          <w:szCs w:val="24"/>
          <w:rtl/>
        </w:rPr>
        <w:t xml:space="preserve"> </w:t>
      </w:r>
      <w:r w:rsidRPr="00A21690">
        <w:rPr>
          <w:rFonts w:hint="cs"/>
          <w:sz w:val="24"/>
          <w:szCs w:val="24"/>
          <w:rtl/>
        </w:rPr>
        <w:t>הדין</w:t>
      </w:r>
      <w:r w:rsidRPr="00A21690">
        <w:rPr>
          <w:sz w:val="24"/>
          <w:szCs w:val="24"/>
          <w:rtl/>
        </w:rPr>
        <w:t xml:space="preserve"> </w:t>
      </w:r>
      <w:r w:rsidRPr="00A21690">
        <w:rPr>
          <w:rFonts w:hint="cs"/>
          <w:sz w:val="24"/>
          <w:szCs w:val="24"/>
          <w:rtl/>
        </w:rPr>
        <w:t>אם</w:t>
      </w:r>
      <w:r w:rsidRPr="00A21690">
        <w:rPr>
          <w:sz w:val="24"/>
          <w:szCs w:val="24"/>
          <w:rtl/>
        </w:rPr>
        <w:t xml:space="preserve"> </w:t>
      </w:r>
      <w:r w:rsidRPr="00A21690">
        <w:rPr>
          <w:rFonts w:hint="cs"/>
          <w:sz w:val="24"/>
          <w:szCs w:val="24"/>
          <w:rtl/>
        </w:rPr>
        <w:t>הנאת</w:t>
      </w:r>
      <w:r w:rsidRPr="00A21690">
        <w:rPr>
          <w:sz w:val="24"/>
          <w:szCs w:val="24"/>
          <w:rtl/>
        </w:rPr>
        <w:t xml:space="preserve"> </w:t>
      </w:r>
      <w:r w:rsidRPr="00A21690">
        <w:rPr>
          <w:rFonts w:hint="cs"/>
          <w:sz w:val="24"/>
          <w:szCs w:val="24"/>
          <w:rtl/>
        </w:rPr>
        <w:t>מעיים</w:t>
      </w:r>
      <w:r w:rsidRPr="00A21690">
        <w:rPr>
          <w:sz w:val="24"/>
          <w:szCs w:val="24"/>
          <w:rtl/>
        </w:rPr>
        <w:t xml:space="preserve"> </w:t>
      </w:r>
      <w:r w:rsidRPr="00A21690">
        <w:rPr>
          <w:rFonts w:hint="cs"/>
          <w:sz w:val="24"/>
          <w:szCs w:val="24"/>
          <w:rtl/>
        </w:rPr>
        <w:t>בלבד</w:t>
      </w:r>
      <w:r w:rsidRPr="00A21690">
        <w:rPr>
          <w:sz w:val="24"/>
          <w:szCs w:val="24"/>
          <w:rtl/>
        </w:rPr>
        <w:t xml:space="preserve"> </w:t>
      </w:r>
      <w:r w:rsidRPr="00A21690">
        <w:rPr>
          <w:rFonts w:hint="cs"/>
          <w:sz w:val="24"/>
          <w:szCs w:val="24"/>
          <w:rtl/>
        </w:rPr>
        <w:t>בלא</w:t>
      </w:r>
      <w:r w:rsidRPr="00A21690">
        <w:rPr>
          <w:sz w:val="24"/>
          <w:szCs w:val="24"/>
          <w:rtl/>
        </w:rPr>
        <w:t xml:space="preserve"> </w:t>
      </w:r>
      <w:r w:rsidRPr="00A21690">
        <w:rPr>
          <w:rFonts w:hint="cs"/>
          <w:sz w:val="24"/>
          <w:szCs w:val="24"/>
          <w:rtl/>
        </w:rPr>
        <w:t>הנאת</w:t>
      </w:r>
      <w:r w:rsidRPr="00A21690">
        <w:rPr>
          <w:sz w:val="24"/>
          <w:szCs w:val="24"/>
          <w:rtl/>
        </w:rPr>
        <w:t xml:space="preserve"> </w:t>
      </w:r>
      <w:r w:rsidRPr="00A21690">
        <w:rPr>
          <w:rFonts w:hint="cs"/>
          <w:sz w:val="24"/>
          <w:szCs w:val="24"/>
          <w:rtl/>
        </w:rPr>
        <w:t>גרון</w:t>
      </w:r>
      <w:r>
        <w:rPr>
          <w:rFonts w:hint="cs"/>
          <w:sz w:val="24"/>
          <w:szCs w:val="24"/>
          <w:rtl/>
        </w:rPr>
        <w:t>,</w:t>
      </w:r>
      <w:r w:rsidRPr="00A21690">
        <w:rPr>
          <w:sz w:val="24"/>
          <w:szCs w:val="24"/>
          <w:rtl/>
        </w:rPr>
        <w:t xml:space="preserve"> </w:t>
      </w:r>
      <w:r w:rsidRPr="00A21690">
        <w:rPr>
          <w:rFonts w:hint="cs"/>
          <w:sz w:val="24"/>
          <w:szCs w:val="24"/>
          <w:rtl/>
        </w:rPr>
        <w:t>אם</w:t>
      </w:r>
      <w:r w:rsidRPr="00A21690">
        <w:rPr>
          <w:sz w:val="24"/>
          <w:szCs w:val="24"/>
          <w:rtl/>
        </w:rPr>
        <w:t xml:space="preserve"> </w:t>
      </w:r>
      <w:r w:rsidRPr="00A21690">
        <w:rPr>
          <w:rFonts w:hint="cs"/>
          <w:sz w:val="24"/>
          <w:szCs w:val="24"/>
          <w:rtl/>
        </w:rPr>
        <w:t>הוי</w:t>
      </w:r>
      <w:r w:rsidRPr="00A21690">
        <w:rPr>
          <w:sz w:val="24"/>
          <w:szCs w:val="24"/>
          <w:rtl/>
        </w:rPr>
        <w:t xml:space="preserve"> </w:t>
      </w:r>
      <w:r w:rsidRPr="00A21690">
        <w:rPr>
          <w:rFonts w:hint="cs"/>
          <w:sz w:val="24"/>
          <w:szCs w:val="24"/>
          <w:rtl/>
        </w:rPr>
        <w:t>יתובי</w:t>
      </w:r>
      <w:r w:rsidRPr="00A21690">
        <w:rPr>
          <w:sz w:val="24"/>
          <w:szCs w:val="24"/>
          <w:rtl/>
        </w:rPr>
        <w:t xml:space="preserve"> </w:t>
      </w:r>
      <w:r w:rsidRPr="00A21690">
        <w:rPr>
          <w:rFonts w:hint="cs"/>
          <w:sz w:val="24"/>
          <w:szCs w:val="24"/>
          <w:rtl/>
        </w:rPr>
        <w:t>דעתיה</w:t>
      </w:r>
      <w:r>
        <w:rPr>
          <w:rFonts w:hint="cs"/>
          <w:sz w:val="24"/>
          <w:szCs w:val="24"/>
          <w:rtl/>
        </w:rPr>
        <w:t>,</w:t>
      </w:r>
      <w:r w:rsidRPr="00A21690">
        <w:rPr>
          <w:sz w:val="24"/>
          <w:szCs w:val="24"/>
          <w:rtl/>
        </w:rPr>
        <w:t xml:space="preserve"> </w:t>
      </w:r>
      <w:r w:rsidRPr="00A21690">
        <w:rPr>
          <w:rFonts w:hint="cs"/>
          <w:sz w:val="24"/>
          <w:szCs w:val="24"/>
          <w:rtl/>
        </w:rPr>
        <w:t>דבכל</w:t>
      </w:r>
      <w:r w:rsidRPr="00A21690">
        <w:rPr>
          <w:sz w:val="24"/>
          <w:szCs w:val="24"/>
          <w:rtl/>
        </w:rPr>
        <w:t xml:space="preserve"> </w:t>
      </w:r>
      <w:r w:rsidRPr="00A21690">
        <w:rPr>
          <w:rFonts w:hint="cs"/>
          <w:sz w:val="24"/>
          <w:szCs w:val="24"/>
          <w:rtl/>
        </w:rPr>
        <w:t>האיסורים</w:t>
      </w:r>
      <w:r w:rsidRPr="00A21690">
        <w:rPr>
          <w:sz w:val="24"/>
          <w:szCs w:val="24"/>
          <w:rtl/>
        </w:rPr>
        <w:t xml:space="preserve"> </w:t>
      </w:r>
      <w:r w:rsidRPr="00A21690">
        <w:rPr>
          <w:rFonts w:hint="cs"/>
          <w:sz w:val="24"/>
          <w:szCs w:val="24"/>
          <w:rtl/>
        </w:rPr>
        <w:t>אם</w:t>
      </w:r>
      <w:r w:rsidRPr="00A21690">
        <w:rPr>
          <w:sz w:val="24"/>
          <w:szCs w:val="24"/>
          <w:rtl/>
        </w:rPr>
        <w:t xml:space="preserve"> </w:t>
      </w:r>
      <w:r w:rsidRPr="00A21690">
        <w:rPr>
          <w:rFonts w:hint="cs"/>
          <w:sz w:val="24"/>
          <w:szCs w:val="24"/>
          <w:rtl/>
        </w:rPr>
        <w:t>הי</w:t>
      </w:r>
      <w:r>
        <w:rPr>
          <w:rFonts w:hint="cs"/>
          <w:sz w:val="24"/>
          <w:szCs w:val="24"/>
          <w:rtl/>
        </w:rPr>
        <w:t>ה</w:t>
      </w:r>
      <w:r w:rsidRPr="00A21690">
        <w:rPr>
          <w:sz w:val="24"/>
          <w:szCs w:val="24"/>
          <w:rtl/>
        </w:rPr>
        <w:t xml:space="preserve"> </w:t>
      </w:r>
      <w:r w:rsidRPr="00A21690">
        <w:rPr>
          <w:rFonts w:hint="cs"/>
          <w:sz w:val="24"/>
          <w:szCs w:val="24"/>
          <w:rtl/>
        </w:rPr>
        <w:t>הנאת</w:t>
      </w:r>
      <w:r w:rsidRPr="00A21690">
        <w:rPr>
          <w:sz w:val="24"/>
          <w:szCs w:val="24"/>
          <w:rtl/>
        </w:rPr>
        <w:t xml:space="preserve"> </w:t>
      </w:r>
      <w:r w:rsidRPr="00A21690">
        <w:rPr>
          <w:rFonts w:hint="cs"/>
          <w:sz w:val="24"/>
          <w:szCs w:val="24"/>
          <w:rtl/>
        </w:rPr>
        <w:t>מעיים</w:t>
      </w:r>
      <w:r w:rsidRPr="00A21690">
        <w:rPr>
          <w:sz w:val="24"/>
          <w:szCs w:val="24"/>
          <w:rtl/>
        </w:rPr>
        <w:t xml:space="preserve"> </w:t>
      </w:r>
      <w:r w:rsidRPr="00A21690">
        <w:rPr>
          <w:rFonts w:hint="cs"/>
          <w:sz w:val="24"/>
          <w:szCs w:val="24"/>
          <w:rtl/>
        </w:rPr>
        <w:t>בלא</w:t>
      </w:r>
      <w:r w:rsidRPr="00A21690">
        <w:rPr>
          <w:sz w:val="24"/>
          <w:szCs w:val="24"/>
          <w:rtl/>
        </w:rPr>
        <w:t xml:space="preserve"> </w:t>
      </w:r>
      <w:r w:rsidRPr="00A21690">
        <w:rPr>
          <w:rFonts w:hint="cs"/>
          <w:sz w:val="24"/>
          <w:szCs w:val="24"/>
          <w:rtl/>
        </w:rPr>
        <w:t>הנאת</w:t>
      </w:r>
      <w:r w:rsidRPr="00A21690">
        <w:rPr>
          <w:sz w:val="24"/>
          <w:szCs w:val="24"/>
          <w:rtl/>
        </w:rPr>
        <w:t xml:space="preserve"> </w:t>
      </w:r>
      <w:r w:rsidRPr="00A21690">
        <w:rPr>
          <w:rFonts w:hint="cs"/>
          <w:sz w:val="24"/>
          <w:szCs w:val="24"/>
          <w:rtl/>
        </w:rPr>
        <w:t>גרון</w:t>
      </w:r>
      <w:r w:rsidRPr="00A21690">
        <w:rPr>
          <w:sz w:val="24"/>
          <w:szCs w:val="24"/>
          <w:rtl/>
        </w:rPr>
        <w:t xml:space="preserve"> </w:t>
      </w:r>
      <w:r>
        <w:rPr>
          <w:rFonts w:hint="cs"/>
          <w:sz w:val="24"/>
          <w:szCs w:val="24"/>
          <w:rtl/>
        </w:rPr>
        <w:t>אינו חייב,</w:t>
      </w:r>
      <w:r w:rsidRPr="00A21690">
        <w:rPr>
          <w:rFonts w:hint="cs"/>
          <w:sz w:val="24"/>
          <w:szCs w:val="24"/>
          <w:rtl/>
        </w:rPr>
        <w:t xml:space="preserve"> אך</w:t>
      </w:r>
      <w:r w:rsidRPr="00A21690">
        <w:rPr>
          <w:sz w:val="24"/>
          <w:szCs w:val="24"/>
          <w:rtl/>
        </w:rPr>
        <w:t xml:space="preserve"> </w:t>
      </w:r>
      <w:r w:rsidRPr="00A21690">
        <w:rPr>
          <w:rFonts w:hint="cs"/>
          <w:sz w:val="24"/>
          <w:szCs w:val="24"/>
          <w:rtl/>
        </w:rPr>
        <w:t>כ</w:t>
      </w:r>
      <w:r>
        <w:rPr>
          <w:rFonts w:hint="cs"/>
          <w:sz w:val="24"/>
          <w:szCs w:val="24"/>
          <w:rtl/>
        </w:rPr>
        <w:t>ל זה</w:t>
      </w:r>
      <w:r w:rsidRPr="00A21690">
        <w:rPr>
          <w:sz w:val="24"/>
          <w:szCs w:val="24"/>
          <w:rtl/>
        </w:rPr>
        <w:t xml:space="preserve"> </w:t>
      </w:r>
      <w:r w:rsidRPr="00A21690">
        <w:rPr>
          <w:rFonts w:hint="cs"/>
          <w:sz w:val="24"/>
          <w:szCs w:val="24"/>
          <w:rtl/>
        </w:rPr>
        <w:t>במקומות</w:t>
      </w:r>
      <w:r w:rsidRPr="00A21690">
        <w:rPr>
          <w:sz w:val="24"/>
          <w:szCs w:val="24"/>
          <w:rtl/>
        </w:rPr>
        <w:t xml:space="preserve"> </w:t>
      </w:r>
      <w:r w:rsidRPr="00A21690">
        <w:rPr>
          <w:rFonts w:hint="cs"/>
          <w:sz w:val="24"/>
          <w:szCs w:val="24"/>
          <w:rtl/>
        </w:rPr>
        <w:t>דכתיב</w:t>
      </w:r>
      <w:r w:rsidRPr="00A21690">
        <w:rPr>
          <w:sz w:val="24"/>
          <w:szCs w:val="24"/>
          <w:rtl/>
        </w:rPr>
        <w:t xml:space="preserve"> </w:t>
      </w:r>
      <w:r w:rsidRPr="00A21690">
        <w:rPr>
          <w:rFonts w:hint="cs"/>
          <w:sz w:val="24"/>
          <w:szCs w:val="24"/>
          <w:rtl/>
        </w:rPr>
        <w:t>אכילה</w:t>
      </w:r>
      <w:r w:rsidRPr="00A21690">
        <w:rPr>
          <w:sz w:val="24"/>
          <w:szCs w:val="24"/>
          <w:rtl/>
        </w:rPr>
        <w:t xml:space="preserve"> </w:t>
      </w:r>
      <w:r w:rsidRPr="00A21690">
        <w:rPr>
          <w:rFonts w:hint="cs"/>
          <w:sz w:val="24"/>
          <w:szCs w:val="24"/>
          <w:rtl/>
        </w:rPr>
        <w:t>בתורה</w:t>
      </w:r>
      <w:r w:rsidRPr="00A21690">
        <w:rPr>
          <w:sz w:val="24"/>
          <w:szCs w:val="24"/>
          <w:rtl/>
        </w:rPr>
        <w:t xml:space="preserve"> </w:t>
      </w:r>
      <w:r w:rsidRPr="00A21690">
        <w:rPr>
          <w:rFonts w:hint="cs"/>
          <w:sz w:val="24"/>
          <w:szCs w:val="24"/>
          <w:rtl/>
        </w:rPr>
        <w:t>ובלא</w:t>
      </w:r>
      <w:r w:rsidRPr="00A21690">
        <w:rPr>
          <w:sz w:val="24"/>
          <w:szCs w:val="24"/>
          <w:rtl/>
        </w:rPr>
        <w:t xml:space="preserve"> </w:t>
      </w:r>
      <w:r w:rsidRPr="00A21690">
        <w:rPr>
          <w:rFonts w:hint="cs"/>
          <w:sz w:val="24"/>
          <w:szCs w:val="24"/>
          <w:rtl/>
        </w:rPr>
        <w:t>הנאת</w:t>
      </w:r>
      <w:r w:rsidRPr="00A21690">
        <w:rPr>
          <w:sz w:val="24"/>
          <w:szCs w:val="24"/>
          <w:rtl/>
        </w:rPr>
        <w:t xml:space="preserve"> </w:t>
      </w:r>
      <w:r w:rsidRPr="00A21690">
        <w:rPr>
          <w:rFonts w:hint="cs"/>
          <w:sz w:val="24"/>
          <w:szCs w:val="24"/>
          <w:rtl/>
        </w:rPr>
        <w:t>גרון</w:t>
      </w:r>
      <w:r w:rsidRPr="00A21690">
        <w:rPr>
          <w:sz w:val="24"/>
          <w:szCs w:val="24"/>
          <w:rtl/>
        </w:rPr>
        <w:t xml:space="preserve"> </w:t>
      </w:r>
      <w:r w:rsidRPr="00A21690">
        <w:rPr>
          <w:rFonts w:hint="cs"/>
          <w:sz w:val="24"/>
          <w:szCs w:val="24"/>
          <w:rtl/>
        </w:rPr>
        <w:t>לא</w:t>
      </w:r>
      <w:r w:rsidRPr="00A21690">
        <w:rPr>
          <w:sz w:val="24"/>
          <w:szCs w:val="24"/>
          <w:rtl/>
        </w:rPr>
        <w:t xml:space="preserve"> </w:t>
      </w:r>
      <w:r w:rsidRPr="00A21690">
        <w:rPr>
          <w:rFonts w:hint="cs"/>
          <w:sz w:val="24"/>
          <w:szCs w:val="24"/>
          <w:rtl/>
        </w:rPr>
        <w:t>הוי</w:t>
      </w:r>
      <w:r w:rsidRPr="00A21690">
        <w:rPr>
          <w:sz w:val="24"/>
          <w:szCs w:val="24"/>
          <w:rtl/>
        </w:rPr>
        <w:t xml:space="preserve"> </w:t>
      </w:r>
      <w:r w:rsidRPr="00A21690">
        <w:rPr>
          <w:rFonts w:hint="cs"/>
          <w:sz w:val="24"/>
          <w:szCs w:val="24"/>
          <w:rtl/>
        </w:rPr>
        <w:t>אכילה</w:t>
      </w:r>
      <w:r w:rsidRPr="00A21690">
        <w:rPr>
          <w:sz w:val="24"/>
          <w:szCs w:val="24"/>
          <w:rtl/>
        </w:rPr>
        <w:t xml:space="preserve"> </w:t>
      </w:r>
      <w:r w:rsidRPr="00A21690">
        <w:rPr>
          <w:rFonts w:hint="cs"/>
          <w:sz w:val="24"/>
          <w:szCs w:val="24"/>
          <w:rtl/>
        </w:rPr>
        <w:t>כלל,</w:t>
      </w:r>
      <w:r w:rsidRPr="00A21690">
        <w:rPr>
          <w:sz w:val="24"/>
          <w:szCs w:val="24"/>
          <w:rtl/>
        </w:rPr>
        <w:t xml:space="preserve"> </w:t>
      </w:r>
      <w:r w:rsidRPr="00A21690">
        <w:rPr>
          <w:rFonts w:hint="cs"/>
          <w:sz w:val="24"/>
          <w:szCs w:val="24"/>
          <w:rtl/>
        </w:rPr>
        <w:t>אבל</w:t>
      </w:r>
      <w:r w:rsidRPr="00A21690">
        <w:rPr>
          <w:sz w:val="24"/>
          <w:szCs w:val="24"/>
          <w:rtl/>
        </w:rPr>
        <w:t xml:space="preserve"> </w:t>
      </w:r>
      <w:r w:rsidRPr="00A21690">
        <w:rPr>
          <w:rFonts w:hint="cs"/>
          <w:sz w:val="24"/>
          <w:szCs w:val="24"/>
          <w:rtl/>
        </w:rPr>
        <w:t>כאן</w:t>
      </w:r>
      <w:r w:rsidRPr="00A21690">
        <w:rPr>
          <w:sz w:val="24"/>
          <w:szCs w:val="24"/>
          <w:rtl/>
        </w:rPr>
        <w:t xml:space="preserve"> </w:t>
      </w:r>
      <w:r w:rsidRPr="00A21690">
        <w:rPr>
          <w:rFonts w:hint="cs"/>
          <w:sz w:val="24"/>
          <w:szCs w:val="24"/>
          <w:rtl/>
        </w:rPr>
        <w:t>דכתיב</w:t>
      </w:r>
      <w:r w:rsidRPr="00A21690">
        <w:rPr>
          <w:sz w:val="24"/>
          <w:szCs w:val="24"/>
          <w:rtl/>
        </w:rPr>
        <w:t xml:space="preserve"> </w:t>
      </w:r>
      <w:r>
        <w:rPr>
          <w:rFonts w:hint="cs"/>
          <w:sz w:val="24"/>
          <w:szCs w:val="24"/>
          <w:rtl/>
        </w:rPr>
        <w:t>'</w:t>
      </w:r>
      <w:r w:rsidRPr="00A21690">
        <w:rPr>
          <w:rFonts w:hint="cs"/>
          <w:sz w:val="24"/>
          <w:szCs w:val="24"/>
          <w:rtl/>
        </w:rPr>
        <w:t>לא</w:t>
      </w:r>
      <w:r w:rsidRPr="00A21690">
        <w:rPr>
          <w:sz w:val="24"/>
          <w:szCs w:val="24"/>
          <w:rtl/>
        </w:rPr>
        <w:t xml:space="preserve"> </w:t>
      </w:r>
      <w:r w:rsidRPr="00A21690">
        <w:rPr>
          <w:rFonts w:hint="cs"/>
          <w:sz w:val="24"/>
          <w:szCs w:val="24"/>
          <w:rtl/>
        </w:rPr>
        <w:t>תעונה</w:t>
      </w:r>
      <w:r>
        <w:rPr>
          <w:rFonts w:hint="cs"/>
          <w:sz w:val="24"/>
          <w:szCs w:val="24"/>
          <w:rtl/>
        </w:rPr>
        <w:t>'</w:t>
      </w:r>
      <w:r w:rsidRPr="00A21690">
        <w:rPr>
          <w:sz w:val="24"/>
          <w:szCs w:val="24"/>
          <w:rtl/>
        </w:rPr>
        <w:t xml:space="preserve"> </w:t>
      </w:r>
      <w:r w:rsidRPr="00A21690">
        <w:rPr>
          <w:rFonts w:hint="cs"/>
          <w:sz w:val="24"/>
          <w:szCs w:val="24"/>
          <w:rtl/>
        </w:rPr>
        <w:t>וביתובי</w:t>
      </w:r>
      <w:r w:rsidRPr="00A21690">
        <w:rPr>
          <w:sz w:val="24"/>
          <w:szCs w:val="24"/>
          <w:rtl/>
        </w:rPr>
        <w:t xml:space="preserve"> </w:t>
      </w:r>
      <w:r w:rsidRPr="00A21690">
        <w:rPr>
          <w:rFonts w:hint="cs"/>
          <w:sz w:val="24"/>
          <w:szCs w:val="24"/>
          <w:rtl/>
        </w:rPr>
        <w:t>דעתא</w:t>
      </w:r>
      <w:r w:rsidRPr="00A21690">
        <w:rPr>
          <w:sz w:val="24"/>
          <w:szCs w:val="24"/>
          <w:rtl/>
        </w:rPr>
        <w:t xml:space="preserve"> </w:t>
      </w:r>
      <w:r w:rsidRPr="00A21690">
        <w:rPr>
          <w:rFonts w:hint="cs"/>
          <w:sz w:val="24"/>
          <w:szCs w:val="24"/>
          <w:rtl/>
        </w:rPr>
        <w:t>תליא</w:t>
      </w:r>
      <w:r>
        <w:rPr>
          <w:rFonts w:hint="cs"/>
          <w:sz w:val="24"/>
          <w:szCs w:val="24"/>
          <w:rtl/>
        </w:rPr>
        <w:t>,</w:t>
      </w:r>
      <w:r w:rsidRPr="00A21690">
        <w:rPr>
          <w:sz w:val="24"/>
          <w:szCs w:val="24"/>
          <w:rtl/>
        </w:rPr>
        <w:t xml:space="preserve"> </w:t>
      </w:r>
      <w:r w:rsidRPr="00A21690">
        <w:rPr>
          <w:rFonts w:hint="cs"/>
          <w:sz w:val="24"/>
          <w:szCs w:val="24"/>
          <w:rtl/>
        </w:rPr>
        <w:t>אפשר</w:t>
      </w:r>
      <w:r w:rsidRPr="00A21690">
        <w:rPr>
          <w:sz w:val="24"/>
          <w:szCs w:val="24"/>
          <w:rtl/>
        </w:rPr>
        <w:t xml:space="preserve"> </w:t>
      </w:r>
      <w:r w:rsidRPr="00A21690">
        <w:rPr>
          <w:rFonts w:hint="cs"/>
          <w:sz w:val="24"/>
          <w:szCs w:val="24"/>
          <w:rtl/>
        </w:rPr>
        <w:t>דלא</w:t>
      </w:r>
      <w:r w:rsidRPr="00A21690">
        <w:rPr>
          <w:sz w:val="24"/>
          <w:szCs w:val="24"/>
          <w:rtl/>
        </w:rPr>
        <w:t xml:space="preserve"> </w:t>
      </w:r>
      <w:r w:rsidRPr="00A21690">
        <w:rPr>
          <w:rFonts w:hint="cs"/>
          <w:sz w:val="24"/>
          <w:szCs w:val="24"/>
          <w:rtl/>
        </w:rPr>
        <w:t>בעינן</w:t>
      </w:r>
      <w:r w:rsidRPr="00A21690">
        <w:rPr>
          <w:sz w:val="24"/>
          <w:szCs w:val="24"/>
          <w:rtl/>
        </w:rPr>
        <w:t xml:space="preserve"> </w:t>
      </w:r>
      <w:r w:rsidRPr="00A21690">
        <w:rPr>
          <w:rFonts w:hint="cs"/>
          <w:sz w:val="24"/>
          <w:szCs w:val="24"/>
          <w:rtl/>
        </w:rPr>
        <w:t>הנאת</w:t>
      </w:r>
      <w:r w:rsidRPr="00A21690">
        <w:rPr>
          <w:sz w:val="24"/>
          <w:szCs w:val="24"/>
          <w:rtl/>
        </w:rPr>
        <w:t xml:space="preserve"> </w:t>
      </w:r>
      <w:r w:rsidRPr="00A21690">
        <w:rPr>
          <w:rFonts w:hint="cs"/>
          <w:sz w:val="24"/>
          <w:szCs w:val="24"/>
          <w:rtl/>
        </w:rPr>
        <w:t>גרון</w:t>
      </w:r>
      <w:r w:rsidRPr="00A21690">
        <w:rPr>
          <w:sz w:val="24"/>
          <w:szCs w:val="24"/>
          <w:rtl/>
        </w:rPr>
        <w:t xml:space="preserve"> </w:t>
      </w:r>
      <w:r w:rsidRPr="00A21690">
        <w:rPr>
          <w:rFonts w:hint="cs"/>
          <w:sz w:val="24"/>
          <w:szCs w:val="24"/>
          <w:rtl/>
        </w:rPr>
        <w:t>כלל</w:t>
      </w:r>
      <w:r w:rsidRPr="00A21690">
        <w:rPr>
          <w:sz w:val="24"/>
          <w:szCs w:val="24"/>
          <w:rtl/>
        </w:rPr>
        <w:t xml:space="preserve"> </w:t>
      </w:r>
      <w:r w:rsidRPr="00A21690">
        <w:rPr>
          <w:rFonts w:hint="cs"/>
          <w:sz w:val="24"/>
          <w:szCs w:val="24"/>
          <w:rtl/>
        </w:rPr>
        <w:t>רק</w:t>
      </w:r>
      <w:r w:rsidRPr="00A21690">
        <w:rPr>
          <w:sz w:val="24"/>
          <w:szCs w:val="24"/>
          <w:rtl/>
        </w:rPr>
        <w:t xml:space="preserve"> </w:t>
      </w:r>
      <w:r w:rsidRPr="00A21690">
        <w:rPr>
          <w:rFonts w:hint="cs"/>
          <w:sz w:val="24"/>
          <w:szCs w:val="24"/>
          <w:rtl/>
        </w:rPr>
        <w:t>מילוי</w:t>
      </w:r>
      <w:r w:rsidRPr="00A21690">
        <w:rPr>
          <w:sz w:val="24"/>
          <w:szCs w:val="24"/>
          <w:rtl/>
        </w:rPr>
        <w:t xml:space="preserve"> </w:t>
      </w:r>
      <w:r w:rsidRPr="00A21690">
        <w:rPr>
          <w:rFonts w:hint="cs"/>
          <w:sz w:val="24"/>
          <w:szCs w:val="24"/>
          <w:rtl/>
        </w:rPr>
        <w:t>המעיים</w:t>
      </w:r>
      <w:r w:rsidRPr="00A21690">
        <w:rPr>
          <w:sz w:val="24"/>
          <w:szCs w:val="24"/>
          <w:rtl/>
        </w:rPr>
        <w:t xml:space="preserve"> </w:t>
      </w:r>
      <w:r w:rsidRPr="00A21690">
        <w:rPr>
          <w:rFonts w:hint="cs"/>
          <w:sz w:val="24"/>
          <w:szCs w:val="24"/>
          <w:rtl/>
        </w:rPr>
        <w:t>לחוד</w:t>
      </w:r>
      <w:r w:rsidRPr="00A21690">
        <w:rPr>
          <w:sz w:val="24"/>
          <w:szCs w:val="24"/>
          <w:rtl/>
        </w:rPr>
        <w:t xml:space="preserve"> </w:t>
      </w:r>
      <w:r w:rsidRPr="00A21690">
        <w:rPr>
          <w:rFonts w:hint="cs"/>
          <w:sz w:val="24"/>
          <w:szCs w:val="24"/>
          <w:rtl/>
        </w:rPr>
        <w:t>סגי.</w:t>
      </w:r>
      <w:r>
        <w:rPr>
          <w:sz w:val="24"/>
          <w:szCs w:val="24"/>
          <w:rtl/>
        </w:rPr>
        <w:tab/>
      </w:r>
      <w:r>
        <w:rPr>
          <w:sz w:val="24"/>
          <w:szCs w:val="24"/>
          <w:rtl/>
        </w:rPr>
        <w:tab/>
      </w:r>
      <w:r>
        <w:rPr>
          <w:rFonts w:hint="cs"/>
          <w:sz w:val="20"/>
          <w:szCs w:val="20"/>
          <w:rtl/>
        </w:rPr>
        <w:t>[שם]</w:t>
      </w:r>
    </w:p>
    <w:p w:rsidR="0010620B" w:rsidRDefault="0010620B" w:rsidP="0010620B">
      <w:pPr>
        <w:spacing w:before="160" w:line="276" w:lineRule="auto"/>
        <w:ind w:firstLine="227"/>
        <w:rPr>
          <w:sz w:val="24"/>
          <w:szCs w:val="24"/>
          <w:rtl/>
        </w:rPr>
      </w:pPr>
      <w:r>
        <w:rPr>
          <w:rFonts w:hint="cs"/>
          <w:sz w:val="24"/>
          <w:szCs w:val="24"/>
          <w:rtl/>
        </w:rPr>
        <w:t>דברי המנחת החינוך הללו מבוססים על הנחה שגדר האיסור ביום הכיפורים אינו על מעשה האכילה (כשאר איסורי התורה) אלא על ביטול העינוי.</w:t>
      </w:r>
    </w:p>
    <w:p w:rsidR="0010620B" w:rsidRPr="00A21690" w:rsidRDefault="0010620B" w:rsidP="0010620B">
      <w:pPr>
        <w:spacing w:before="160" w:line="276" w:lineRule="auto"/>
        <w:ind w:firstLine="227"/>
        <w:rPr>
          <w:sz w:val="24"/>
          <w:szCs w:val="24"/>
          <w:rtl/>
        </w:rPr>
      </w:pPr>
      <w:r>
        <w:rPr>
          <w:rFonts w:hint="cs"/>
          <w:sz w:val="24"/>
          <w:szCs w:val="24"/>
          <w:rtl/>
        </w:rPr>
        <w:t>המנחת חינוך דוחה סברה</w:t>
      </w:r>
      <w:r w:rsidRPr="00A21690">
        <w:rPr>
          <w:rFonts w:hint="cs"/>
          <w:sz w:val="24"/>
          <w:szCs w:val="24"/>
          <w:rtl/>
        </w:rPr>
        <w:t xml:space="preserve"> זו:</w:t>
      </w:r>
    </w:p>
    <w:p w:rsidR="0010620B" w:rsidRPr="00AD138B" w:rsidRDefault="0010620B" w:rsidP="0010620B">
      <w:pPr>
        <w:spacing w:before="160" w:line="276" w:lineRule="auto"/>
        <w:ind w:left="720"/>
        <w:rPr>
          <w:sz w:val="20"/>
          <w:szCs w:val="20"/>
          <w:rtl/>
        </w:rPr>
      </w:pPr>
      <w:r w:rsidRPr="00A21690">
        <w:rPr>
          <w:rFonts w:hint="cs"/>
          <w:sz w:val="24"/>
          <w:szCs w:val="24"/>
          <w:rtl/>
        </w:rPr>
        <w:t>אך</w:t>
      </w:r>
      <w:r w:rsidRPr="00A21690">
        <w:rPr>
          <w:sz w:val="24"/>
          <w:szCs w:val="24"/>
          <w:rtl/>
        </w:rPr>
        <w:t xml:space="preserve"> </w:t>
      </w:r>
      <w:r w:rsidRPr="00A21690">
        <w:rPr>
          <w:rFonts w:hint="cs"/>
          <w:sz w:val="24"/>
          <w:szCs w:val="24"/>
          <w:rtl/>
        </w:rPr>
        <w:t>באמת</w:t>
      </w:r>
      <w:r w:rsidRPr="00A21690">
        <w:rPr>
          <w:sz w:val="24"/>
          <w:szCs w:val="24"/>
          <w:rtl/>
        </w:rPr>
        <w:t xml:space="preserve"> </w:t>
      </w:r>
      <w:r w:rsidRPr="00A21690">
        <w:rPr>
          <w:rFonts w:hint="cs"/>
          <w:sz w:val="24"/>
          <w:szCs w:val="24"/>
          <w:rtl/>
        </w:rPr>
        <w:t>ברור</w:t>
      </w:r>
      <w:r w:rsidRPr="00A21690">
        <w:rPr>
          <w:sz w:val="24"/>
          <w:szCs w:val="24"/>
          <w:rtl/>
        </w:rPr>
        <w:t xml:space="preserve"> </w:t>
      </w:r>
      <w:r w:rsidRPr="00A21690">
        <w:rPr>
          <w:rFonts w:hint="cs"/>
          <w:sz w:val="24"/>
          <w:szCs w:val="24"/>
          <w:rtl/>
        </w:rPr>
        <w:t>דבעינן</w:t>
      </w:r>
      <w:r w:rsidRPr="00A21690">
        <w:rPr>
          <w:sz w:val="24"/>
          <w:szCs w:val="24"/>
          <w:rtl/>
        </w:rPr>
        <w:t xml:space="preserve"> </w:t>
      </w:r>
      <w:r w:rsidRPr="00A21690">
        <w:rPr>
          <w:rFonts w:hint="cs"/>
          <w:sz w:val="24"/>
          <w:szCs w:val="24"/>
          <w:rtl/>
        </w:rPr>
        <w:t>הנאת</w:t>
      </w:r>
      <w:r w:rsidRPr="00A21690">
        <w:rPr>
          <w:sz w:val="24"/>
          <w:szCs w:val="24"/>
          <w:rtl/>
        </w:rPr>
        <w:t xml:space="preserve"> </w:t>
      </w:r>
      <w:r w:rsidRPr="00A21690">
        <w:rPr>
          <w:rFonts w:hint="cs"/>
          <w:sz w:val="24"/>
          <w:szCs w:val="24"/>
          <w:rtl/>
        </w:rPr>
        <w:t>גרון</w:t>
      </w:r>
      <w:r w:rsidRPr="00A21690">
        <w:rPr>
          <w:sz w:val="24"/>
          <w:szCs w:val="24"/>
          <w:rtl/>
        </w:rPr>
        <w:t xml:space="preserve"> </w:t>
      </w:r>
      <w:r w:rsidRPr="00A21690">
        <w:rPr>
          <w:rFonts w:hint="cs"/>
          <w:sz w:val="24"/>
          <w:szCs w:val="24"/>
          <w:rtl/>
        </w:rPr>
        <w:t>ג</w:t>
      </w:r>
      <w:r>
        <w:rPr>
          <w:rFonts w:hint="cs"/>
          <w:sz w:val="24"/>
          <w:szCs w:val="24"/>
          <w:rtl/>
        </w:rPr>
        <w:t>ם כן</w:t>
      </w:r>
      <w:r w:rsidRPr="00A21690">
        <w:rPr>
          <w:rFonts w:hint="cs"/>
          <w:sz w:val="24"/>
          <w:szCs w:val="24"/>
          <w:rtl/>
        </w:rPr>
        <w:t>,</w:t>
      </w:r>
      <w:r w:rsidRPr="00A21690">
        <w:rPr>
          <w:sz w:val="24"/>
          <w:szCs w:val="24"/>
          <w:rtl/>
        </w:rPr>
        <w:t xml:space="preserve"> </w:t>
      </w:r>
      <w:r w:rsidRPr="00A21690">
        <w:rPr>
          <w:rFonts w:hint="cs"/>
          <w:sz w:val="24"/>
          <w:szCs w:val="24"/>
          <w:rtl/>
        </w:rPr>
        <w:t>דאי</w:t>
      </w:r>
      <w:r w:rsidRPr="00A21690">
        <w:rPr>
          <w:sz w:val="24"/>
          <w:szCs w:val="24"/>
          <w:rtl/>
        </w:rPr>
        <w:t xml:space="preserve"> </w:t>
      </w:r>
      <w:r w:rsidRPr="00A21690">
        <w:rPr>
          <w:rFonts w:hint="cs"/>
          <w:sz w:val="24"/>
          <w:szCs w:val="24"/>
          <w:rtl/>
        </w:rPr>
        <w:t>לא</w:t>
      </w:r>
      <w:r w:rsidRPr="00A21690">
        <w:rPr>
          <w:sz w:val="24"/>
          <w:szCs w:val="24"/>
          <w:rtl/>
        </w:rPr>
        <w:t xml:space="preserve"> </w:t>
      </w:r>
      <w:r w:rsidRPr="00A21690">
        <w:rPr>
          <w:rFonts w:hint="cs"/>
          <w:sz w:val="24"/>
          <w:szCs w:val="24"/>
          <w:rtl/>
        </w:rPr>
        <w:t>בעינן</w:t>
      </w:r>
      <w:r w:rsidRPr="00A21690">
        <w:rPr>
          <w:sz w:val="24"/>
          <w:szCs w:val="24"/>
          <w:rtl/>
        </w:rPr>
        <w:t xml:space="preserve"> </w:t>
      </w:r>
      <w:r w:rsidRPr="00A21690">
        <w:rPr>
          <w:rFonts w:hint="cs"/>
          <w:sz w:val="24"/>
          <w:szCs w:val="24"/>
          <w:rtl/>
        </w:rPr>
        <w:t>רק</w:t>
      </w:r>
      <w:r w:rsidRPr="00A21690">
        <w:rPr>
          <w:sz w:val="24"/>
          <w:szCs w:val="24"/>
          <w:rtl/>
        </w:rPr>
        <w:t xml:space="preserve"> </w:t>
      </w:r>
      <w:r w:rsidRPr="00A21690">
        <w:rPr>
          <w:rFonts w:hint="cs"/>
          <w:sz w:val="24"/>
          <w:szCs w:val="24"/>
          <w:rtl/>
        </w:rPr>
        <w:t>מילוי</w:t>
      </w:r>
      <w:r w:rsidRPr="00A21690">
        <w:rPr>
          <w:sz w:val="24"/>
          <w:szCs w:val="24"/>
          <w:rtl/>
        </w:rPr>
        <w:t xml:space="preserve"> </w:t>
      </w:r>
      <w:r w:rsidRPr="00A21690">
        <w:rPr>
          <w:rFonts w:hint="cs"/>
          <w:sz w:val="24"/>
          <w:szCs w:val="24"/>
          <w:rtl/>
        </w:rPr>
        <w:t>המעיים,</w:t>
      </w:r>
      <w:r w:rsidRPr="00A21690">
        <w:rPr>
          <w:sz w:val="24"/>
          <w:szCs w:val="24"/>
          <w:rtl/>
        </w:rPr>
        <w:t xml:space="preserve"> </w:t>
      </w:r>
      <w:r w:rsidRPr="00A21690">
        <w:rPr>
          <w:rFonts w:hint="cs"/>
          <w:sz w:val="24"/>
          <w:szCs w:val="24"/>
          <w:rtl/>
        </w:rPr>
        <w:t>א</w:t>
      </w:r>
      <w:r>
        <w:rPr>
          <w:rFonts w:hint="cs"/>
          <w:sz w:val="24"/>
          <w:szCs w:val="24"/>
          <w:rtl/>
        </w:rPr>
        <w:t>ם כן</w:t>
      </w:r>
      <w:r w:rsidRPr="00A21690">
        <w:rPr>
          <w:sz w:val="24"/>
          <w:szCs w:val="24"/>
          <w:rtl/>
        </w:rPr>
        <w:t xml:space="preserve"> </w:t>
      </w:r>
      <w:r w:rsidRPr="00A21690">
        <w:rPr>
          <w:rFonts w:hint="cs"/>
          <w:sz w:val="24"/>
          <w:szCs w:val="24"/>
          <w:rtl/>
        </w:rPr>
        <w:t>אפי</w:t>
      </w:r>
      <w:r>
        <w:rPr>
          <w:rFonts w:hint="cs"/>
          <w:sz w:val="24"/>
          <w:szCs w:val="24"/>
          <w:rtl/>
        </w:rPr>
        <w:t xml:space="preserve">לו </w:t>
      </w:r>
      <w:r w:rsidRPr="00A21690">
        <w:rPr>
          <w:rFonts w:hint="cs"/>
          <w:sz w:val="24"/>
          <w:szCs w:val="24"/>
          <w:rtl/>
        </w:rPr>
        <w:t>אכל</w:t>
      </w:r>
      <w:r w:rsidRPr="00A21690">
        <w:rPr>
          <w:sz w:val="24"/>
          <w:szCs w:val="24"/>
          <w:rtl/>
        </w:rPr>
        <w:t xml:space="preserve"> </w:t>
      </w:r>
      <w:r w:rsidRPr="00A21690">
        <w:rPr>
          <w:rFonts w:hint="cs"/>
          <w:sz w:val="24"/>
          <w:szCs w:val="24"/>
          <w:rtl/>
        </w:rPr>
        <w:t>השיעור</w:t>
      </w:r>
      <w:r w:rsidRPr="00A21690">
        <w:rPr>
          <w:sz w:val="24"/>
          <w:szCs w:val="24"/>
          <w:rtl/>
        </w:rPr>
        <w:t xml:space="preserve"> </w:t>
      </w:r>
      <w:r w:rsidRPr="00A21690">
        <w:rPr>
          <w:rFonts w:hint="cs"/>
          <w:sz w:val="24"/>
          <w:szCs w:val="24"/>
          <w:rtl/>
        </w:rPr>
        <w:t>יותר</w:t>
      </w:r>
      <w:r w:rsidRPr="00A21690">
        <w:rPr>
          <w:sz w:val="24"/>
          <w:szCs w:val="24"/>
          <w:rtl/>
        </w:rPr>
        <w:t xml:space="preserve"> </w:t>
      </w:r>
      <w:r w:rsidRPr="00A21690">
        <w:rPr>
          <w:rFonts w:hint="cs"/>
          <w:sz w:val="24"/>
          <w:szCs w:val="24"/>
          <w:rtl/>
        </w:rPr>
        <w:t>מכ</w:t>
      </w:r>
      <w:r>
        <w:rPr>
          <w:rFonts w:hint="cs"/>
          <w:sz w:val="24"/>
          <w:szCs w:val="24"/>
          <w:rtl/>
        </w:rPr>
        <w:t>די אכילת פרס הוי ליה לצרף כל זמן שלא נתעכל החצי שיעור</w:t>
      </w:r>
      <w:r w:rsidRPr="00A21690">
        <w:rPr>
          <w:sz w:val="24"/>
          <w:szCs w:val="24"/>
          <w:rtl/>
        </w:rPr>
        <w:t xml:space="preserve"> </w:t>
      </w:r>
      <w:r w:rsidRPr="00A21690">
        <w:rPr>
          <w:rFonts w:hint="cs"/>
          <w:sz w:val="24"/>
          <w:szCs w:val="24"/>
          <w:rtl/>
        </w:rPr>
        <w:t>הראשון,</w:t>
      </w:r>
      <w:r w:rsidRPr="00A21690">
        <w:rPr>
          <w:sz w:val="24"/>
          <w:szCs w:val="24"/>
          <w:rtl/>
        </w:rPr>
        <w:t xml:space="preserve"> </w:t>
      </w:r>
      <w:r w:rsidRPr="00A21690">
        <w:rPr>
          <w:rFonts w:hint="cs"/>
          <w:sz w:val="24"/>
          <w:szCs w:val="24"/>
          <w:rtl/>
        </w:rPr>
        <w:lastRenderedPageBreak/>
        <w:t>כיון</w:t>
      </w:r>
      <w:r w:rsidRPr="00A21690">
        <w:rPr>
          <w:sz w:val="24"/>
          <w:szCs w:val="24"/>
          <w:rtl/>
        </w:rPr>
        <w:t xml:space="preserve"> </w:t>
      </w:r>
      <w:r w:rsidRPr="00A21690">
        <w:rPr>
          <w:rFonts w:hint="cs"/>
          <w:sz w:val="24"/>
          <w:szCs w:val="24"/>
          <w:rtl/>
        </w:rPr>
        <w:t>דבמעיים</w:t>
      </w:r>
      <w:r w:rsidRPr="00A21690">
        <w:rPr>
          <w:sz w:val="24"/>
          <w:szCs w:val="24"/>
          <w:rtl/>
        </w:rPr>
        <w:t xml:space="preserve"> </w:t>
      </w:r>
      <w:r w:rsidRPr="00A21690">
        <w:rPr>
          <w:rFonts w:hint="cs"/>
          <w:sz w:val="24"/>
          <w:szCs w:val="24"/>
          <w:rtl/>
        </w:rPr>
        <w:t>הם</w:t>
      </w:r>
      <w:r w:rsidRPr="00A21690">
        <w:rPr>
          <w:sz w:val="24"/>
          <w:szCs w:val="24"/>
          <w:rtl/>
        </w:rPr>
        <w:t xml:space="preserve"> </w:t>
      </w:r>
      <w:r w:rsidRPr="00A21690">
        <w:rPr>
          <w:rFonts w:hint="cs"/>
          <w:sz w:val="24"/>
          <w:szCs w:val="24"/>
          <w:rtl/>
        </w:rPr>
        <w:t>שיעור</w:t>
      </w:r>
      <w:r w:rsidRPr="00A21690">
        <w:rPr>
          <w:sz w:val="24"/>
          <w:szCs w:val="24"/>
          <w:rtl/>
        </w:rPr>
        <w:t xml:space="preserve"> </w:t>
      </w:r>
      <w:r>
        <w:rPr>
          <w:rFonts w:hint="cs"/>
          <w:sz w:val="24"/>
          <w:szCs w:val="24"/>
          <w:rtl/>
        </w:rPr>
        <w:t>שלם, אם כן ביום הכיפורים דבעינן בתוך כדי אכילת פרס</w:t>
      </w:r>
      <w:r w:rsidRPr="00A21690">
        <w:rPr>
          <w:sz w:val="24"/>
          <w:szCs w:val="24"/>
          <w:rtl/>
        </w:rPr>
        <w:t xml:space="preserve"> </w:t>
      </w:r>
      <w:r w:rsidRPr="00A21690">
        <w:rPr>
          <w:rFonts w:hint="cs"/>
          <w:sz w:val="24"/>
          <w:szCs w:val="24"/>
          <w:rtl/>
        </w:rPr>
        <w:t>וביותר</w:t>
      </w:r>
      <w:r w:rsidRPr="00A21690">
        <w:rPr>
          <w:sz w:val="24"/>
          <w:szCs w:val="24"/>
          <w:rtl/>
        </w:rPr>
        <w:t xml:space="preserve"> </w:t>
      </w:r>
      <w:r w:rsidRPr="00A21690">
        <w:rPr>
          <w:rFonts w:hint="cs"/>
          <w:sz w:val="24"/>
          <w:szCs w:val="24"/>
          <w:rtl/>
        </w:rPr>
        <w:t>אינו</w:t>
      </w:r>
      <w:r w:rsidRPr="00A21690">
        <w:rPr>
          <w:sz w:val="24"/>
          <w:szCs w:val="24"/>
          <w:rtl/>
        </w:rPr>
        <w:t xml:space="preserve"> </w:t>
      </w:r>
      <w:r w:rsidRPr="00A21690">
        <w:rPr>
          <w:rFonts w:hint="cs"/>
          <w:sz w:val="24"/>
          <w:szCs w:val="24"/>
          <w:rtl/>
        </w:rPr>
        <w:t>מצטרף</w:t>
      </w:r>
      <w:r>
        <w:rPr>
          <w:rFonts w:hint="cs"/>
          <w:sz w:val="24"/>
          <w:szCs w:val="24"/>
          <w:rtl/>
        </w:rPr>
        <w:t>,</w:t>
      </w:r>
      <w:r w:rsidRPr="00A21690">
        <w:rPr>
          <w:sz w:val="24"/>
          <w:szCs w:val="24"/>
          <w:rtl/>
        </w:rPr>
        <w:t xml:space="preserve"> </w:t>
      </w:r>
      <w:r w:rsidRPr="00A21690">
        <w:rPr>
          <w:rFonts w:hint="cs"/>
          <w:sz w:val="24"/>
          <w:szCs w:val="24"/>
          <w:rtl/>
        </w:rPr>
        <w:t>ע</w:t>
      </w:r>
      <w:r>
        <w:rPr>
          <w:rFonts w:hint="cs"/>
          <w:sz w:val="24"/>
          <w:szCs w:val="24"/>
          <w:rtl/>
        </w:rPr>
        <w:t>ל כרחך</w:t>
      </w:r>
      <w:r w:rsidRPr="00A21690">
        <w:rPr>
          <w:sz w:val="24"/>
          <w:szCs w:val="24"/>
          <w:rtl/>
        </w:rPr>
        <w:t xml:space="preserve"> </w:t>
      </w:r>
      <w:r w:rsidRPr="00A21690">
        <w:rPr>
          <w:rFonts w:hint="cs"/>
          <w:sz w:val="24"/>
          <w:szCs w:val="24"/>
          <w:rtl/>
        </w:rPr>
        <w:t>דבעינן</w:t>
      </w:r>
      <w:r w:rsidRPr="00A21690">
        <w:rPr>
          <w:sz w:val="24"/>
          <w:szCs w:val="24"/>
          <w:rtl/>
        </w:rPr>
        <w:t xml:space="preserve"> </w:t>
      </w:r>
      <w:r w:rsidRPr="00A21690">
        <w:rPr>
          <w:rFonts w:hint="cs"/>
          <w:sz w:val="24"/>
          <w:szCs w:val="24"/>
          <w:rtl/>
        </w:rPr>
        <w:t>הנאת</w:t>
      </w:r>
      <w:r w:rsidRPr="00A21690">
        <w:rPr>
          <w:sz w:val="24"/>
          <w:szCs w:val="24"/>
          <w:rtl/>
        </w:rPr>
        <w:t xml:space="preserve"> </w:t>
      </w:r>
      <w:r w:rsidRPr="00A21690">
        <w:rPr>
          <w:rFonts w:hint="cs"/>
          <w:sz w:val="24"/>
          <w:szCs w:val="24"/>
          <w:rtl/>
        </w:rPr>
        <w:t>גרון</w:t>
      </w:r>
      <w:r w:rsidRPr="00A21690">
        <w:rPr>
          <w:sz w:val="24"/>
          <w:szCs w:val="24"/>
          <w:rtl/>
        </w:rPr>
        <w:t xml:space="preserve"> </w:t>
      </w:r>
      <w:r w:rsidRPr="00A21690">
        <w:rPr>
          <w:rFonts w:hint="cs"/>
          <w:sz w:val="24"/>
          <w:szCs w:val="24"/>
          <w:rtl/>
        </w:rPr>
        <w:t>ג</w:t>
      </w:r>
      <w:r>
        <w:rPr>
          <w:rFonts w:hint="cs"/>
          <w:sz w:val="24"/>
          <w:szCs w:val="24"/>
          <w:rtl/>
        </w:rPr>
        <w:t>ם כן</w:t>
      </w:r>
      <w:r w:rsidRPr="00A21690">
        <w:rPr>
          <w:sz w:val="24"/>
          <w:szCs w:val="24"/>
          <w:rtl/>
        </w:rPr>
        <w:t xml:space="preserve"> </w:t>
      </w:r>
      <w:r w:rsidRPr="00A21690">
        <w:rPr>
          <w:rFonts w:hint="cs"/>
          <w:sz w:val="24"/>
          <w:szCs w:val="24"/>
          <w:rtl/>
        </w:rPr>
        <w:t>ובהנאת</w:t>
      </w:r>
      <w:r w:rsidRPr="00A21690">
        <w:rPr>
          <w:sz w:val="24"/>
          <w:szCs w:val="24"/>
          <w:rtl/>
        </w:rPr>
        <w:t xml:space="preserve"> </w:t>
      </w:r>
      <w:r w:rsidRPr="00A21690">
        <w:rPr>
          <w:rFonts w:hint="cs"/>
          <w:sz w:val="24"/>
          <w:szCs w:val="24"/>
          <w:rtl/>
        </w:rPr>
        <w:t>גרון</w:t>
      </w:r>
      <w:r w:rsidRPr="00A21690">
        <w:rPr>
          <w:sz w:val="24"/>
          <w:szCs w:val="24"/>
          <w:rtl/>
        </w:rPr>
        <w:t xml:space="preserve"> </w:t>
      </w:r>
      <w:r w:rsidRPr="00A21690">
        <w:rPr>
          <w:rFonts w:hint="cs"/>
          <w:sz w:val="24"/>
          <w:szCs w:val="24"/>
          <w:rtl/>
        </w:rPr>
        <w:t>הל</w:t>
      </w:r>
      <w:r>
        <w:rPr>
          <w:rFonts w:hint="cs"/>
          <w:sz w:val="24"/>
          <w:szCs w:val="24"/>
          <w:rtl/>
        </w:rPr>
        <w:t>כה למשה מסיני</w:t>
      </w:r>
      <w:r w:rsidRPr="00A21690">
        <w:rPr>
          <w:sz w:val="24"/>
          <w:szCs w:val="24"/>
          <w:rtl/>
        </w:rPr>
        <w:t xml:space="preserve"> </w:t>
      </w:r>
      <w:r w:rsidRPr="00A21690">
        <w:rPr>
          <w:rFonts w:hint="cs"/>
          <w:sz w:val="24"/>
          <w:szCs w:val="24"/>
          <w:rtl/>
        </w:rPr>
        <w:t>דהגרון</w:t>
      </w:r>
      <w:r w:rsidRPr="00A21690">
        <w:rPr>
          <w:sz w:val="24"/>
          <w:szCs w:val="24"/>
          <w:rtl/>
        </w:rPr>
        <w:t xml:space="preserve"> </w:t>
      </w:r>
      <w:r w:rsidRPr="00A21690">
        <w:rPr>
          <w:rFonts w:hint="cs"/>
          <w:sz w:val="24"/>
          <w:szCs w:val="24"/>
          <w:rtl/>
        </w:rPr>
        <w:t>צריך</w:t>
      </w:r>
      <w:r w:rsidRPr="00A21690">
        <w:rPr>
          <w:sz w:val="24"/>
          <w:szCs w:val="24"/>
          <w:rtl/>
        </w:rPr>
        <w:t xml:space="preserve"> </w:t>
      </w:r>
      <w:r w:rsidRPr="00A21690">
        <w:rPr>
          <w:rFonts w:hint="cs"/>
          <w:sz w:val="24"/>
          <w:szCs w:val="24"/>
          <w:rtl/>
        </w:rPr>
        <w:t>ל</w:t>
      </w:r>
      <w:r>
        <w:rPr>
          <w:rFonts w:hint="cs"/>
          <w:sz w:val="24"/>
          <w:szCs w:val="24"/>
          <w:rtl/>
        </w:rPr>
        <w:t>י</w:t>
      </w:r>
      <w:r w:rsidRPr="00A21690">
        <w:rPr>
          <w:rFonts w:hint="cs"/>
          <w:sz w:val="24"/>
          <w:szCs w:val="24"/>
          <w:rtl/>
        </w:rPr>
        <w:t>הנות</w:t>
      </w:r>
      <w:r w:rsidRPr="00A21690">
        <w:rPr>
          <w:sz w:val="24"/>
          <w:szCs w:val="24"/>
          <w:rtl/>
        </w:rPr>
        <w:t xml:space="preserve"> </w:t>
      </w:r>
      <w:r w:rsidRPr="00A21690">
        <w:rPr>
          <w:rFonts w:hint="cs"/>
          <w:sz w:val="24"/>
          <w:szCs w:val="24"/>
          <w:rtl/>
        </w:rPr>
        <w:t>מהשיעור</w:t>
      </w:r>
      <w:r w:rsidRPr="00A21690">
        <w:rPr>
          <w:sz w:val="24"/>
          <w:szCs w:val="24"/>
          <w:rtl/>
        </w:rPr>
        <w:t xml:space="preserve"> </w:t>
      </w:r>
      <w:r w:rsidRPr="00A21690">
        <w:rPr>
          <w:rFonts w:hint="cs"/>
          <w:sz w:val="24"/>
          <w:szCs w:val="24"/>
          <w:rtl/>
        </w:rPr>
        <w:t>תוך</w:t>
      </w:r>
      <w:r w:rsidRPr="00A21690">
        <w:rPr>
          <w:sz w:val="24"/>
          <w:szCs w:val="24"/>
          <w:rtl/>
        </w:rPr>
        <w:t xml:space="preserve"> </w:t>
      </w:r>
      <w:r w:rsidRPr="00A21690">
        <w:rPr>
          <w:rFonts w:hint="cs"/>
          <w:sz w:val="24"/>
          <w:szCs w:val="24"/>
          <w:rtl/>
        </w:rPr>
        <w:t>א</w:t>
      </w:r>
      <w:r>
        <w:rPr>
          <w:rFonts w:hint="cs"/>
          <w:sz w:val="24"/>
          <w:szCs w:val="24"/>
          <w:rtl/>
        </w:rPr>
        <w:t>כילת פרס,</w:t>
      </w:r>
      <w:r w:rsidRPr="00A21690">
        <w:rPr>
          <w:sz w:val="24"/>
          <w:szCs w:val="24"/>
          <w:rtl/>
        </w:rPr>
        <w:t xml:space="preserve"> </w:t>
      </w:r>
      <w:r w:rsidRPr="00A21690">
        <w:rPr>
          <w:rFonts w:hint="cs"/>
          <w:sz w:val="24"/>
          <w:szCs w:val="24"/>
          <w:rtl/>
        </w:rPr>
        <w:t>וביותר</w:t>
      </w:r>
      <w:r w:rsidRPr="00A21690">
        <w:rPr>
          <w:sz w:val="24"/>
          <w:szCs w:val="24"/>
          <w:rtl/>
        </w:rPr>
        <w:t xml:space="preserve"> </w:t>
      </w:r>
      <w:r w:rsidRPr="00A21690">
        <w:rPr>
          <w:rFonts w:hint="cs"/>
          <w:sz w:val="24"/>
          <w:szCs w:val="24"/>
          <w:rtl/>
        </w:rPr>
        <w:t>אין</w:t>
      </w:r>
      <w:r w:rsidRPr="00A21690">
        <w:rPr>
          <w:sz w:val="24"/>
          <w:szCs w:val="24"/>
          <w:rtl/>
        </w:rPr>
        <w:t xml:space="preserve"> </w:t>
      </w:r>
      <w:r w:rsidRPr="00A21690">
        <w:rPr>
          <w:rFonts w:hint="cs"/>
          <w:sz w:val="24"/>
          <w:szCs w:val="24"/>
          <w:rtl/>
        </w:rPr>
        <w:t>זה</w:t>
      </w:r>
      <w:r w:rsidRPr="00A21690">
        <w:rPr>
          <w:sz w:val="24"/>
          <w:szCs w:val="24"/>
          <w:rtl/>
        </w:rPr>
        <w:t xml:space="preserve"> </w:t>
      </w:r>
      <w:r w:rsidRPr="00A21690">
        <w:rPr>
          <w:rFonts w:hint="cs"/>
          <w:sz w:val="24"/>
          <w:szCs w:val="24"/>
          <w:rtl/>
        </w:rPr>
        <w:t>הנאה</w:t>
      </w:r>
      <w:r w:rsidRPr="00A21690">
        <w:rPr>
          <w:sz w:val="24"/>
          <w:szCs w:val="24"/>
          <w:rtl/>
        </w:rPr>
        <w:t xml:space="preserve"> </w:t>
      </w:r>
      <w:r w:rsidRPr="00A21690">
        <w:rPr>
          <w:rFonts w:hint="cs"/>
          <w:sz w:val="24"/>
          <w:szCs w:val="24"/>
          <w:rtl/>
        </w:rPr>
        <w:t>לחייב</w:t>
      </w:r>
      <w:r w:rsidRPr="00A21690">
        <w:rPr>
          <w:sz w:val="24"/>
          <w:szCs w:val="24"/>
          <w:rtl/>
        </w:rPr>
        <w:t xml:space="preserve"> </w:t>
      </w:r>
      <w:r w:rsidRPr="00A21690">
        <w:rPr>
          <w:rFonts w:hint="cs"/>
          <w:sz w:val="24"/>
          <w:szCs w:val="24"/>
          <w:rtl/>
        </w:rPr>
        <w:t>עליו</w:t>
      </w:r>
      <w:r>
        <w:rPr>
          <w:rFonts w:hint="cs"/>
          <w:sz w:val="24"/>
          <w:szCs w:val="24"/>
          <w:rtl/>
        </w:rPr>
        <w:t>.</w:t>
      </w:r>
      <w:r w:rsidRPr="00A21690">
        <w:rPr>
          <w:sz w:val="24"/>
          <w:szCs w:val="24"/>
          <w:rtl/>
        </w:rPr>
        <w:t xml:space="preserve"> </w:t>
      </w:r>
      <w:r w:rsidRPr="00A21690">
        <w:rPr>
          <w:rFonts w:hint="cs"/>
          <w:sz w:val="24"/>
          <w:szCs w:val="24"/>
          <w:rtl/>
        </w:rPr>
        <w:t>א</w:t>
      </w:r>
      <w:r>
        <w:rPr>
          <w:rFonts w:hint="cs"/>
          <w:sz w:val="24"/>
          <w:szCs w:val="24"/>
          <w:rtl/>
        </w:rPr>
        <w:t>ם כן</w:t>
      </w:r>
      <w:r w:rsidRPr="00A21690">
        <w:rPr>
          <w:sz w:val="24"/>
          <w:szCs w:val="24"/>
          <w:rtl/>
        </w:rPr>
        <w:t xml:space="preserve"> </w:t>
      </w:r>
      <w:r w:rsidRPr="00A21690">
        <w:rPr>
          <w:rFonts w:hint="cs"/>
          <w:sz w:val="24"/>
          <w:szCs w:val="24"/>
          <w:rtl/>
        </w:rPr>
        <w:t>נראה</w:t>
      </w:r>
      <w:r w:rsidRPr="00A21690">
        <w:rPr>
          <w:sz w:val="24"/>
          <w:szCs w:val="24"/>
          <w:rtl/>
        </w:rPr>
        <w:t xml:space="preserve"> </w:t>
      </w:r>
      <w:r w:rsidRPr="00A21690">
        <w:rPr>
          <w:rFonts w:hint="cs"/>
          <w:sz w:val="24"/>
          <w:szCs w:val="24"/>
          <w:rtl/>
        </w:rPr>
        <w:t>ברור</w:t>
      </w:r>
      <w:r w:rsidRPr="00A21690">
        <w:rPr>
          <w:sz w:val="24"/>
          <w:szCs w:val="24"/>
          <w:rtl/>
        </w:rPr>
        <w:t xml:space="preserve"> </w:t>
      </w:r>
      <w:r w:rsidRPr="00A21690">
        <w:rPr>
          <w:rFonts w:hint="cs"/>
          <w:sz w:val="24"/>
          <w:szCs w:val="24"/>
          <w:rtl/>
        </w:rPr>
        <w:t>דהנאת</w:t>
      </w:r>
      <w:r w:rsidRPr="00A21690">
        <w:rPr>
          <w:sz w:val="24"/>
          <w:szCs w:val="24"/>
          <w:rtl/>
        </w:rPr>
        <w:t xml:space="preserve"> </w:t>
      </w:r>
      <w:r w:rsidRPr="00A21690">
        <w:rPr>
          <w:rFonts w:hint="cs"/>
          <w:sz w:val="24"/>
          <w:szCs w:val="24"/>
          <w:rtl/>
        </w:rPr>
        <w:t>מעיים</w:t>
      </w:r>
      <w:r w:rsidRPr="00A21690">
        <w:rPr>
          <w:sz w:val="24"/>
          <w:szCs w:val="24"/>
          <w:rtl/>
        </w:rPr>
        <w:t xml:space="preserve"> </w:t>
      </w:r>
      <w:r w:rsidRPr="00A21690">
        <w:rPr>
          <w:rFonts w:hint="cs"/>
          <w:sz w:val="24"/>
          <w:szCs w:val="24"/>
          <w:rtl/>
        </w:rPr>
        <w:t>לחוד</w:t>
      </w:r>
      <w:r w:rsidRPr="00A21690">
        <w:rPr>
          <w:sz w:val="24"/>
          <w:szCs w:val="24"/>
          <w:rtl/>
        </w:rPr>
        <w:t xml:space="preserve"> </w:t>
      </w:r>
      <w:r>
        <w:rPr>
          <w:rFonts w:hint="cs"/>
          <w:sz w:val="24"/>
          <w:szCs w:val="24"/>
          <w:rtl/>
        </w:rPr>
        <w:t>ביום הכיפורים</w:t>
      </w:r>
      <w:r w:rsidRPr="00A21690">
        <w:rPr>
          <w:sz w:val="24"/>
          <w:szCs w:val="24"/>
          <w:rtl/>
        </w:rPr>
        <w:t xml:space="preserve"> </w:t>
      </w:r>
      <w:r w:rsidRPr="00A21690">
        <w:rPr>
          <w:rFonts w:hint="cs"/>
          <w:sz w:val="24"/>
          <w:szCs w:val="24"/>
          <w:rtl/>
        </w:rPr>
        <w:t>אינו</w:t>
      </w:r>
      <w:r w:rsidRPr="00A21690">
        <w:rPr>
          <w:sz w:val="24"/>
          <w:szCs w:val="24"/>
          <w:rtl/>
        </w:rPr>
        <w:t xml:space="preserve"> </w:t>
      </w:r>
      <w:r w:rsidRPr="00A21690">
        <w:rPr>
          <w:rFonts w:hint="cs"/>
          <w:sz w:val="24"/>
          <w:szCs w:val="24"/>
          <w:rtl/>
        </w:rPr>
        <w:t>חייב</w:t>
      </w:r>
      <w:r w:rsidRPr="00A21690">
        <w:rPr>
          <w:sz w:val="24"/>
          <w:szCs w:val="24"/>
          <w:rtl/>
        </w:rPr>
        <w:t xml:space="preserve"> </w:t>
      </w:r>
      <w:r w:rsidRPr="00A21690">
        <w:rPr>
          <w:rFonts w:hint="cs"/>
          <w:sz w:val="24"/>
          <w:szCs w:val="24"/>
          <w:rtl/>
        </w:rPr>
        <w:t>אלא</w:t>
      </w:r>
      <w:r w:rsidRPr="00A21690">
        <w:rPr>
          <w:sz w:val="24"/>
          <w:szCs w:val="24"/>
          <w:rtl/>
        </w:rPr>
        <w:t xml:space="preserve"> </w:t>
      </w:r>
      <w:r w:rsidRPr="00A21690">
        <w:rPr>
          <w:rFonts w:hint="cs"/>
          <w:sz w:val="24"/>
          <w:szCs w:val="24"/>
          <w:rtl/>
        </w:rPr>
        <w:t>עם</w:t>
      </w:r>
      <w:r w:rsidRPr="00A21690">
        <w:rPr>
          <w:sz w:val="24"/>
          <w:szCs w:val="24"/>
          <w:rtl/>
        </w:rPr>
        <w:t xml:space="preserve"> </w:t>
      </w:r>
      <w:r w:rsidRPr="00A21690">
        <w:rPr>
          <w:rFonts w:hint="cs"/>
          <w:sz w:val="24"/>
          <w:szCs w:val="24"/>
          <w:rtl/>
        </w:rPr>
        <w:t>הנאת</w:t>
      </w:r>
      <w:r w:rsidRPr="00A21690">
        <w:rPr>
          <w:sz w:val="24"/>
          <w:szCs w:val="24"/>
          <w:rtl/>
        </w:rPr>
        <w:t xml:space="preserve"> </w:t>
      </w:r>
      <w:r w:rsidRPr="00A21690">
        <w:rPr>
          <w:rFonts w:hint="cs"/>
          <w:sz w:val="24"/>
          <w:szCs w:val="24"/>
          <w:rtl/>
        </w:rPr>
        <w:t>גרון</w:t>
      </w:r>
      <w:r>
        <w:rPr>
          <w:rFonts w:hint="cs"/>
          <w:sz w:val="24"/>
          <w:szCs w:val="24"/>
          <w:rtl/>
        </w:rPr>
        <w:t>, על כן</w:t>
      </w:r>
      <w:r w:rsidRPr="00A21690">
        <w:rPr>
          <w:sz w:val="24"/>
          <w:szCs w:val="24"/>
          <w:rtl/>
        </w:rPr>
        <w:t xml:space="preserve"> </w:t>
      </w:r>
      <w:r w:rsidRPr="00A21690">
        <w:rPr>
          <w:rFonts w:hint="cs"/>
          <w:sz w:val="24"/>
          <w:szCs w:val="24"/>
          <w:rtl/>
        </w:rPr>
        <w:t>אינו</w:t>
      </w:r>
      <w:r w:rsidRPr="00A21690">
        <w:rPr>
          <w:sz w:val="24"/>
          <w:szCs w:val="24"/>
          <w:rtl/>
        </w:rPr>
        <w:t xml:space="preserve"> </w:t>
      </w:r>
      <w:r w:rsidRPr="00A21690">
        <w:rPr>
          <w:rFonts w:hint="cs"/>
          <w:sz w:val="24"/>
          <w:szCs w:val="24"/>
          <w:rtl/>
        </w:rPr>
        <w:t>חייב</w:t>
      </w:r>
      <w:r w:rsidRPr="00A21690">
        <w:rPr>
          <w:sz w:val="24"/>
          <w:szCs w:val="24"/>
          <w:rtl/>
        </w:rPr>
        <w:t xml:space="preserve"> </w:t>
      </w:r>
      <w:r w:rsidRPr="00A21690">
        <w:rPr>
          <w:rFonts w:hint="cs"/>
          <w:sz w:val="24"/>
          <w:szCs w:val="24"/>
          <w:rtl/>
        </w:rPr>
        <w:t>אלא</w:t>
      </w:r>
      <w:r w:rsidRPr="00A21690">
        <w:rPr>
          <w:sz w:val="24"/>
          <w:szCs w:val="24"/>
          <w:rtl/>
        </w:rPr>
        <w:t xml:space="preserve"> </w:t>
      </w:r>
      <w:r w:rsidRPr="00A21690">
        <w:rPr>
          <w:rFonts w:hint="cs"/>
          <w:sz w:val="24"/>
          <w:szCs w:val="24"/>
          <w:rtl/>
        </w:rPr>
        <w:t>בתוך</w:t>
      </w:r>
      <w:r w:rsidRPr="00A21690">
        <w:rPr>
          <w:sz w:val="24"/>
          <w:szCs w:val="24"/>
          <w:rtl/>
        </w:rPr>
        <w:t xml:space="preserve"> </w:t>
      </w:r>
      <w:r>
        <w:rPr>
          <w:rFonts w:hint="cs"/>
          <w:sz w:val="24"/>
          <w:szCs w:val="24"/>
          <w:rtl/>
        </w:rPr>
        <w:t>כדי אכילת פרס,</w:t>
      </w:r>
      <w:r w:rsidRPr="00A21690">
        <w:rPr>
          <w:sz w:val="24"/>
          <w:szCs w:val="24"/>
          <w:rtl/>
        </w:rPr>
        <w:t xml:space="preserve"> </w:t>
      </w:r>
      <w:r w:rsidRPr="00A21690">
        <w:rPr>
          <w:rFonts w:hint="cs"/>
          <w:sz w:val="24"/>
          <w:szCs w:val="24"/>
          <w:rtl/>
        </w:rPr>
        <w:t>וביותר</w:t>
      </w:r>
      <w:r w:rsidRPr="00A21690">
        <w:rPr>
          <w:sz w:val="24"/>
          <w:szCs w:val="24"/>
          <w:rtl/>
        </w:rPr>
        <w:t xml:space="preserve"> </w:t>
      </w:r>
      <w:r w:rsidRPr="00A21690">
        <w:rPr>
          <w:rFonts w:hint="cs"/>
          <w:sz w:val="24"/>
          <w:szCs w:val="24"/>
          <w:rtl/>
        </w:rPr>
        <w:t>אינו</w:t>
      </w:r>
      <w:r w:rsidRPr="00A21690">
        <w:rPr>
          <w:sz w:val="24"/>
          <w:szCs w:val="24"/>
          <w:rtl/>
        </w:rPr>
        <w:t xml:space="preserve"> </w:t>
      </w:r>
      <w:r w:rsidRPr="00A21690">
        <w:rPr>
          <w:rFonts w:hint="cs"/>
          <w:sz w:val="24"/>
          <w:szCs w:val="24"/>
          <w:rtl/>
        </w:rPr>
        <w:t>מצטרף</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[שם]</w:t>
      </w:r>
    </w:p>
    <w:p w:rsidR="0010620B" w:rsidRDefault="0010620B" w:rsidP="0010620B">
      <w:pPr>
        <w:spacing w:before="160" w:line="276" w:lineRule="auto"/>
        <w:ind w:firstLine="227"/>
        <w:rPr>
          <w:sz w:val="24"/>
          <w:szCs w:val="24"/>
          <w:rtl/>
        </w:rPr>
      </w:pPr>
      <w:r>
        <w:rPr>
          <w:rFonts w:hint="cs"/>
          <w:sz w:val="24"/>
          <w:szCs w:val="24"/>
          <w:rtl/>
        </w:rPr>
        <w:t xml:space="preserve">המנחת חינוך מוכיח מהדין שעל האכילות להיעשות ב'כדי אכילת פרס', שהחיוב תלוי במעשה אכילה. </w:t>
      </w:r>
    </w:p>
    <w:p w:rsidR="0010620B" w:rsidRDefault="0010620B" w:rsidP="0010620B">
      <w:pPr>
        <w:spacing w:before="160" w:line="276" w:lineRule="auto"/>
        <w:ind w:firstLine="227"/>
        <w:rPr>
          <w:sz w:val="24"/>
          <w:szCs w:val="24"/>
          <w:rtl/>
        </w:rPr>
      </w:pPr>
      <w:r>
        <w:rPr>
          <w:rFonts w:hint="cs"/>
          <w:sz w:val="24"/>
          <w:szCs w:val="24"/>
          <w:rtl/>
        </w:rPr>
        <w:t>אמנם, המנחת חינוך אינו חוזר בו מהבנתו העקרונית שיש חילוק בין גדר איסור האכילה ביום הכיפורים לגדר איסור האכילה בשאר דיני התורה:</w:t>
      </w:r>
    </w:p>
    <w:p w:rsidR="0010620B" w:rsidRPr="00722498" w:rsidRDefault="0010620B" w:rsidP="0010620B">
      <w:pPr>
        <w:spacing w:before="160" w:line="276" w:lineRule="auto"/>
        <w:ind w:left="720"/>
        <w:rPr>
          <w:sz w:val="20"/>
          <w:szCs w:val="20"/>
          <w:rtl/>
        </w:rPr>
      </w:pPr>
      <w:r w:rsidRPr="00722498">
        <w:rPr>
          <w:sz w:val="24"/>
          <w:szCs w:val="24"/>
          <w:rtl/>
        </w:rPr>
        <w:t>ביום הכפורים פטור על הנאת גרון לחוד לא כמו בשאר איסורים</w:t>
      </w:r>
      <w:r>
        <w:rPr>
          <w:rFonts w:hint="cs"/>
          <w:sz w:val="24"/>
          <w:szCs w:val="24"/>
          <w:rtl/>
        </w:rPr>
        <w:t>,</w:t>
      </w:r>
      <w:r w:rsidRPr="00722498">
        <w:rPr>
          <w:sz w:val="24"/>
          <w:szCs w:val="24"/>
          <w:rtl/>
        </w:rPr>
        <w:t xml:space="preserve"> ששם התורה חייבה על אכילה והנאת גרון עיקר</w:t>
      </w:r>
      <w:r>
        <w:rPr>
          <w:rFonts w:hint="cs"/>
          <w:sz w:val="24"/>
          <w:szCs w:val="24"/>
          <w:rtl/>
        </w:rPr>
        <w:t>,</w:t>
      </w:r>
      <w:r w:rsidRPr="00722498">
        <w:rPr>
          <w:sz w:val="24"/>
          <w:szCs w:val="24"/>
          <w:rtl/>
        </w:rPr>
        <w:t xml:space="preserve"> אבל כאן כתיב לא </w:t>
      </w:r>
      <w:r>
        <w:rPr>
          <w:rFonts w:hint="cs"/>
          <w:sz w:val="24"/>
          <w:szCs w:val="24"/>
          <w:rtl/>
        </w:rPr>
        <w:t>'</w:t>
      </w:r>
      <w:r w:rsidRPr="00722498">
        <w:rPr>
          <w:sz w:val="24"/>
          <w:szCs w:val="24"/>
          <w:rtl/>
        </w:rPr>
        <w:t>תעונה</w:t>
      </w:r>
      <w:r>
        <w:rPr>
          <w:rFonts w:hint="cs"/>
          <w:sz w:val="24"/>
          <w:szCs w:val="24"/>
          <w:rtl/>
        </w:rPr>
        <w:t>'</w:t>
      </w:r>
      <w:r w:rsidRPr="00722498">
        <w:rPr>
          <w:sz w:val="24"/>
          <w:szCs w:val="24"/>
          <w:rtl/>
        </w:rPr>
        <w:t xml:space="preserve"> וביתובא דעתא תליא מלתא ובהנאת גרון לחוד לא מייתבא דעתא</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[שם]</w:t>
      </w:r>
    </w:p>
    <w:p w:rsidR="0010620B" w:rsidRDefault="0010620B" w:rsidP="0010620B">
      <w:pPr>
        <w:spacing w:before="160" w:line="276" w:lineRule="auto"/>
        <w:ind w:firstLine="227"/>
        <w:rPr>
          <w:sz w:val="24"/>
          <w:szCs w:val="24"/>
          <w:rtl/>
        </w:rPr>
      </w:pPr>
      <w:r>
        <w:rPr>
          <w:rFonts w:hint="cs"/>
          <w:sz w:val="24"/>
          <w:szCs w:val="24"/>
          <w:rtl/>
        </w:rPr>
        <w:t xml:space="preserve">המנחת חינוך נוקט כי לאיסור אכילה ביום הכיפורים הגדרה מורכבת: האיסור אמור לגבי אכילה המיישבת את דעתו של האדם. על פי זה פוסק המנחת חינוך, כי בשונה משאר איסורי האכילה, שבהם האיסור קיים ב'הנאת גרונו' לבדה, ביום הכיפורים האיסור קיים רק כאשר יש גם 'הנאת גרונו' וגם 'הנאת מעיו' </w:t>
      </w:r>
      <w:r>
        <w:rPr>
          <w:sz w:val="24"/>
          <w:szCs w:val="24"/>
          <w:rtl/>
        </w:rPr>
        <w:t>–</w:t>
      </w:r>
      <w:r>
        <w:rPr>
          <w:rFonts w:hint="cs"/>
          <w:sz w:val="24"/>
          <w:szCs w:val="24"/>
          <w:rtl/>
        </w:rPr>
        <w:t xml:space="preserve"> 'הנאת גרונו' כדי שמעשה זה ייחשב כאכילה, ו'הנאת מעיו' כדי שיהיה בכך 'יתובי דעתא'</w:t>
      </w:r>
      <w:r>
        <w:rPr>
          <w:rStyle w:val="a7"/>
          <w:sz w:val="24"/>
          <w:szCs w:val="24"/>
          <w:rtl/>
        </w:rPr>
        <w:footnoteReference w:id="198"/>
      </w:r>
      <w:r>
        <w:rPr>
          <w:rFonts w:hint="cs"/>
          <w:sz w:val="24"/>
          <w:szCs w:val="24"/>
          <w:rtl/>
        </w:rPr>
        <w:t xml:space="preserve">. </w:t>
      </w:r>
    </w:p>
    <w:p w:rsidR="0010620B" w:rsidRPr="00E62726" w:rsidRDefault="0010620B" w:rsidP="0010620B">
      <w:pPr>
        <w:ind w:firstLine="227"/>
        <w:rPr>
          <w:sz w:val="24"/>
          <w:szCs w:val="24"/>
        </w:rPr>
      </w:pPr>
      <w:r>
        <w:rPr>
          <w:rFonts w:hint="cs"/>
          <w:sz w:val="24"/>
          <w:szCs w:val="24"/>
          <w:rtl/>
        </w:rPr>
        <w:t xml:space="preserve"> </w:t>
      </w:r>
      <w:r w:rsidRPr="00E62726">
        <w:rPr>
          <w:rFonts w:hint="cs"/>
          <w:sz w:val="24"/>
          <w:szCs w:val="24"/>
          <w:rtl/>
        </w:rPr>
        <w:t xml:space="preserve"> </w:t>
      </w:r>
    </w:p>
    <w:p w:rsidR="0010620B" w:rsidRPr="00944599" w:rsidRDefault="0010620B" w:rsidP="0010620B">
      <w:pPr>
        <w:spacing w:after="0" w:line="276" w:lineRule="auto"/>
        <w:ind w:firstLine="266"/>
        <w:jc w:val="right"/>
      </w:pPr>
      <w:r w:rsidRPr="00944599">
        <w:rPr>
          <w:rFonts w:hint="cs"/>
          <w:sz w:val="24"/>
          <w:szCs w:val="24"/>
          <w:u w:val="single"/>
          <w:rtl/>
        </w:rPr>
        <w:t>להערות ולתגובות</w:t>
      </w:r>
      <w:r w:rsidRPr="00944599">
        <w:rPr>
          <w:rFonts w:hint="cs"/>
          <w:sz w:val="24"/>
          <w:szCs w:val="24"/>
          <w:rtl/>
        </w:rPr>
        <w:t>: שלמה ליפשיץ</w:t>
      </w:r>
    </w:p>
    <w:p w:rsidR="0010620B" w:rsidRPr="00944599" w:rsidRDefault="0010620B" w:rsidP="0010620B">
      <w:pPr>
        <w:spacing w:before="120" w:after="120" w:line="276" w:lineRule="auto"/>
        <w:ind w:firstLine="266"/>
        <w:jc w:val="right"/>
        <w:rPr>
          <w:color w:val="002060"/>
        </w:rPr>
      </w:pPr>
      <w:hyperlink r:id="rId31" w:history="1">
        <w:r w:rsidRPr="00944599">
          <w:rPr>
            <w:rStyle w:val="Hyperlink"/>
            <w:sz w:val="24"/>
            <w:szCs w:val="24"/>
          </w:rPr>
          <w:t>lshlomo26@gmail.com</w:t>
        </w:r>
      </w:hyperlink>
    </w:p>
    <w:p w:rsidR="0010620B" w:rsidRDefault="0010620B">
      <w:pPr>
        <w:spacing w:after="0" w:line="240" w:lineRule="auto"/>
        <w:rPr>
          <w:color w:val="525252" w:themeColor="accent3" w:themeShade="80"/>
          <w:sz w:val="28"/>
          <w:szCs w:val="28"/>
          <w:rtl/>
        </w:rPr>
      </w:pPr>
      <w:r>
        <w:rPr>
          <w:color w:val="525252" w:themeColor="accent3" w:themeShade="80"/>
          <w:sz w:val="28"/>
          <w:szCs w:val="28"/>
          <w:rtl/>
        </w:rPr>
        <w:br w:type="page"/>
      </w:r>
    </w:p>
    <w:p w:rsidR="0010620B" w:rsidRPr="00545733" w:rsidRDefault="0010620B" w:rsidP="0010620B">
      <w:pPr>
        <w:keepNext/>
        <w:keepLines/>
        <w:spacing w:before="240" w:after="0" w:line="276" w:lineRule="exact"/>
        <w:jc w:val="center"/>
        <w:outlineLvl w:val="0"/>
        <w:rPr>
          <w:rFonts w:asciiTheme="majorHAnsi" w:eastAsiaTheme="majorEastAsia" w:hAnsiTheme="majorHAnsi"/>
          <w:bCs/>
          <w:sz w:val="36"/>
          <w:szCs w:val="36"/>
          <w:rtl/>
        </w:rPr>
      </w:pPr>
      <w:bookmarkStart w:id="120" w:name="_Toc76719213"/>
      <w:r w:rsidRPr="00545733">
        <w:rPr>
          <w:rFonts w:asciiTheme="majorHAnsi" w:eastAsiaTheme="majorEastAsia" w:hAnsiTheme="majorHAnsi" w:hint="cs"/>
          <w:bCs/>
          <w:sz w:val="40"/>
          <w:szCs w:val="40"/>
          <w:rtl/>
        </w:rPr>
        <w:lastRenderedPageBreak/>
        <w:t>יסודות יומא</w:t>
      </w:r>
      <w:bookmarkEnd w:id="120"/>
    </w:p>
    <w:p w:rsidR="0010620B" w:rsidRPr="00545733" w:rsidRDefault="0010620B" w:rsidP="0010620B">
      <w:pPr>
        <w:keepNext/>
        <w:keepLines/>
        <w:spacing w:before="240" w:after="0" w:line="276" w:lineRule="exact"/>
        <w:jc w:val="center"/>
        <w:outlineLvl w:val="0"/>
        <w:rPr>
          <w:rFonts w:asciiTheme="majorHAnsi" w:eastAsiaTheme="majorEastAsia" w:hAnsiTheme="majorHAnsi"/>
          <w:b/>
          <w:sz w:val="32"/>
          <w:szCs w:val="32"/>
          <w:rtl/>
        </w:rPr>
      </w:pPr>
      <w:bookmarkStart w:id="121" w:name="_Toc76719214"/>
      <w:r w:rsidRPr="00545733">
        <w:rPr>
          <w:rFonts w:asciiTheme="majorHAnsi" w:eastAsiaTheme="majorEastAsia" w:hAnsiTheme="majorHAnsi" w:hint="cs"/>
          <w:b/>
          <w:sz w:val="32"/>
          <w:szCs w:val="32"/>
          <w:rtl/>
        </w:rPr>
        <w:t xml:space="preserve">שיעור </w:t>
      </w:r>
      <w:r>
        <w:rPr>
          <w:rFonts w:asciiTheme="majorHAnsi" w:eastAsiaTheme="majorEastAsia" w:hAnsiTheme="majorHAnsi" w:hint="cs"/>
          <w:b/>
          <w:sz w:val="32"/>
          <w:szCs w:val="32"/>
          <w:rtl/>
        </w:rPr>
        <w:t>עשרים וארבעה</w:t>
      </w:r>
      <w:bookmarkEnd w:id="121"/>
    </w:p>
    <w:p w:rsidR="0010620B" w:rsidRPr="00545733" w:rsidRDefault="0010620B" w:rsidP="0010620B">
      <w:pPr>
        <w:keepNext/>
        <w:keepLines/>
        <w:spacing w:before="240" w:after="0" w:line="276" w:lineRule="exact"/>
        <w:jc w:val="center"/>
        <w:outlineLvl w:val="0"/>
        <w:rPr>
          <w:rFonts w:asciiTheme="majorHAnsi" w:eastAsiaTheme="majorEastAsia" w:hAnsiTheme="majorHAnsi"/>
          <w:bCs/>
          <w:sz w:val="32"/>
          <w:szCs w:val="32"/>
          <w:rtl/>
        </w:rPr>
      </w:pPr>
      <w:bookmarkStart w:id="122" w:name="_Toc76719215"/>
      <w:r>
        <w:rPr>
          <w:rFonts w:asciiTheme="majorHAnsi" w:eastAsiaTheme="majorEastAsia" w:hAnsiTheme="majorHAnsi" w:hint="cs"/>
          <w:bCs/>
          <w:sz w:val="36"/>
          <w:szCs w:val="36"/>
          <w:rtl/>
        </w:rPr>
        <w:t>חמשת העינויים</w:t>
      </w:r>
      <w:bookmarkEnd w:id="122"/>
    </w:p>
    <w:p w:rsidR="0010620B" w:rsidRPr="00545733" w:rsidRDefault="0010620B" w:rsidP="0010620B">
      <w:pPr>
        <w:spacing w:line="276" w:lineRule="exact"/>
        <w:rPr>
          <w:highlight w:val="green"/>
          <w:rtl/>
        </w:rPr>
      </w:pPr>
      <w:r w:rsidRPr="00545733">
        <w:rPr>
          <w:noProof/>
          <w:highlight w:val="green"/>
          <w:rtl/>
        </w:rPr>
        <mc:AlternateContent>
          <mc:Choice Requires="wps">
            <w:drawing>
              <wp:anchor distT="0" distB="0" distL="114300" distR="114300" simplePos="0" relativeHeight="251721728" behindDoc="1" locked="0" layoutInCell="1" allowOverlap="1" wp14:anchorId="145145F4" wp14:editId="0CF56647">
                <wp:simplePos x="0" y="0"/>
                <wp:positionH relativeFrom="margin">
                  <wp:align>center</wp:align>
                </wp:positionH>
                <wp:positionV relativeFrom="paragraph">
                  <wp:posOffset>228600</wp:posOffset>
                </wp:positionV>
                <wp:extent cx="5765800" cy="7490460"/>
                <wp:effectExtent l="0" t="0" r="25400" b="15240"/>
                <wp:wrapNone/>
                <wp:docPr id="40" name="מלבן 40"/>
                <wp:cNvGraphicFramePr/>
                <a:graphic xmlns:a="http://schemas.openxmlformats.org/drawingml/2006/main">
                  <a:graphicData uri="http://schemas.microsoft.com/office/word/2010/wordprocessingShape">
                    <wps:wsp>
                      <wps:cNvSpPr/>
                      <wps:spPr>
                        <a:xfrm>
                          <a:off x="0" y="0"/>
                          <a:ext cx="5765800" cy="749046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B4402" id="מלבן 40" o:spid="_x0000_s1026" style="position:absolute;left:0;text-align:left;margin-left:0;margin-top:18pt;width:454pt;height:589.8pt;z-index:-251594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TkxhwIAAAMFAAAOAAAAZHJzL2Uyb0RvYy54bWysVMtuGjEU3VfqP1jeNzOgISQoQ4SIqCpF&#10;SaSkytp4PMxIftU2DPQvuq/az+J3emwm5NGsqrIw9+X7OD53Li63SpKNcL41uqSDk5wSobmpWr0q&#10;6deHxaczSnxgumLSaFHSnfD0cvrxw0VnJ2JoGiMr4QiSaD/pbEmbEOwkyzxvhGL+xFih4ayNUyxA&#10;dauscqxDdiWzYZ6fZp1xlXWGC+9hvTo46TTlr2vBw21dexGILCl6C+l06VzGM5tesMnKMdu0vG+D&#10;/UMXirUaRY+prlhgZO3av1KpljvjTR1OuFGZqeuWizQDphnkb6a5b5gVaRaA4+0RJv//0vKbzZ0j&#10;bVXSAvBopvBG+1/7n/sf+98EJuDTWT9B2L29c73mIcZht7VT8R9jkG3CdHfEVGwD4TCOxqejsxy5&#10;OXzj4jwvTlPW7Pm6dT58FkaRKJTU4dESlmxz7QNKIvQpJFbzRrbVopUyKTs/l45sGN4XtKhMR4lk&#10;PsBY0kX6xRmQ4tU1qUkHup7no9gZA/FqyQJEZQGF1ytKmFyB0Ty41Mur296tlseqRTEezov3isSm&#10;r5hvDt2lDDGMTVQbQHrZqpICGvz621JHr0i07UeP4B/gjtLSVDs8lzMHHnvLFy2KXGPgO+ZAXEyD&#10;ZQy3OGppMKLpJUoa476/Z4/x4BO8lHRYBIz/bc2cAI5fNJh2PigiNUJSitF4CMW99CxfevRazQ3e&#10;YoC1tzyJMT7IJ2vtjHrEzs5iVbiY5qh9ALpX5uGwoNh6LmazFIZtsSxc63vLY/KIU4T3YfvInO2J&#10;E8C5G/O0NGzyhj+H2HhTm9k6mLpN5HrGFTSJCjYtEab/KsRVfqmnqOdv1/QPAAAA//8DAFBLAwQU&#10;AAYACAAAACEAIORxx90AAAAIAQAADwAAAGRycy9kb3ducmV2LnhtbEyPQU/DMAyF70j8h8hI3FjS&#10;IapRmk4MCQEHJjamnbPGtBWJU5psLf8ec4KTbb2n5++Vy8k7ccIhdoE0ZDMFAqkOtqNGw+798WoB&#10;IiZD1rhAqOEbIyyr87PSFDaMtMHTNjWCQygWRkObUl9IGesWvYmz0COx9hEGbxKfQyPtYEYO907O&#10;lcqlNx3xh9b0+NBi/bk9eg0vq+Zr/9xkm9y7t3FFT2r9GpTWlxfT/R2IhFP6M8MvPqNDxUyHcCQb&#10;hdPARZKG65wnq7dqwcuBbfPsJgdZlfJ/geoHAAD//wMAUEsBAi0AFAAGAAgAAAAhALaDOJL+AAAA&#10;4QEAABMAAAAAAAAAAAAAAAAAAAAAAFtDb250ZW50X1R5cGVzXS54bWxQSwECLQAUAAYACAAAACEA&#10;OP0h/9YAAACUAQAACwAAAAAAAAAAAAAAAAAvAQAAX3JlbHMvLnJlbHNQSwECLQAUAAYACAAAACEA&#10;+9k5MYcCAAADBQAADgAAAAAAAAAAAAAAAAAuAgAAZHJzL2Uyb0RvYy54bWxQSwECLQAUAAYACAAA&#10;ACEAIORxx90AAAAIAQAADwAAAAAAAAAAAAAAAADhBAAAZHJzL2Rvd25yZXYueG1sUEsFBgAAAAAE&#10;AAQA8wAAAOsFAAAAAA==&#10;" fillcolor="window" strokecolor="#4472c4" strokeweight="1.5pt">
                <w10:wrap anchorx="margin"/>
              </v:rect>
            </w:pict>
          </mc:Fallback>
        </mc:AlternateContent>
      </w:r>
    </w:p>
    <w:p w:rsidR="0010620B" w:rsidRPr="005414E8" w:rsidRDefault="0010620B" w:rsidP="0010620B">
      <w:pPr>
        <w:spacing w:line="276" w:lineRule="exact"/>
        <w:jc w:val="center"/>
        <w:rPr>
          <w:b/>
          <w:bCs/>
          <w:sz w:val="24"/>
          <w:szCs w:val="24"/>
          <w:rtl/>
        </w:rPr>
      </w:pPr>
      <w:r w:rsidRPr="005414E8">
        <w:rPr>
          <w:rFonts w:hint="cs"/>
          <w:b/>
          <w:bCs/>
          <w:sz w:val="24"/>
          <w:szCs w:val="24"/>
          <w:rtl/>
        </w:rPr>
        <w:t>מקורות</w:t>
      </w:r>
    </w:p>
    <w:p w:rsidR="0010620B" w:rsidRDefault="0010620B" w:rsidP="0010620B">
      <w:pPr>
        <w:spacing w:line="276" w:lineRule="exact"/>
        <w:rPr>
          <w:sz w:val="24"/>
          <w:szCs w:val="24"/>
          <w:rtl/>
        </w:rPr>
      </w:pPr>
      <w:r w:rsidRPr="00810ED0">
        <w:rPr>
          <w:rFonts w:hint="cs"/>
          <w:sz w:val="24"/>
          <w:szCs w:val="24"/>
          <w:rtl/>
        </w:rPr>
        <w:t xml:space="preserve">א. </w:t>
      </w:r>
      <w:r w:rsidRPr="00810ED0">
        <w:rPr>
          <w:sz w:val="24"/>
          <w:szCs w:val="24"/>
          <w:rtl/>
        </w:rPr>
        <w:t>ויקרא טז, כט-לא; ויקרא כג, כו-לב</w:t>
      </w:r>
    </w:p>
    <w:p w:rsidR="0010620B" w:rsidRDefault="0010620B" w:rsidP="0010620B">
      <w:pPr>
        <w:spacing w:line="276" w:lineRule="exact"/>
        <w:rPr>
          <w:sz w:val="24"/>
          <w:szCs w:val="24"/>
          <w:rtl/>
        </w:rPr>
      </w:pPr>
      <w:r>
        <w:rPr>
          <w:rFonts w:hint="cs"/>
          <w:sz w:val="24"/>
          <w:szCs w:val="24"/>
          <w:rtl/>
        </w:rPr>
        <w:t>ב. משנה עג:; עד.</w:t>
      </w:r>
      <w:r w:rsidRPr="00810ED0">
        <w:rPr>
          <w:sz w:val="24"/>
          <w:szCs w:val="24"/>
          <w:rtl/>
        </w:rPr>
        <w:t xml:space="preserve"> "דתנו רבה ורב יוסף... שבתון שבות"</w:t>
      </w:r>
      <w:r>
        <w:rPr>
          <w:rFonts w:hint="cs"/>
          <w:sz w:val="24"/>
          <w:szCs w:val="24"/>
          <w:rtl/>
        </w:rPr>
        <w:t xml:space="preserve">; </w:t>
      </w:r>
      <w:r>
        <w:rPr>
          <w:sz w:val="24"/>
          <w:szCs w:val="24"/>
          <w:rtl/>
        </w:rPr>
        <w:t>עד</w:t>
      </w:r>
      <w:r w:rsidRPr="00810ED0">
        <w:rPr>
          <w:sz w:val="24"/>
          <w:szCs w:val="24"/>
          <w:rtl/>
        </w:rPr>
        <w:t>: "ת"ר תענו את נפשותיכם... מענוי בידי אדם"</w:t>
      </w:r>
      <w:r>
        <w:rPr>
          <w:rFonts w:hint="cs"/>
          <w:sz w:val="24"/>
          <w:szCs w:val="24"/>
          <w:rtl/>
        </w:rPr>
        <w:t xml:space="preserve">; עו.-: </w:t>
      </w:r>
      <w:r w:rsidRPr="00810ED0">
        <w:rPr>
          <w:sz w:val="24"/>
          <w:szCs w:val="24"/>
          <w:rtl/>
        </w:rPr>
        <w:t>"הני חמשה ענויין... וסוך לא סכתי"</w:t>
      </w:r>
      <w:r>
        <w:rPr>
          <w:rFonts w:hint="cs"/>
          <w:sz w:val="24"/>
          <w:szCs w:val="24"/>
          <w:rtl/>
        </w:rPr>
        <w:t xml:space="preserve">; גמ' עז.-: </w:t>
      </w:r>
      <w:r w:rsidRPr="00810ED0">
        <w:rPr>
          <w:sz w:val="24"/>
          <w:szCs w:val="24"/>
          <w:rtl/>
        </w:rPr>
        <w:t>"ואי בעית אימא רחיצה... שעינה מביאות אחרות"</w:t>
      </w:r>
    </w:p>
    <w:p w:rsidR="0010620B" w:rsidRDefault="0010620B" w:rsidP="0010620B">
      <w:pPr>
        <w:spacing w:line="276" w:lineRule="exact"/>
        <w:rPr>
          <w:sz w:val="24"/>
          <w:szCs w:val="24"/>
          <w:rtl/>
        </w:rPr>
      </w:pPr>
      <w:r>
        <w:rPr>
          <w:rFonts w:hint="cs"/>
          <w:sz w:val="24"/>
          <w:szCs w:val="24"/>
          <w:rtl/>
        </w:rPr>
        <w:t>ג. שאילתות דרב אחאי שאילתא קסז "...ואחד לתשמיש המטה"</w:t>
      </w:r>
    </w:p>
    <w:p w:rsidR="0010620B" w:rsidRDefault="0010620B" w:rsidP="0010620B">
      <w:pPr>
        <w:spacing w:line="276" w:lineRule="exact"/>
        <w:rPr>
          <w:sz w:val="24"/>
          <w:szCs w:val="24"/>
          <w:rtl/>
        </w:rPr>
      </w:pPr>
      <w:r>
        <w:rPr>
          <w:rFonts w:hint="cs"/>
          <w:sz w:val="24"/>
          <w:szCs w:val="24"/>
          <w:rtl/>
        </w:rPr>
        <w:t>ד. יראים סי' תכ "...זו אכילה ושתיה"; תוס' ישנים עג: ד"ה יום הכיפורים; תוס' עז. ד"ה דתנן "ופר"ת... ואינו חושש"; [רא"ש סי' א]</w:t>
      </w:r>
    </w:p>
    <w:p w:rsidR="0010620B" w:rsidRDefault="0010620B" w:rsidP="0010620B">
      <w:pPr>
        <w:spacing w:line="276" w:lineRule="exact"/>
        <w:rPr>
          <w:sz w:val="24"/>
          <w:szCs w:val="24"/>
          <w:rtl/>
        </w:rPr>
      </w:pPr>
      <w:r>
        <w:rPr>
          <w:rFonts w:hint="cs"/>
          <w:sz w:val="24"/>
          <w:szCs w:val="24"/>
          <w:rtl/>
        </w:rPr>
        <w:t>ה. ספר המצוות לרמב"ם מ"ע קסד; שם, ל"ת קצו; הל' שביתת עשור פ"א ה"א-ה</w:t>
      </w:r>
    </w:p>
    <w:p w:rsidR="0010620B" w:rsidRDefault="0010620B" w:rsidP="0010620B">
      <w:pPr>
        <w:spacing w:line="276" w:lineRule="exact"/>
        <w:rPr>
          <w:sz w:val="24"/>
          <w:szCs w:val="24"/>
          <w:rtl/>
        </w:rPr>
      </w:pPr>
      <w:r>
        <w:rPr>
          <w:rFonts w:hint="cs"/>
          <w:sz w:val="24"/>
          <w:szCs w:val="24"/>
          <w:rtl/>
        </w:rPr>
        <w:t>ו. ר"ן א. ד"ה יום</w:t>
      </w:r>
    </w:p>
    <w:p w:rsidR="0010620B" w:rsidRPr="00810ED0" w:rsidRDefault="0010620B" w:rsidP="0010620B">
      <w:pPr>
        <w:spacing w:line="276" w:lineRule="exact"/>
        <w:rPr>
          <w:sz w:val="24"/>
          <w:szCs w:val="24"/>
          <w:highlight w:val="green"/>
          <w:rtl/>
        </w:rPr>
      </w:pPr>
      <w:r>
        <w:rPr>
          <w:rFonts w:hint="cs"/>
          <w:sz w:val="24"/>
          <w:szCs w:val="24"/>
          <w:rtl/>
        </w:rPr>
        <w:t>ז. העמק שאלה סי' קסז אות א "אבל למדנו ישוב... והקילו במקום הצורך"</w:t>
      </w:r>
    </w:p>
    <w:p w:rsidR="0010620B" w:rsidRDefault="0010620B" w:rsidP="0010620B">
      <w:pPr>
        <w:spacing w:line="276" w:lineRule="exact"/>
        <w:rPr>
          <w:sz w:val="24"/>
          <w:szCs w:val="24"/>
          <w:highlight w:val="green"/>
          <w:rtl/>
        </w:rPr>
      </w:pPr>
    </w:p>
    <w:p w:rsidR="0010620B" w:rsidRPr="00810ED0" w:rsidRDefault="0010620B" w:rsidP="0010620B">
      <w:pPr>
        <w:spacing w:line="276" w:lineRule="exact"/>
        <w:rPr>
          <w:rFonts w:ascii="FrankRuehl" w:hAnsi="FrankRuehl" w:cs="FrankRuehl"/>
          <w:sz w:val="24"/>
          <w:szCs w:val="24"/>
          <w:rtl/>
        </w:rPr>
      </w:pPr>
      <w:r w:rsidRPr="00810ED0">
        <w:rPr>
          <w:rFonts w:ascii="FrankRuehl" w:hAnsi="FrankRuehl" w:cs="FrankRuehl" w:hint="cs"/>
          <w:b/>
          <w:bCs/>
          <w:sz w:val="24"/>
          <w:szCs w:val="24"/>
          <w:rtl/>
        </w:rPr>
        <w:t>שאילתות דרב אחאי שאילתא קסז</w:t>
      </w:r>
    </w:p>
    <w:p w:rsidR="0010620B" w:rsidRDefault="0010620B" w:rsidP="0010620B">
      <w:pPr>
        <w:spacing w:line="276" w:lineRule="exact"/>
        <w:rPr>
          <w:rFonts w:ascii="FrankRuehl" w:hAnsi="FrankRuehl" w:cs="FrankRuehl"/>
          <w:sz w:val="24"/>
          <w:szCs w:val="24"/>
          <w:rtl/>
        </w:rPr>
      </w:pPr>
      <w:r w:rsidRPr="00810ED0">
        <w:rPr>
          <w:rFonts w:ascii="FrankRuehl" w:hAnsi="FrankRuehl" w:cs="FrankRuehl"/>
          <w:sz w:val="24"/>
          <w:szCs w:val="24"/>
          <w:rtl/>
        </w:rPr>
        <w:t>שאילתא דאזהרינהו קב"ה לישר' למיתב בתענית' בעשר' בתשרי ואפילו בשבת ואסור באכילה ובשתיה ובנעילת הסנדל וברחיצה ובסיכה ובתשמיש המטה מדאורייתא מנלן חמש ענויין כתיבי ועניתם תענו חד לאכילה ולשתיה ואחד לרחיצה ואחד לסיכה וא</w:t>
      </w:r>
      <w:r>
        <w:rPr>
          <w:rFonts w:ascii="FrankRuehl" w:hAnsi="FrankRuehl" w:cs="FrankRuehl"/>
          <w:sz w:val="24"/>
          <w:szCs w:val="24"/>
          <w:rtl/>
        </w:rPr>
        <w:t>חד לנעילת הסנדל ואחד לתשמיש המט</w:t>
      </w:r>
      <w:r>
        <w:rPr>
          <w:rFonts w:ascii="FrankRuehl" w:hAnsi="FrankRuehl" w:cs="FrankRuehl" w:hint="cs"/>
          <w:sz w:val="24"/>
          <w:szCs w:val="24"/>
          <w:rtl/>
        </w:rPr>
        <w:t>ה.</w:t>
      </w:r>
    </w:p>
    <w:p w:rsidR="0010620B" w:rsidRDefault="0010620B" w:rsidP="0010620B">
      <w:pPr>
        <w:spacing w:line="276" w:lineRule="exact"/>
        <w:rPr>
          <w:rFonts w:ascii="FrankRuehl" w:hAnsi="FrankRuehl" w:cs="FrankRuehl"/>
          <w:sz w:val="24"/>
          <w:szCs w:val="24"/>
          <w:rtl/>
        </w:rPr>
      </w:pPr>
    </w:p>
    <w:p w:rsidR="0010620B" w:rsidRPr="00BC77EB" w:rsidRDefault="0010620B" w:rsidP="0010620B">
      <w:pPr>
        <w:spacing w:line="276" w:lineRule="exact"/>
        <w:rPr>
          <w:rFonts w:ascii="FrankRuehl" w:hAnsi="FrankRuehl" w:cs="FrankRuehl"/>
          <w:b/>
          <w:bCs/>
          <w:sz w:val="24"/>
          <w:szCs w:val="24"/>
          <w:rtl/>
        </w:rPr>
      </w:pPr>
      <w:r w:rsidRPr="00BC77EB">
        <w:rPr>
          <w:rFonts w:ascii="FrankRuehl" w:hAnsi="FrankRuehl" w:cs="FrankRuehl"/>
          <w:b/>
          <w:bCs/>
          <w:sz w:val="24"/>
          <w:szCs w:val="24"/>
          <w:rtl/>
        </w:rPr>
        <w:t>יראים סי' תכ</w:t>
      </w:r>
    </w:p>
    <w:p w:rsidR="0010620B" w:rsidRDefault="0010620B" w:rsidP="0010620B">
      <w:pPr>
        <w:spacing w:line="276" w:lineRule="exact"/>
        <w:rPr>
          <w:rFonts w:ascii="FrankRuehl" w:hAnsi="FrankRuehl" w:cs="FrankRuehl"/>
          <w:sz w:val="24"/>
          <w:szCs w:val="24"/>
          <w:rtl/>
        </w:rPr>
      </w:pPr>
      <w:r w:rsidRPr="00BC77EB">
        <w:rPr>
          <w:rFonts w:ascii="FrankRuehl" w:hAnsi="FrankRuehl" w:cs="FrankRuehl"/>
          <w:sz w:val="24"/>
          <w:szCs w:val="24"/>
          <w:rtl/>
        </w:rPr>
        <w:t>ענוי יום הכפורים. ויראת מאלהיך ותענה נפשך למצא כופר</w:t>
      </w:r>
      <w:r w:rsidRPr="00BC77EB">
        <w:rPr>
          <w:rFonts w:ascii="FrankRuehl" w:hAnsi="FrankRuehl" w:cs="FrankRuehl" w:hint="cs"/>
          <w:sz w:val="24"/>
          <w:szCs w:val="24"/>
          <w:rtl/>
        </w:rPr>
        <w:t>,</w:t>
      </w:r>
      <w:r w:rsidRPr="00BC77EB">
        <w:rPr>
          <w:rFonts w:ascii="FrankRuehl" w:hAnsi="FrankRuehl" w:cs="FrankRuehl"/>
          <w:sz w:val="24"/>
          <w:szCs w:val="24"/>
          <w:rtl/>
        </w:rPr>
        <w:t xml:space="preserve"> דכתיב בפ' אמור אל הכהנים </w:t>
      </w:r>
      <w:r w:rsidRPr="00BC77EB">
        <w:rPr>
          <w:rFonts w:ascii="FrankRuehl" w:hAnsi="FrankRuehl" w:cs="FrankRuehl" w:hint="cs"/>
          <w:sz w:val="24"/>
          <w:szCs w:val="24"/>
          <w:rtl/>
        </w:rPr>
        <w:t>'</w:t>
      </w:r>
      <w:r w:rsidRPr="00BC77EB">
        <w:rPr>
          <w:rFonts w:ascii="FrankRuehl" w:hAnsi="FrankRuehl" w:cs="FrankRuehl"/>
          <w:sz w:val="24"/>
          <w:szCs w:val="24"/>
          <w:rtl/>
        </w:rPr>
        <w:t>בעשור לחדש הזה יום כפורים הוא ועניתם את נפשותיכם</w:t>
      </w:r>
      <w:r w:rsidRPr="00BC77EB">
        <w:rPr>
          <w:rFonts w:ascii="FrankRuehl" w:hAnsi="FrankRuehl" w:cs="FrankRuehl" w:hint="cs"/>
          <w:sz w:val="24"/>
          <w:szCs w:val="24"/>
          <w:rtl/>
        </w:rPr>
        <w:t>'</w:t>
      </w:r>
      <w:r w:rsidRPr="00BC77EB">
        <w:rPr>
          <w:rFonts w:ascii="FrankRuehl" w:hAnsi="FrankRuehl" w:cs="FrankRuehl"/>
          <w:sz w:val="24"/>
          <w:szCs w:val="24"/>
          <w:rtl/>
        </w:rPr>
        <w:t>. ואלו דברים נקראים ענוי</w:t>
      </w:r>
      <w:r w:rsidRPr="00BC77EB">
        <w:rPr>
          <w:rFonts w:ascii="FrankRuehl" w:hAnsi="FrankRuehl" w:cs="FrankRuehl" w:hint="cs"/>
          <w:sz w:val="24"/>
          <w:szCs w:val="24"/>
          <w:rtl/>
        </w:rPr>
        <w:t>:</w:t>
      </w:r>
      <w:r w:rsidRPr="00BC77EB">
        <w:rPr>
          <w:rFonts w:ascii="FrankRuehl" w:hAnsi="FrankRuehl" w:cs="FrankRuehl"/>
          <w:sz w:val="24"/>
          <w:szCs w:val="24"/>
          <w:rtl/>
        </w:rPr>
        <w:t xml:space="preserve"> חסרון אכילה ושתיה רחיצה וסיכה נעילת הסנדל ותשמיש המטה</w:t>
      </w:r>
      <w:r w:rsidRPr="00BC77EB">
        <w:rPr>
          <w:rFonts w:ascii="FrankRuehl" w:hAnsi="FrankRuehl" w:cs="FrankRuehl" w:hint="cs"/>
          <w:sz w:val="24"/>
          <w:szCs w:val="24"/>
          <w:rtl/>
        </w:rPr>
        <w:t>,</w:t>
      </w:r>
      <w:r w:rsidRPr="00BC77EB">
        <w:rPr>
          <w:rFonts w:ascii="FrankRuehl" w:hAnsi="FrankRuehl" w:cs="FrankRuehl"/>
          <w:sz w:val="24"/>
          <w:szCs w:val="24"/>
          <w:rtl/>
        </w:rPr>
        <w:t xml:space="preserve"> וכולהו מפרשי ביומא פרק אחרון</w:t>
      </w:r>
      <w:r w:rsidRPr="00BC77EB">
        <w:rPr>
          <w:rFonts w:ascii="FrankRuehl" w:hAnsi="FrankRuehl" w:cs="FrankRuehl" w:hint="cs"/>
          <w:sz w:val="24"/>
          <w:szCs w:val="24"/>
          <w:rtl/>
        </w:rPr>
        <w:t>:</w:t>
      </w:r>
      <w:r w:rsidRPr="00BC77EB">
        <w:rPr>
          <w:rFonts w:ascii="FrankRuehl" w:hAnsi="FrankRuehl" w:cs="FrankRuehl"/>
          <w:sz w:val="24"/>
          <w:szCs w:val="24"/>
          <w:rtl/>
        </w:rPr>
        <w:t xml:space="preserve"> אכילה נקראת עינוי דכתיב </w:t>
      </w:r>
      <w:r w:rsidRPr="00BC77EB">
        <w:rPr>
          <w:rFonts w:ascii="FrankRuehl" w:hAnsi="FrankRuehl" w:cs="FrankRuehl" w:hint="cs"/>
          <w:sz w:val="24"/>
          <w:szCs w:val="24"/>
          <w:rtl/>
        </w:rPr>
        <w:t>'</w:t>
      </w:r>
      <w:r w:rsidRPr="00BC77EB">
        <w:rPr>
          <w:rFonts w:ascii="FrankRuehl" w:hAnsi="FrankRuehl" w:cs="FrankRuehl"/>
          <w:sz w:val="24"/>
          <w:szCs w:val="24"/>
          <w:rtl/>
        </w:rPr>
        <w:t>ויענך וירעיבך</w:t>
      </w:r>
      <w:r w:rsidRPr="00BC77EB">
        <w:rPr>
          <w:rFonts w:ascii="FrankRuehl" w:hAnsi="FrankRuehl" w:cs="FrankRuehl" w:hint="cs"/>
          <w:sz w:val="24"/>
          <w:szCs w:val="24"/>
          <w:rtl/>
        </w:rPr>
        <w:t>',</w:t>
      </w:r>
      <w:r w:rsidRPr="00BC77EB">
        <w:rPr>
          <w:rFonts w:ascii="FrankRuehl" w:hAnsi="FrankRuehl" w:cs="FrankRuehl"/>
          <w:sz w:val="24"/>
          <w:szCs w:val="24"/>
          <w:rtl/>
        </w:rPr>
        <w:t xml:space="preserve"> ושתיה בכלל אכילה</w:t>
      </w:r>
      <w:r w:rsidRPr="00BC77EB">
        <w:rPr>
          <w:rFonts w:ascii="FrankRuehl" w:hAnsi="FrankRuehl" w:cs="FrankRuehl" w:hint="cs"/>
          <w:sz w:val="24"/>
          <w:szCs w:val="24"/>
          <w:rtl/>
        </w:rPr>
        <w:t xml:space="preserve">. </w:t>
      </w:r>
      <w:r w:rsidRPr="00BC77EB">
        <w:rPr>
          <w:rFonts w:ascii="FrankRuehl" w:hAnsi="FrankRuehl" w:cs="FrankRuehl"/>
          <w:sz w:val="24"/>
          <w:szCs w:val="24"/>
          <w:rtl/>
        </w:rPr>
        <w:t>חסרון רחיצה נקראת עינוי</w:t>
      </w:r>
      <w:r w:rsidRPr="00BC77EB">
        <w:rPr>
          <w:rFonts w:ascii="FrankRuehl" w:hAnsi="FrankRuehl" w:cs="FrankRuehl" w:hint="cs"/>
          <w:sz w:val="24"/>
          <w:szCs w:val="24"/>
          <w:rtl/>
        </w:rPr>
        <w:t>,</w:t>
      </w:r>
      <w:r w:rsidRPr="00BC77EB">
        <w:rPr>
          <w:rFonts w:ascii="FrankRuehl" w:hAnsi="FrankRuehl" w:cs="FrankRuehl"/>
          <w:sz w:val="24"/>
          <w:szCs w:val="24"/>
          <w:rtl/>
        </w:rPr>
        <w:t xml:space="preserve"> דאמר רב נחמן בר יצחק</w:t>
      </w:r>
      <w:r w:rsidRPr="00BC77EB">
        <w:rPr>
          <w:rFonts w:ascii="FrankRuehl" w:hAnsi="FrankRuehl" w:cs="FrankRuehl" w:hint="cs"/>
          <w:sz w:val="24"/>
          <w:szCs w:val="24"/>
          <w:rtl/>
        </w:rPr>
        <w:t>: '</w:t>
      </w:r>
      <w:r w:rsidRPr="00BC77EB">
        <w:rPr>
          <w:rFonts w:ascii="FrankRuehl" w:hAnsi="FrankRuehl" w:cs="FrankRuehl"/>
          <w:sz w:val="24"/>
          <w:szCs w:val="24"/>
          <w:rtl/>
        </w:rPr>
        <w:t>מים קרים על נפש עיפה ושמועה טובה מארץ מרחק</w:t>
      </w:r>
      <w:r w:rsidRPr="00BC77EB">
        <w:rPr>
          <w:rFonts w:ascii="FrankRuehl" w:hAnsi="FrankRuehl" w:cs="FrankRuehl" w:hint="cs"/>
          <w:sz w:val="24"/>
          <w:szCs w:val="24"/>
          <w:rtl/>
        </w:rPr>
        <w:t>',</w:t>
      </w:r>
      <w:r w:rsidRPr="00BC77EB">
        <w:rPr>
          <w:rFonts w:ascii="FrankRuehl" w:hAnsi="FrankRuehl" w:cs="FrankRuehl"/>
          <w:sz w:val="24"/>
          <w:szCs w:val="24"/>
          <w:rtl/>
        </w:rPr>
        <w:t xml:space="preserve"> ודלמא שתיה</w:t>
      </w:r>
      <w:r w:rsidRPr="00BC77EB">
        <w:rPr>
          <w:rFonts w:ascii="FrankRuehl" w:hAnsi="FrankRuehl" w:cs="FrankRuehl" w:hint="cs"/>
          <w:sz w:val="24"/>
          <w:szCs w:val="24"/>
          <w:rtl/>
        </w:rPr>
        <w:t>,</w:t>
      </w:r>
      <w:r w:rsidRPr="00BC77EB">
        <w:rPr>
          <w:rFonts w:ascii="FrankRuehl" w:hAnsi="FrankRuehl" w:cs="FrankRuehl"/>
          <w:sz w:val="24"/>
          <w:szCs w:val="24"/>
          <w:rtl/>
        </w:rPr>
        <w:t xml:space="preserve"> מי כתיב בנפש על נפש כתיב</w:t>
      </w:r>
      <w:r w:rsidRPr="00BC77EB">
        <w:rPr>
          <w:rFonts w:ascii="FrankRuehl" w:hAnsi="FrankRuehl" w:cs="FrankRuehl" w:hint="cs"/>
          <w:sz w:val="24"/>
          <w:szCs w:val="24"/>
          <w:rtl/>
        </w:rPr>
        <w:t>,</w:t>
      </w:r>
      <w:r w:rsidRPr="00BC77EB">
        <w:rPr>
          <w:rFonts w:ascii="FrankRuehl" w:hAnsi="FrankRuehl" w:cs="FrankRuehl"/>
          <w:sz w:val="24"/>
          <w:szCs w:val="24"/>
          <w:rtl/>
        </w:rPr>
        <w:t xml:space="preserve"> אלמא מחסרון רחיצה נקרא אדם עייף</w:t>
      </w:r>
      <w:r w:rsidRPr="00BC77EB">
        <w:rPr>
          <w:rFonts w:ascii="FrankRuehl" w:hAnsi="FrankRuehl" w:cs="FrankRuehl" w:hint="cs"/>
          <w:sz w:val="24"/>
          <w:szCs w:val="24"/>
          <w:rtl/>
        </w:rPr>
        <w:t>,</w:t>
      </w:r>
      <w:r w:rsidRPr="00BC77EB">
        <w:rPr>
          <w:rFonts w:ascii="FrankRuehl" w:hAnsi="FrankRuehl" w:cs="FrankRuehl"/>
          <w:sz w:val="24"/>
          <w:szCs w:val="24"/>
          <w:rtl/>
        </w:rPr>
        <w:t xml:space="preserve"> ודבר הנקרא עייפות מצינו שנקרא עינוי</w:t>
      </w:r>
      <w:r w:rsidRPr="00BC77EB">
        <w:rPr>
          <w:rFonts w:ascii="FrankRuehl" w:hAnsi="FrankRuehl" w:cs="FrankRuehl" w:hint="cs"/>
          <w:sz w:val="24"/>
          <w:szCs w:val="24"/>
          <w:rtl/>
        </w:rPr>
        <w:t>,</w:t>
      </w:r>
      <w:r w:rsidRPr="00BC77EB">
        <w:rPr>
          <w:rFonts w:ascii="FrankRuehl" w:hAnsi="FrankRuehl" w:cs="FrankRuehl"/>
          <w:sz w:val="24"/>
          <w:szCs w:val="24"/>
          <w:rtl/>
        </w:rPr>
        <w:t xml:space="preserve"> דכתיב כשברח דוד ואביתר מפני אבשלום </w:t>
      </w:r>
      <w:r w:rsidRPr="00BC77EB">
        <w:rPr>
          <w:rFonts w:ascii="FrankRuehl" w:hAnsi="FrankRuehl" w:cs="FrankRuehl" w:hint="cs"/>
          <w:sz w:val="24"/>
          <w:szCs w:val="24"/>
          <w:rtl/>
        </w:rPr>
        <w:t>'</w:t>
      </w:r>
      <w:r w:rsidRPr="00BC77EB">
        <w:rPr>
          <w:rFonts w:ascii="FrankRuehl" w:hAnsi="FrankRuehl" w:cs="FrankRuehl"/>
          <w:sz w:val="24"/>
          <w:szCs w:val="24"/>
          <w:rtl/>
        </w:rPr>
        <w:t>כי אמרו העם רעב ועיף וצמא במדבר</w:t>
      </w:r>
      <w:r w:rsidRPr="00BC77EB">
        <w:rPr>
          <w:rFonts w:ascii="FrankRuehl" w:hAnsi="FrankRuehl" w:cs="FrankRuehl" w:hint="cs"/>
          <w:sz w:val="24"/>
          <w:szCs w:val="24"/>
          <w:rtl/>
        </w:rPr>
        <w:t>',</w:t>
      </w:r>
      <w:r w:rsidRPr="00BC77EB">
        <w:rPr>
          <w:rFonts w:ascii="FrankRuehl" w:hAnsi="FrankRuehl" w:cs="FrankRuehl"/>
          <w:sz w:val="24"/>
          <w:szCs w:val="24"/>
          <w:rtl/>
        </w:rPr>
        <w:t xml:space="preserve"> וכל מה שנעשה שם נקרא עינוי</w:t>
      </w:r>
      <w:r w:rsidRPr="00BC77EB">
        <w:rPr>
          <w:rFonts w:ascii="FrankRuehl" w:hAnsi="FrankRuehl" w:cs="FrankRuehl" w:hint="cs"/>
          <w:sz w:val="24"/>
          <w:szCs w:val="24"/>
          <w:rtl/>
        </w:rPr>
        <w:t>,</w:t>
      </w:r>
      <w:r w:rsidRPr="00BC77EB">
        <w:rPr>
          <w:rFonts w:ascii="FrankRuehl" w:hAnsi="FrankRuehl" w:cs="FrankRuehl"/>
          <w:sz w:val="24"/>
          <w:szCs w:val="24"/>
          <w:rtl/>
        </w:rPr>
        <w:t xml:space="preserve"> דכתיב על אותו מעשה </w:t>
      </w:r>
      <w:r w:rsidRPr="00BC77EB">
        <w:rPr>
          <w:rFonts w:ascii="FrankRuehl" w:hAnsi="FrankRuehl" w:cs="FrankRuehl" w:hint="cs"/>
          <w:sz w:val="24"/>
          <w:szCs w:val="24"/>
          <w:rtl/>
        </w:rPr>
        <w:t>'</w:t>
      </w:r>
      <w:r w:rsidRPr="00BC77EB">
        <w:rPr>
          <w:rFonts w:ascii="FrankRuehl" w:hAnsi="FrankRuehl" w:cs="FrankRuehl"/>
          <w:sz w:val="24"/>
          <w:szCs w:val="24"/>
          <w:rtl/>
        </w:rPr>
        <w:t>כי נשאת ארון ה' וכי התענית בכל אשר התענה אבי</w:t>
      </w:r>
      <w:r w:rsidRPr="00BC77EB">
        <w:rPr>
          <w:rFonts w:ascii="FrankRuehl" w:hAnsi="FrankRuehl" w:cs="FrankRuehl" w:hint="cs"/>
          <w:sz w:val="24"/>
          <w:szCs w:val="24"/>
          <w:rtl/>
        </w:rPr>
        <w:t>'.</w:t>
      </w:r>
      <w:r w:rsidRPr="00BC77EB">
        <w:rPr>
          <w:rFonts w:ascii="FrankRuehl" w:hAnsi="FrankRuehl" w:cs="FrankRuehl"/>
          <w:sz w:val="24"/>
          <w:szCs w:val="24"/>
          <w:rtl/>
        </w:rPr>
        <w:t xml:space="preserve"> ומזה למדנו דאפילו רחיצה צונן אסורה מדאורייתא</w:t>
      </w:r>
      <w:r w:rsidRPr="00BC77EB">
        <w:rPr>
          <w:rFonts w:ascii="FrankRuehl" w:hAnsi="FrankRuehl" w:cs="FrankRuehl" w:hint="cs"/>
          <w:sz w:val="24"/>
          <w:szCs w:val="24"/>
          <w:rtl/>
        </w:rPr>
        <w:t>,</w:t>
      </w:r>
      <w:r w:rsidRPr="00BC77EB">
        <w:rPr>
          <w:rFonts w:ascii="FrankRuehl" w:hAnsi="FrankRuehl" w:cs="FrankRuehl"/>
          <w:sz w:val="24"/>
          <w:szCs w:val="24"/>
          <w:rtl/>
        </w:rPr>
        <w:t xml:space="preserve"> דהכא כתיב </w:t>
      </w:r>
      <w:r w:rsidRPr="00BC77EB">
        <w:rPr>
          <w:rFonts w:ascii="FrankRuehl" w:hAnsi="FrankRuehl" w:cs="FrankRuehl" w:hint="cs"/>
          <w:sz w:val="24"/>
          <w:szCs w:val="24"/>
          <w:rtl/>
        </w:rPr>
        <w:t>'</w:t>
      </w:r>
      <w:r w:rsidRPr="00BC77EB">
        <w:rPr>
          <w:rFonts w:ascii="FrankRuehl" w:hAnsi="FrankRuehl" w:cs="FrankRuehl"/>
          <w:sz w:val="24"/>
          <w:szCs w:val="24"/>
          <w:rtl/>
        </w:rPr>
        <w:t>מים קרים</w:t>
      </w:r>
      <w:r w:rsidRPr="00BC77EB">
        <w:rPr>
          <w:rFonts w:ascii="FrankRuehl" w:hAnsi="FrankRuehl" w:cs="FrankRuehl" w:hint="cs"/>
          <w:sz w:val="24"/>
          <w:szCs w:val="24"/>
          <w:rtl/>
        </w:rPr>
        <w:t>'.</w:t>
      </w:r>
      <w:r w:rsidRPr="00BC77EB">
        <w:rPr>
          <w:rFonts w:ascii="FrankRuehl" w:hAnsi="FrankRuehl" w:cs="FrankRuehl"/>
          <w:sz w:val="24"/>
          <w:szCs w:val="24"/>
          <w:rtl/>
        </w:rPr>
        <w:t xml:space="preserve"> ודוקא רוב גופו ומתכוין ליהנות ברחיצה אסור מדאורייתא</w:t>
      </w:r>
      <w:r w:rsidRPr="00BC77EB">
        <w:rPr>
          <w:rFonts w:ascii="FrankRuehl" w:hAnsi="FrankRuehl" w:cs="FrankRuehl" w:hint="cs"/>
          <w:sz w:val="24"/>
          <w:szCs w:val="24"/>
          <w:rtl/>
        </w:rPr>
        <w:t>,</w:t>
      </w:r>
      <w:r w:rsidRPr="00BC77EB">
        <w:rPr>
          <w:rFonts w:ascii="FrankRuehl" w:hAnsi="FrankRuehl" w:cs="FrankRuehl"/>
          <w:sz w:val="24"/>
          <w:szCs w:val="24"/>
          <w:rtl/>
        </w:rPr>
        <w:t xml:space="preserve"> אבל מיעוט גופו אפילו מתכוין ליהנות אינו אסור אלא מדרבנן</w:t>
      </w:r>
      <w:r w:rsidRPr="00BC77EB">
        <w:rPr>
          <w:rFonts w:ascii="FrankRuehl" w:hAnsi="FrankRuehl" w:cs="FrankRuehl" w:hint="cs"/>
          <w:sz w:val="24"/>
          <w:szCs w:val="24"/>
          <w:rtl/>
        </w:rPr>
        <w:t>,</w:t>
      </w:r>
      <w:r w:rsidRPr="00BC77EB">
        <w:rPr>
          <w:rFonts w:ascii="FrankRuehl" w:hAnsi="FrankRuehl" w:cs="FrankRuehl"/>
          <w:sz w:val="24"/>
          <w:szCs w:val="24"/>
          <w:rtl/>
        </w:rPr>
        <w:t xml:space="preserve"> דתנן</w:t>
      </w:r>
      <w:r w:rsidRPr="00BC77EB">
        <w:rPr>
          <w:rFonts w:ascii="FrankRuehl" w:hAnsi="FrankRuehl" w:cs="FrankRuehl" w:hint="cs"/>
          <w:sz w:val="24"/>
          <w:szCs w:val="24"/>
          <w:rtl/>
        </w:rPr>
        <w:t>,</w:t>
      </w:r>
      <w:r w:rsidRPr="00BC77EB">
        <w:rPr>
          <w:rFonts w:ascii="FrankRuehl" w:hAnsi="FrankRuehl" w:cs="FrankRuehl"/>
          <w:sz w:val="24"/>
          <w:szCs w:val="24"/>
          <w:rtl/>
        </w:rPr>
        <w:t xml:space="preserve"> </w:t>
      </w:r>
      <w:r w:rsidRPr="00BC77EB">
        <w:rPr>
          <w:rFonts w:ascii="FrankRuehl" w:hAnsi="FrankRuehl" w:cs="FrankRuehl" w:hint="cs"/>
          <w:sz w:val="24"/>
          <w:szCs w:val="24"/>
          <w:rtl/>
        </w:rPr>
        <w:t>'</w:t>
      </w:r>
      <w:r w:rsidRPr="00BC77EB">
        <w:rPr>
          <w:rFonts w:ascii="FrankRuehl" w:hAnsi="FrankRuehl" w:cs="FrankRuehl"/>
          <w:sz w:val="24"/>
          <w:szCs w:val="24"/>
          <w:rtl/>
        </w:rPr>
        <w:t>המלך והכלה ירחצו פניהם</w:t>
      </w:r>
      <w:r w:rsidRPr="00BC77EB">
        <w:rPr>
          <w:rFonts w:ascii="FrankRuehl" w:hAnsi="FrankRuehl" w:cs="FrankRuehl" w:hint="cs"/>
          <w:sz w:val="24"/>
          <w:szCs w:val="24"/>
          <w:rtl/>
        </w:rPr>
        <w:t>',</w:t>
      </w:r>
      <w:r w:rsidRPr="00BC77EB">
        <w:rPr>
          <w:rFonts w:ascii="FrankRuehl" w:hAnsi="FrankRuehl" w:cs="FrankRuehl"/>
          <w:sz w:val="24"/>
          <w:szCs w:val="24"/>
          <w:rtl/>
        </w:rPr>
        <w:t xml:space="preserve"> ואי מדאורייתא אסורה לא שרינן ליה במלך וכלה</w:t>
      </w:r>
      <w:r w:rsidRPr="00BC77EB">
        <w:rPr>
          <w:rFonts w:ascii="FrankRuehl" w:hAnsi="FrankRuehl" w:cs="FrankRuehl" w:hint="cs"/>
          <w:sz w:val="24"/>
          <w:szCs w:val="24"/>
          <w:rtl/>
        </w:rPr>
        <w:t>,</w:t>
      </w:r>
      <w:r w:rsidRPr="00BC77EB">
        <w:rPr>
          <w:rFonts w:ascii="FrankRuehl" w:hAnsi="FrankRuehl" w:cs="FrankRuehl"/>
          <w:sz w:val="24"/>
          <w:szCs w:val="24"/>
          <w:rtl/>
        </w:rPr>
        <w:t xml:space="preserve"> ואם אינו מתכוין</w:t>
      </w:r>
      <w:r w:rsidRPr="00BC77EB">
        <w:rPr>
          <w:rFonts w:ascii="FrankRuehl" w:hAnsi="FrankRuehl" w:cs="FrankRuehl" w:hint="cs"/>
          <w:sz w:val="24"/>
          <w:szCs w:val="24"/>
          <w:rtl/>
        </w:rPr>
        <w:t>,</w:t>
      </w:r>
      <w:r w:rsidRPr="00BC77EB">
        <w:rPr>
          <w:rFonts w:ascii="FrankRuehl" w:hAnsi="FrankRuehl" w:cs="FrankRuehl"/>
          <w:sz w:val="24"/>
          <w:szCs w:val="24"/>
          <w:rtl/>
        </w:rPr>
        <w:t xml:space="preserve"> כגון הרוחץ בבקר ידיו משום רוח רעה או משום טינוף</w:t>
      </w:r>
      <w:r w:rsidRPr="00BC77EB">
        <w:rPr>
          <w:rFonts w:ascii="FrankRuehl" w:hAnsi="FrankRuehl" w:cs="FrankRuehl" w:hint="cs"/>
          <w:sz w:val="24"/>
          <w:szCs w:val="24"/>
          <w:rtl/>
        </w:rPr>
        <w:t>,</w:t>
      </w:r>
      <w:r w:rsidRPr="00BC77EB">
        <w:rPr>
          <w:rFonts w:ascii="FrankRuehl" w:hAnsi="FrankRuehl" w:cs="FrankRuehl"/>
          <w:sz w:val="24"/>
          <w:szCs w:val="24"/>
          <w:rtl/>
        </w:rPr>
        <w:t xml:space="preserve"> שרי לכתחילה</w:t>
      </w:r>
      <w:r w:rsidRPr="00BC77EB">
        <w:rPr>
          <w:rFonts w:ascii="FrankRuehl" w:hAnsi="FrankRuehl" w:cs="FrankRuehl" w:hint="cs"/>
          <w:sz w:val="24"/>
          <w:szCs w:val="24"/>
          <w:rtl/>
        </w:rPr>
        <w:t>,</w:t>
      </w:r>
      <w:r w:rsidRPr="00BC77EB">
        <w:rPr>
          <w:rFonts w:ascii="FrankRuehl" w:hAnsi="FrankRuehl" w:cs="FrankRuehl"/>
          <w:sz w:val="24"/>
          <w:szCs w:val="24"/>
          <w:rtl/>
        </w:rPr>
        <w:t xml:space="preserve"> כדתניא</w:t>
      </w:r>
      <w:r w:rsidRPr="00BC77EB">
        <w:rPr>
          <w:rFonts w:ascii="FrankRuehl" w:hAnsi="FrankRuehl" w:cs="FrankRuehl" w:hint="cs"/>
          <w:sz w:val="24"/>
          <w:szCs w:val="24"/>
          <w:rtl/>
        </w:rPr>
        <w:t>,</w:t>
      </w:r>
      <w:r w:rsidRPr="00BC77EB">
        <w:rPr>
          <w:rFonts w:ascii="FrankRuehl" w:hAnsi="FrankRuehl" w:cs="FrankRuehl"/>
          <w:sz w:val="24"/>
          <w:szCs w:val="24"/>
          <w:rtl/>
        </w:rPr>
        <w:t xml:space="preserve"> </w:t>
      </w:r>
      <w:r w:rsidRPr="00BC77EB">
        <w:rPr>
          <w:rFonts w:ascii="FrankRuehl" w:hAnsi="FrankRuehl" w:cs="FrankRuehl" w:hint="cs"/>
          <w:sz w:val="24"/>
          <w:szCs w:val="24"/>
          <w:rtl/>
        </w:rPr>
        <w:t>'</w:t>
      </w:r>
      <w:r w:rsidRPr="00BC77EB">
        <w:rPr>
          <w:rFonts w:ascii="FrankRuehl" w:hAnsi="FrankRuehl" w:cs="FrankRuehl"/>
          <w:sz w:val="24"/>
          <w:szCs w:val="24"/>
          <w:rtl/>
        </w:rPr>
        <w:t>שומרי פירות והמקביל פני רבו או מי שגדול ממנו עוברים במים עד צוארם ואינן חוששין</w:t>
      </w:r>
      <w:r w:rsidRPr="00BC77EB">
        <w:rPr>
          <w:rFonts w:ascii="FrankRuehl" w:hAnsi="FrankRuehl" w:cs="FrankRuehl" w:hint="cs"/>
          <w:sz w:val="24"/>
          <w:szCs w:val="24"/>
          <w:rtl/>
        </w:rPr>
        <w:t>',</w:t>
      </w:r>
      <w:r w:rsidRPr="00BC77EB">
        <w:rPr>
          <w:rFonts w:ascii="FrankRuehl" w:hAnsi="FrankRuehl" w:cs="FrankRuehl"/>
          <w:sz w:val="24"/>
          <w:szCs w:val="24"/>
          <w:rtl/>
        </w:rPr>
        <w:t xml:space="preserve"> ומסקינן</w:t>
      </w:r>
      <w:r w:rsidRPr="00BC77EB">
        <w:rPr>
          <w:rFonts w:ascii="FrankRuehl" w:hAnsi="FrankRuehl" w:cs="FrankRuehl" w:hint="cs"/>
          <w:sz w:val="24"/>
          <w:szCs w:val="24"/>
          <w:rtl/>
        </w:rPr>
        <w:t>,</w:t>
      </w:r>
      <w:r w:rsidRPr="00BC77EB">
        <w:rPr>
          <w:rFonts w:ascii="FrankRuehl" w:hAnsi="FrankRuehl" w:cs="FrankRuehl"/>
          <w:sz w:val="24"/>
          <w:szCs w:val="24"/>
          <w:rtl/>
        </w:rPr>
        <w:t xml:space="preserve"> </w:t>
      </w:r>
      <w:r w:rsidRPr="00BC77EB">
        <w:rPr>
          <w:rFonts w:ascii="FrankRuehl" w:hAnsi="FrankRuehl" w:cs="FrankRuehl" w:hint="cs"/>
          <w:sz w:val="24"/>
          <w:szCs w:val="24"/>
          <w:rtl/>
        </w:rPr>
        <w:t>'</w:t>
      </w:r>
      <w:r w:rsidRPr="00BC77EB">
        <w:rPr>
          <w:rFonts w:ascii="FrankRuehl" w:hAnsi="FrankRuehl" w:cs="FrankRuehl"/>
          <w:sz w:val="24"/>
          <w:szCs w:val="24"/>
          <w:rtl/>
        </w:rPr>
        <w:t>ובלבד שלא יוציא ידו מתחת חפת חלוקו</w:t>
      </w:r>
      <w:r w:rsidRPr="00BC77EB">
        <w:rPr>
          <w:rFonts w:ascii="FrankRuehl" w:hAnsi="FrankRuehl" w:cs="FrankRuehl" w:hint="cs"/>
          <w:sz w:val="24"/>
          <w:szCs w:val="24"/>
          <w:rtl/>
        </w:rPr>
        <w:t>',</w:t>
      </w:r>
      <w:r w:rsidRPr="00BC77EB">
        <w:rPr>
          <w:rFonts w:ascii="FrankRuehl" w:hAnsi="FrankRuehl" w:cs="FrankRuehl"/>
          <w:sz w:val="24"/>
          <w:szCs w:val="24"/>
          <w:rtl/>
        </w:rPr>
        <w:t xml:space="preserve"> ופסיק רישיה ולא ימות לא הוי</w:t>
      </w:r>
      <w:r w:rsidRPr="00BC77EB">
        <w:rPr>
          <w:rFonts w:ascii="FrankRuehl" w:hAnsi="FrankRuehl" w:cs="FrankRuehl" w:hint="cs"/>
          <w:sz w:val="24"/>
          <w:szCs w:val="24"/>
          <w:rtl/>
        </w:rPr>
        <w:t>,</w:t>
      </w:r>
      <w:r w:rsidRPr="00BC77EB">
        <w:rPr>
          <w:rFonts w:ascii="FrankRuehl" w:hAnsi="FrankRuehl" w:cs="FrankRuehl"/>
          <w:sz w:val="24"/>
          <w:szCs w:val="24"/>
          <w:rtl/>
        </w:rPr>
        <w:t xml:space="preserve"> שיש כמה בני אדם שאין נהנין מרחיצה כזו</w:t>
      </w:r>
      <w:r w:rsidRPr="00BC77EB">
        <w:rPr>
          <w:rFonts w:ascii="FrankRuehl" w:hAnsi="FrankRuehl" w:cs="FrankRuehl" w:hint="cs"/>
          <w:sz w:val="24"/>
          <w:szCs w:val="24"/>
          <w:rtl/>
        </w:rPr>
        <w:t>.</w:t>
      </w:r>
      <w:r w:rsidRPr="00BC77EB">
        <w:rPr>
          <w:rFonts w:ascii="FrankRuehl" w:hAnsi="FrankRuehl" w:cs="FrankRuehl"/>
          <w:sz w:val="24"/>
          <w:szCs w:val="24"/>
          <w:rtl/>
        </w:rPr>
        <w:t xml:space="preserve"> ותניא נמי הכי</w:t>
      </w:r>
      <w:r w:rsidRPr="00BC77EB">
        <w:rPr>
          <w:rFonts w:ascii="FrankRuehl" w:hAnsi="FrankRuehl" w:cs="FrankRuehl" w:hint="cs"/>
          <w:sz w:val="24"/>
          <w:szCs w:val="24"/>
          <w:rtl/>
        </w:rPr>
        <w:t>,</w:t>
      </w:r>
      <w:r w:rsidRPr="00BC77EB">
        <w:rPr>
          <w:rFonts w:ascii="FrankRuehl" w:hAnsi="FrankRuehl" w:cs="FrankRuehl"/>
          <w:sz w:val="24"/>
          <w:szCs w:val="24"/>
          <w:rtl/>
        </w:rPr>
        <w:t xml:space="preserve"> </w:t>
      </w:r>
      <w:r w:rsidRPr="00BC77EB">
        <w:rPr>
          <w:rFonts w:ascii="FrankRuehl" w:hAnsi="FrankRuehl" w:cs="FrankRuehl" w:hint="cs"/>
          <w:sz w:val="24"/>
          <w:szCs w:val="24"/>
          <w:rtl/>
        </w:rPr>
        <w:t>'</w:t>
      </w:r>
      <w:r w:rsidRPr="00BC77EB">
        <w:rPr>
          <w:rFonts w:ascii="FrankRuehl" w:hAnsi="FrankRuehl" w:cs="FrankRuehl"/>
          <w:sz w:val="24"/>
          <w:szCs w:val="24"/>
          <w:rtl/>
        </w:rPr>
        <w:t>אם היו ידיו מלוכלכות בטיט ובצואה רוחץ כדרכו אינו חושש</w:t>
      </w:r>
      <w:r w:rsidRPr="00BC77EB">
        <w:rPr>
          <w:rFonts w:ascii="FrankRuehl" w:hAnsi="FrankRuehl" w:cs="FrankRuehl" w:hint="cs"/>
          <w:sz w:val="24"/>
          <w:szCs w:val="24"/>
          <w:rtl/>
        </w:rPr>
        <w:t>',</w:t>
      </w:r>
      <w:r w:rsidRPr="00BC77EB">
        <w:rPr>
          <w:rFonts w:ascii="FrankRuehl" w:hAnsi="FrankRuehl" w:cs="FrankRuehl"/>
          <w:sz w:val="24"/>
          <w:szCs w:val="24"/>
          <w:rtl/>
        </w:rPr>
        <w:t xml:space="preserve"> אלמא אינו מתכוין להנאת רחיצה מותר.</w:t>
      </w:r>
      <w:r>
        <w:rPr>
          <w:rFonts w:ascii="FrankRuehl" w:hAnsi="FrankRuehl" w:cs="FrankRuehl" w:hint="cs"/>
          <w:sz w:val="24"/>
          <w:szCs w:val="24"/>
          <w:rtl/>
        </w:rPr>
        <w:t xml:space="preserve">.. </w:t>
      </w:r>
      <w:r w:rsidRPr="009D2294">
        <w:rPr>
          <w:rFonts w:ascii="FrankRuehl" w:hAnsi="FrankRuehl" w:cs="FrankRuehl"/>
          <w:sz w:val="24"/>
          <w:szCs w:val="24"/>
          <w:rtl/>
        </w:rPr>
        <w:t xml:space="preserve">ותניא, 'אף על פי שאסור בכולן אינו חייב כרת אלא על עינוי דאכילה ושתיה בלבד' וטעמא דכתיב 'כל הנפש אשר לא תעונה בעצם היום הזה </w:t>
      </w:r>
      <w:r>
        <w:rPr>
          <w:rFonts w:ascii="FrankRuehl" w:hAnsi="FrankRuehl" w:cs="FrankRuehl"/>
          <w:sz w:val="24"/>
          <w:szCs w:val="24"/>
          <w:rtl/>
        </w:rPr>
        <w:t xml:space="preserve">והאבדתי את הנפש ההיא מקרב עמה' </w:t>
      </w:r>
      <w:r>
        <w:rPr>
          <w:rFonts w:ascii="FrankRuehl" w:hAnsi="FrankRuehl" w:cs="FrankRuehl" w:hint="cs"/>
          <w:sz w:val="24"/>
          <w:szCs w:val="24"/>
          <w:rtl/>
        </w:rPr>
        <w:t>-</w:t>
      </w:r>
      <w:r w:rsidRPr="009D2294">
        <w:rPr>
          <w:rFonts w:ascii="FrankRuehl" w:hAnsi="FrankRuehl" w:cs="FrankRuehl"/>
          <w:sz w:val="24"/>
          <w:szCs w:val="24"/>
          <w:rtl/>
        </w:rPr>
        <w:t xml:space="preserve"> איזו עינוי שיש בו איבוד נפש? הוי אומר זו אכילה ושתיה.</w:t>
      </w:r>
    </w:p>
    <w:p w:rsidR="00782FFD" w:rsidRDefault="00782FFD" w:rsidP="0010620B">
      <w:pPr>
        <w:spacing w:line="276" w:lineRule="exact"/>
        <w:rPr>
          <w:rFonts w:ascii="FrankRuehl" w:hAnsi="FrankRuehl" w:cs="FrankRuehl"/>
          <w:b/>
          <w:bCs/>
          <w:sz w:val="24"/>
          <w:szCs w:val="24"/>
          <w:rtl/>
        </w:rPr>
      </w:pPr>
    </w:p>
    <w:p w:rsidR="0010620B" w:rsidRPr="00BC77EB" w:rsidRDefault="0010620B" w:rsidP="0010620B">
      <w:pPr>
        <w:spacing w:line="276" w:lineRule="exact"/>
        <w:rPr>
          <w:rFonts w:ascii="FrankRuehl" w:hAnsi="FrankRuehl" w:cs="FrankRuehl"/>
          <w:b/>
          <w:bCs/>
          <w:sz w:val="24"/>
          <w:szCs w:val="24"/>
          <w:rtl/>
        </w:rPr>
      </w:pPr>
      <w:r w:rsidRPr="00545733">
        <w:rPr>
          <w:noProof/>
          <w:highlight w:val="green"/>
          <w:rtl/>
        </w:rPr>
        <w:lastRenderedPageBreak/>
        <mc:AlternateContent>
          <mc:Choice Requires="wps">
            <w:drawing>
              <wp:anchor distT="0" distB="0" distL="114300" distR="114300" simplePos="0" relativeHeight="251722752" behindDoc="1" locked="0" layoutInCell="1" allowOverlap="1" wp14:anchorId="3D6173F5" wp14:editId="5EAA4064">
                <wp:simplePos x="0" y="0"/>
                <wp:positionH relativeFrom="margin">
                  <wp:posOffset>-228600</wp:posOffset>
                </wp:positionH>
                <wp:positionV relativeFrom="paragraph">
                  <wp:posOffset>-198120</wp:posOffset>
                </wp:positionV>
                <wp:extent cx="5765800" cy="2514600"/>
                <wp:effectExtent l="0" t="0" r="25400" b="19050"/>
                <wp:wrapNone/>
                <wp:docPr id="41" name="מלבן 41"/>
                <wp:cNvGraphicFramePr/>
                <a:graphic xmlns:a="http://schemas.openxmlformats.org/drawingml/2006/main">
                  <a:graphicData uri="http://schemas.microsoft.com/office/word/2010/wordprocessingShape">
                    <wps:wsp>
                      <wps:cNvSpPr/>
                      <wps:spPr>
                        <a:xfrm>
                          <a:off x="0" y="0"/>
                          <a:ext cx="5765800" cy="251460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BA24D" id="מלבן 41" o:spid="_x0000_s1026" style="position:absolute;left:0;text-align:left;margin-left:-18pt;margin-top:-15.6pt;width:454pt;height:198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z2hAIAAAMFAAAOAAAAZHJzL2Uyb0RvYy54bWysVElu2zAU3RfoHQjuG9mGnEGIHBgOXBQI&#10;kgBOkTVNUbYATiVpy+4tui/aY/k6faQUZ2hWRb2g/8Q/PL6vy6udkmQrnG+MLunwZECJ0NxUjV6V&#10;9OvD/NM5JT4wXTFptCjpXnh6Nfn44bK1hRiZtZGVcARJtC9aW9J1CLbIMs/XQjF/YqzQcNbGKRag&#10;ulVWOdYiu5LZaDA4zVrjKusMF97Det056STlr2vBw11dexGILCl6C+l06VzGM5tcsmLlmF03vG+D&#10;/UMXijUaRY+prllgZOOav1KphjvjTR1OuFGZqeuGizQDphkO3kyzWDMr0iwAx9sjTP7/peW323tH&#10;mqqk+ZASzRTe6PDr8PPw4/CbwAR8WusLhC3sves1DzEOu6udiv8Yg+wSpvsjpmIXCIdxfHY6Ph8A&#10;eg7faDzMT6EgT/Z83TofPgujSBRK6vBoCUu2vfGhC30KidW8kU01b6RMyt7PpCNbhvcFLSrTUiKZ&#10;DzCWdJ5+fbVX16QmLeh6MRjHzhiIV0sWICoLKLxeUcLkCozmwaVeXt32brU8Vs3zs9Esf69IbPqa&#10;+XXXXcoQw1ihmgDSy0aVFNDg19+WOnpFom0/egS/gztKS1Pt8VzOdDz2ls8bFLnBwPfMgbiYBssY&#10;7nDU0mBE00uUrI37/p49xoNP8FLSYhEw/rcNcwI4ftFg2sUwz+PmJCUfn42guJee5UuP3qiZwVuA&#10;TOguiTE+yCdr7Yx6xM5OY1W4mOao3QHdK7PQLSi2novpNIVhWywLN3pheUwecYrwPuwembM9cQI4&#10;d2ueloYVb/jTxcab2kw3wdRNItczriBlVLBpiZ79VyGu8ks9RT1/uyZ/AAAA//8DAFBLAwQUAAYA&#10;CAAAACEARs/KVeAAAAALAQAADwAAAGRycy9kb3ducmV2LnhtbEyPwU7DMBBE70j8g7VI3Fo7KQpR&#10;iFNRJAQcQLQgzm5snAh7HWK3CX/P9gS33Z3R7Jt6PXvHjmaMfUAJ2VIAM9gG3aOV8P52vyiBxaRQ&#10;KxfQSPgxEdbN+VmtKh0m3JrjLllGIRgrJaFLaag4j21nvIrLMBgk7TOMXiVaR8v1qCYK947nQhTc&#10;qx7pQ6cGc9eZ9mt38BKeNvb749Fm28K712mDD+LlOQgpLy/m2xtgyczpzwwnfEKHhpj24YA6Midh&#10;sSqoSzoNWQ6MHOV1Tpe9hFVxVQJvav6/Q/MLAAD//wMAUEsBAi0AFAAGAAgAAAAhALaDOJL+AAAA&#10;4QEAABMAAAAAAAAAAAAAAAAAAAAAAFtDb250ZW50X1R5cGVzXS54bWxQSwECLQAUAAYACAAAACEA&#10;OP0h/9YAAACUAQAACwAAAAAAAAAAAAAAAAAvAQAAX3JlbHMvLnJlbHNQSwECLQAUAAYACAAAACEA&#10;lTIM9oQCAAADBQAADgAAAAAAAAAAAAAAAAAuAgAAZHJzL2Uyb0RvYy54bWxQSwECLQAUAAYACAAA&#10;ACEARs/KVeAAAAALAQAADwAAAAAAAAAAAAAAAADeBAAAZHJzL2Rvd25yZXYueG1sUEsFBgAAAAAE&#10;AAQA8wAAAOsFAAAAAA==&#10;" fillcolor="window" strokecolor="#4472c4" strokeweight="1.5pt">
                <w10:wrap anchorx="margin"/>
              </v:rect>
            </w:pict>
          </mc:Fallback>
        </mc:AlternateContent>
      </w:r>
      <w:r w:rsidRPr="00BC77EB">
        <w:rPr>
          <w:rFonts w:ascii="FrankRuehl" w:hAnsi="FrankRuehl" w:cs="FrankRuehl"/>
          <w:b/>
          <w:bCs/>
          <w:sz w:val="24"/>
          <w:szCs w:val="24"/>
          <w:rtl/>
        </w:rPr>
        <w:t>העמק שאלה שאילתא קסז אות א</w:t>
      </w:r>
    </w:p>
    <w:p w:rsidR="0010620B" w:rsidRPr="00BC77EB" w:rsidRDefault="0010620B" w:rsidP="0010620B">
      <w:pPr>
        <w:spacing w:line="276" w:lineRule="exact"/>
        <w:rPr>
          <w:rFonts w:ascii="FrankRuehl" w:hAnsi="FrankRuehl" w:cs="FrankRuehl"/>
          <w:sz w:val="24"/>
          <w:szCs w:val="24"/>
          <w:rtl/>
        </w:rPr>
      </w:pPr>
      <w:r w:rsidRPr="00BC77EB">
        <w:rPr>
          <w:rFonts w:ascii="FrankRuehl" w:hAnsi="FrankRuehl" w:cs="FrankRuehl"/>
          <w:sz w:val="24"/>
          <w:szCs w:val="24"/>
          <w:rtl/>
        </w:rPr>
        <w:t>אבל למדנו ישוב נכון וברור על כ</w:t>
      </w:r>
      <w:r w:rsidRPr="00BC77EB">
        <w:rPr>
          <w:rFonts w:ascii="FrankRuehl" w:hAnsi="FrankRuehl" w:cs="FrankRuehl" w:hint="cs"/>
          <w:sz w:val="24"/>
          <w:szCs w:val="24"/>
          <w:rtl/>
        </w:rPr>
        <w:t>ל זה</w:t>
      </w:r>
      <w:r w:rsidRPr="00BC77EB">
        <w:rPr>
          <w:rFonts w:ascii="FrankRuehl" w:hAnsi="FrankRuehl" w:cs="FrankRuehl"/>
          <w:sz w:val="24"/>
          <w:szCs w:val="24"/>
          <w:rtl/>
        </w:rPr>
        <w:t xml:space="preserve"> מלשון רבינו עצמו, דז</w:t>
      </w:r>
      <w:r w:rsidRPr="00BC77EB">
        <w:rPr>
          <w:rFonts w:ascii="FrankRuehl" w:hAnsi="FrankRuehl" w:cs="FrankRuehl" w:hint="cs"/>
          <w:sz w:val="24"/>
          <w:szCs w:val="24"/>
          <w:rtl/>
        </w:rPr>
        <w:t>"ל</w:t>
      </w:r>
      <w:r w:rsidRPr="00BC77EB">
        <w:rPr>
          <w:rFonts w:ascii="FrankRuehl" w:hAnsi="FrankRuehl" w:cs="FrankRuehl"/>
          <w:sz w:val="24"/>
          <w:szCs w:val="24"/>
          <w:rtl/>
        </w:rPr>
        <w:t xml:space="preserve"> בשאילתא קס"ח לענין נעילת הסנדל משום עקרב</w:t>
      </w:r>
      <w:r w:rsidRPr="00BC77EB">
        <w:rPr>
          <w:rFonts w:ascii="FrankRuehl" w:hAnsi="FrankRuehl" w:cs="FrankRuehl" w:hint="cs"/>
          <w:sz w:val="24"/>
          <w:szCs w:val="24"/>
          <w:rtl/>
        </w:rPr>
        <w:t>:</w:t>
      </w:r>
      <w:r w:rsidRPr="00BC77EB">
        <w:rPr>
          <w:rFonts w:ascii="FrankRuehl" w:hAnsi="FrankRuehl" w:cs="FrankRuehl"/>
          <w:sz w:val="24"/>
          <w:szCs w:val="24"/>
          <w:rtl/>
        </w:rPr>
        <w:t xml:space="preserve"> </w:t>
      </w:r>
      <w:r w:rsidRPr="00BC77EB">
        <w:rPr>
          <w:rFonts w:ascii="FrankRuehl" w:hAnsi="FrankRuehl" w:cs="FrankRuehl" w:hint="cs"/>
          <w:sz w:val="24"/>
          <w:szCs w:val="24"/>
          <w:rtl/>
        </w:rPr>
        <w:t>'</w:t>
      </w:r>
      <w:r w:rsidRPr="00BC77EB">
        <w:rPr>
          <w:rFonts w:ascii="FrankRuehl" w:hAnsi="FrankRuehl" w:cs="FrankRuehl"/>
          <w:sz w:val="24"/>
          <w:szCs w:val="24"/>
          <w:rtl/>
        </w:rPr>
        <w:t>מי אמרינן נעילת הסנדל משום ענוגא הוא דאסור והלא לא מיענג</w:t>
      </w:r>
      <w:r w:rsidRPr="00BC77EB">
        <w:rPr>
          <w:rFonts w:ascii="FrankRuehl" w:hAnsi="FrankRuehl" w:cs="FrankRuehl" w:hint="cs"/>
          <w:sz w:val="24"/>
          <w:szCs w:val="24"/>
          <w:rtl/>
        </w:rPr>
        <w:t>'</w:t>
      </w:r>
      <w:r w:rsidRPr="00BC77EB">
        <w:rPr>
          <w:rFonts w:ascii="FrankRuehl" w:hAnsi="FrankRuehl" w:cs="FrankRuehl"/>
          <w:sz w:val="24"/>
          <w:szCs w:val="24"/>
          <w:rtl/>
        </w:rPr>
        <w:t>, למדונו רבינו דהא דמותר לצורך מצוה להכנס במקום עקרבים ויהיה מוכרח לנעול את הסנדל הוא משום שאין בזה בטול מצות עשה דאורייתא, כיון דשלא שום לתענוג הוא לובשו, הא ודאי שאינו אסור מ</w:t>
      </w:r>
      <w:r w:rsidRPr="00BC77EB">
        <w:rPr>
          <w:rFonts w:ascii="FrankRuehl" w:hAnsi="FrankRuehl" w:cs="FrankRuehl" w:hint="cs"/>
          <w:sz w:val="24"/>
          <w:szCs w:val="24"/>
          <w:rtl/>
        </w:rPr>
        <w:t>ן התורה</w:t>
      </w:r>
      <w:r w:rsidRPr="00BC77EB">
        <w:rPr>
          <w:rFonts w:ascii="FrankRuehl" w:hAnsi="FrankRuehl" w:cs="FrankRuehl"/>
          <w:sz w:val="24"/>
          <w:szCs w:val="24"/>
          <w:rtl/>
        </w:rPr>
        <w:t xml:space="preserve"> אלא גזירה דרבנן, דמ</w:t>
      </w:r>
      <w:r w:rsidRPr="00BC77EB">
        <w:rPr>
          <w:rFonts w:ascii="FrankRuehl" w:hAnsi="FrankRuehl" w:cs="FrankRuehl" w:hint="cs"/>
          <w:sz w:val="24"/>
          <w:szCs w:val="24"/>
          <w:rtl/>
        </w:rPr>
        <w:t>ן התורה</w:t>
      </w:r>
      <w:r w:rsidRPr="00BC77EB">
        <w:rPr>
          <w:rFonts w:ascii="FrankRuehl" w:hAnsi="FrankRuehl" w:cs="FrankRuehl"/>
          <w:sz w:val="24"/>
          <w:szCs w:val="24"/>
          <w:rtl/>
        </w:rPr>
        <w:t xml:space="preserve"> לא אסור אלא העושה לשום תענוג, וה</w:t>
      </w:r>
      <w:r w:rsidRPr="00BC77EB">
        <w:rPr>
          <w:rFonts w:ascii="FrankRuehl" w:hAnsi="FrankRuehl" w:cs="FrankRuehl" w:hint="cs"/>
          <w:sz w:val="24"/>
          <w:szCs w:val="24"/>
          <w:rtl/>
        </w:rPr>
        <w:t>כא נמי</w:t>
      </w:r>
      <w:r w:rsidRPr="00BC77EB">
        <w:rPr>
          <w:rFonts w:ascii="FrankRuehl" w:hAnsi="FrankRuehl" w:cs="FrankRuehl"/>
          <w:sz w:val="24"/>
          <w:szCs w:val="24"/>
          <w:rtl/>
        </w:rPr>
        <w:t xml:space="preserve"> רחיצה וסיכה, ומשו</w:t>
      </w:r>
      <w:r w:rsidRPr="00BC77EB">
        <w:rPr>
          <w:rFonts w:ascii="FrankRuehl" w:hAnsi="FrankRuehl" w:cs="FrankRuehl" w:hint="cs"/>
          <w:sz w:val="24"/>
          <w:szCs w:val="24"/>
          <w:rtl/>
        </w:rPr>
        <w:t>ם הכי</w:t>
      </w:r>
      <w:r w:rsidRPr="00BC77EB">
        <w:rPr>
          <w:rFonts w:ascii="FrankRuehl" w:hAnsi="FrankRuehl" w:cs="FrankRuehl"/>
          <w:sz w:val="24"/>
          <w:szCs w:val="24"/>
          <w:rtl/>
        </w:rPr>
        <w:t xml:space="preserve"> התירו במלך וכלה דלא עבדו לשום תענוג ושרו מ</w:t>
      </w:r>
      <w:r w:rsidRPr="00BC77EB">
        <w:rPr>
          <w:rFonts w:ascii="FrankRuehl" w:hAnsi="FrankRuehl" w:cs="FrankRuehl" w:hint="cs"/>
          <w:sz w:val="24"/>
          <w:szCs w:val="24"/>
          <w:rtl/>
        </w:rPr>
        <w:t>ן התורה</w:t>
      </w:r>
      <w:r w:rsidRPr="00BC77EB">
        <w:rPr>
          <w:rFonts w:ascii="FrankRuehl" w:hAnsi="FrankRuehl" w:cs="FrankRuehl"/>
          <w:sz w:val="24"/>
          <w:szCs w:val="24"/>
          <w:rtl/>
        </w:rPr>
        <w:t>, מ</w:t>
      </w:r>
      <w:r w:rsidRPr="00BC77EB">
        <w:rPr>
          <w:rFonts w:ascii="FrankRuehl" w:hAnsi="FrankRuehl" w:cs="FrankRuehl" w:hint="cs"/>
          <w:sz w:val="24"/>
          <w:szCs w:val="24"/>
          <w:rtl/>
        </w:rPr>
        <w:t>ה שאין כן</w:t>
      </w:r>
      <w:r w:rsidRPr="00BC77EB">
        <w:rPr>
          <w:rFonts w:ascii="FrankRuehl" w:hAnsi="FrankRuehl" w:cs="FrankRuehl"/>
          <w:sz w:val="24"/>
          <w:szCs w:val="24"/>
          <w:rtl/>
        </w:rPr>
        <w:t xml:space="preserve"> אכילה ושתי</w:t>
      </w:r>
      <w:r w:rsidRPr="00BC77EB">
        <w:rPr>
          <w:rFonts w:ascii="FrankRuehl" w:hAnsi="FrankRuehl" w:cs="FrankRuehl" w:hint="cs"/>
          <w:sz w:val="24"/>
          <w:szCs w:val="24"/>
          <w:rtl/>
        </w:rPr>
        <w:t>ה</w:t>
      </w:r>
      <w:r w:rsidRPr="00BC77EB">
        <w:rPr>
          <w:rFonts w:ascii="FrankRuehl" w:hAnsi="FrankRuehl" w:cs="FrankRuehl"/>
          <w:sz w:val="24"/>
          <w:szCs w:val="24"/>
          <w:rtl/>
        </w:rPr>
        <w:t xml:space="preserve"> אסור בכל ענין שמשבר הרעבון בדרך אכילה, משום דנ</w:t>
      </w:r>
      <w:r w:rsidRPr="00BC77EB">
        <w:rPr>
          <w:rFonts w:ascii="FrankRuehl" w:hAnsi="FrankRuehl" w:cs="FrankRuehl" w:hint="cs"/>
          <w:sz w:val="24"/>
          <w:szCs w:val="24"/>
          <w:rtl/>
        </w:rPr>
        <w:t>פקא לן</w:t>
      </w:r>
      <w:r w:rsidRPr="00BC77EB">
        <w:rPr>
          <w:rFonts w:ascii="FrankRuehl" w:hAnsi="FrankRuehl" w:cs="FrankRuehl"/>
          <w:sz w:val="24"/>
          <w:szCs w:val="24"/>
          <w:rtl/>
        </w:rPr>
        <w:t xml:space="preserve"> מ</w:t>
      </w:r>
      <w:r w:rsidRPr="00BC77EB">
        <w:rPr>
          <w:rFonts w:ascii="FrankRuehl" w:hAnsi="FrankRuehl" w:cs="FrankRuehl" w:hint="cs"/>
          <w:sz w:val="24"/>
          <w:szCs w:val="24"/>
          <w:rtl/>
        </w:rPr>
        <w:t>'</w:t>
      </w:r>
      <w:r w:rsidRPr="00BC77EB">
        <w:rPr>
          <w:rFonts w:ascii="FrankRuehl" w:hAnsi="FrankRuehl" w:cs="FrankRuehl"/>
          <w:sz w:val="24"/>
          <w:szCs w:val="24"/>
          <w:rtl/>
        </w:rPr>
        <w:t>והאבדתי את הנפש</w:t>
      </w:r>
      <w:r w:rsidRPr="00BC77EB">
        <w:rPr>
          <w:rFonts w:ascii="FrankRuehl" w:hAnsi="FrankRuehl" w:cs="FrankRuehl" w:hint="cs"/>
          <w:sz w:val="24"/>
          <w:szCs w:val="24"/>
          <w:rtl/>
        </w:rPr>
        <w:t>' -</w:t>
      </w:r>
      <w:r w:rsidRPr="00BC77EB">
        <w:rPr>
          <w:rFonts w:ascii="FrankRuehl" w:hAnsi="FrankRuehl" w:cs="FrankRuehl"/>
          <w:sz w:val="24"/>
          <w:szCs w:val="24"/>
          <w:rtl/>
        </w:rPr>
        <w:t xml:space="preserve"> שיש בו אבידת הנפש, או בג</w:t>
      </w:r>
      <w:r w:rsidRPr="00BC77EB">
        <w:rPr>
          <w:rFonts w:ascii="FrankRuehl" w:hAnsi="FrankRuehl" w:cs="FrankRuehl" w:hint="cs"/>
          <w:sz w:val="24"/>
          <w:szCs w:val="24"/>
          <w:rtl/>
        </w:rPr>
        <w:t>זירה שווה</w:t>
      </w:r>
      <w:r w:rsidRPr="00BC77EB">
        <w:rPr>
          <w:rFonts w:ascii="FrankRuehl" w:hAnsi="FrankRuehl" w:cs="FrankRuehl"/>
          <w:sz w:val="24"/>
          <w:szCs w:val="24"/>
          <w:rtl/>
        </w:rPr>
        <w:t xml:space="preserve"> דענוי ענוי מ</w:t>
      </w:r>
      <w:r w:rsidRPr="00BC77EB">
        <w:rPr>
          <w:rFonts w:ascii="FrankRuehl" w:hAnsi="FrankRuehl" w:cs="FrankRuehl" w:hint="cs"/>
          <w:sz w:val="24"/>
          <w:szCs w:val="24"/>
          <w:rtl/>
        </w:rPr>
        <w:t>'</w:t>
      </w:r>
      <w:r w:rsidRPr="00BC77EB">
        <w:rPr>
          <w:rFonts w:ascii="FrankRuehl" w:hAnsi="FrankRuehl" w:cs="FrankRuehl"/>
          <w:sz w:val="24"/>
          <w:szCs w:val="24"/>
          <w:rtl/>
        </w:rPr>
        <w:t>ויענך וירעבך</w:t>
      </w:r>
      <w:r w:rsidRPr="00BC77EB">
        <w:rPr>
          <w:rFonts w:ascii="FrankRuehl" w:hAnsi="FrankRuehl" w:cs="FrankRuehl" w:hint="cs"/>
          <w:sz w:val="24"/>
          <w:szCs w:val="24"/>
          <w:rtl/>
        </w:rPr>
        <w:t>'</w:t>
      </w:r>
      <w:r w:rsidRPr="00BC77EB">
        <w:rPr>
          <w:rFonts w:ascii="FrankRuehl" w:hAnsi="FrankRuehl" w:cs="FrankRuehl"/>
          <w:sz w:val="24"/>
          <w:szCs w:val="24"/>
          <w:rtl/>
        </w:rPr>
        <w:t>, אלמא דבעינן שיהא באותו יום באבידת הנפש שהוא מיעוט חלב ודם או שיהא ברעבון, וכל האוכל אפי</w:t>
      </w:r>
      <w:r w:rsidRPr="00BC77EB">
        <w:rPr>
          <w:rFonts w:ascii="FrankRuehl" w:hAnsi="FrankRuehl" w:cs="FrankRuehl" w:hint="cs"/>
          <w:sz w:val="24"/>
          <w:szCs w:val="24"/>
          <w:rtl/>
        </w:rPr>
        <w:t>לו</w:t>
      </w:r>
      <w:r w:rsidRPr="00BC77EB">
        <w:rPr>
          <w:rFonts w:ascii="FrankRuehl" w:hAnsi="FrankRuehl" w:cs="FrankRuehl"/>
          <w:sz w:val="24"/>
          <w:szCs w:val="24"/>
          <w:rtl/>
        </w:rPr>
        <w:t xml:space="preserve"> שלא לתענוג הרי אינו רעב ואין נפשו אובדת</w:t>
      </w:r>
      <w:r w:rsidRPr="00BC77EB">
        <w:rPr>
          <w:rFonts w:ascii="FrankRuehl" w:hAnsi="FrankRuehl" w:cs="FrankRuehl" w:hint="cs"/>
          <w:sz w:val="24"/>
          <w:szCs w:val="24"/>
          <w:rtl/>
        </w:rPr>
        <w:t>.</w:t>
      </w:r>
      <w:r w:rsidRPr="00BC77EB">
        <w:rPr>
          <w:rFonts w:ascii="FrankRuehl" w:hAnsi="FrankRuehl" w:cs="FrankRuehl"/>
          <w:sz w:val="24"/>
          <w:szCs w:val="24"/>
          <w:rtl/>
        </w:rPr>
        <w:t xml:space="preserve"> אבל לשון </w:t>
      </w:r>
      <w:r w:rsidRPr="00BC77EB">
        <w:rPr>
          <w:rFonts w:ascii="FrankRuehl" w:hAnsi="FrankRuehl" w:cs="FrankRuehl" w:hint="cs"/>
          <w:sz w:val="24"/>
          <w:szCs w:val="24"/>
          <w:rtl/>
        </w:rPr>
        <w:t>'</w:t>
      </w:r>
      <w:r w:rsidRPr="00BC77EB">
        <w:rPr>
          <w:rFonts w:ascii="FrankRuehl" w:hAnsi="FrankRuehl" w:cs="FrankRuehl"/>
          <w:sz w:val="24"/>
          <w:szCs w:val="24"/>
          <w:rtl/>
        </w:rPr>
        <w:t>ועיניתם</w:t>
      </w:r>
      <w:r w:rsidRPr="00BC77EB">
        <w:rPr>
          <w:rFonts w:ascii="FrankRuehl" w:hAnsi="FrankRuehl" w:cs="FrankRuehl" w:hint="cs"/>
          <w:sz w:val="24"/>
          <w:szCs w:val="24"/>
          <w:rtl/>
        </w:rPr>
        <w:t>'</w:t>
      </w:r>
      <w:r w:rsidRPr="00BC77EB">
        <w:rPr>
          <w:rFonts w:ascii="FrankRuehl" w:hAnsi="FrankRuehl" w:cs="FrankRuehl"/>
          <w:sz w:val="24"/>
          <w:szCs w:val="24"/>
          <w:rtl/>
        </w:rPr>
        <w:t xml:space="preserve"> דכתיב בחמש עינוים לא אסרה תורה אלא התענוג שבהעדרם מיקרי ענוי</w:t>
      </w:r>
      <w:r w:rsidRPr="00BC77EB">
        <w:rPr>
          <w:rFonts w:ascii="FrankRuehl" w:hAnsi="FrankRuehl" w:cs="FrankRuehl" w:hint="cs"/>
          <w:sz w:val="24"/>
          <w:szCs w:val="24"/>
          <w:rtl/>
        </w:rPr>
        <w:t>,</w:t>
      </w:r>
      <w:r w:rsidRPr="00BC77EB">
        <w:rPr>
          <w:rFonts w:ascii="FrankRuehl" w:hAnsi="FrankRuehl" w:cs="FrankRuehl"/>
          <w:sz w:val="24"/>
          <w:szCs w:val="24"/>
          <w:rtl/>
        </w:rPr>
        <w:t xml:space="preserve"> וכל שאינו עוסק בתענוג ה</w:t>
      </w:r>
      <w:r w:rsidRPr="00BC77EB">
        <w:rPr>
          <w:rFonts w:ascii="FrankRuehl" w:hAnsi="FrankRuehl" w:cs="FrankRuehl" w:hint="cs"/>
          <w:sz w:val="24"/>
          <w:szCs w:val="24"/>
          <w:rtl/>
        </w:rPr>
        <w:t>רי זה</w:t>
      </w:r>
      <w:r w:rsidRPr="00BC77EB">
        <w:rPr>
          <w:rFonts w:ascii="FrankRuehl" w:hAnsi="FrankRuehl" w:cs="FrankRuehl"/>
          <w:sz w:val="24"/>
          <w:szCs w:val="24"/>
          <w:rtl/>
        </w:rPr>
        <w:t xml:space="preserve"> בכלל מענה נפשו, שהרי אינו מתענג, מיהו מדרבנן החמירו אפי</w:t>
      </w:r>
      <w:r w:rsidRPr="00BC77EB">
        <w:rPr>
          <w:rFonts w:ascii="FrankRuehl" w:hAnsi="FrankRuehl" w:cs="FrankRuehl" w:hint="cs"/>
          <w:sz w:val="24"/>
          <w:szCs w:val="24"/>
          <w:rtl/>
        </w:rPr>
        <w:t>לו</w:t>
      </w:r>
      <w:r w:rsidRPr="00BC77EB">
        <w:rPr>
          <w:rFonts w:ascii="FrankRuehl" w:hAnsi="FrankRuehl" w:cs="FrankRuehl"/>
          <w:sz w:val="24"/>
          <w:szCs w:val="24"/>
          <w:rtl/>
        </w:rPr>
        <w:t xml:space="preserve"> שלא לשום תענוג והקילו במקום הצורך.</w:t>
      </w:r>
    </w:p>
    <w:p w:rsidR="0010620B" w:rsidRDefault="0010620B" w:rsidP="0010620B">
      <w:pPr>
        <w:spacing w:line="276" w:lineRule="exact"/>
        <w:rPr>
          <w:rFonts w:ascii="FrankRuehl" w:hAnsi="FrankRuehl" w:cs="FrankRuehl"/>
          <w:sz w:val="24"/>
          <w:szCs w:val="24"/>
          <w:rtl/>
        </w:rPr>
      </w:pPr>
    </w:p>
    <w:p w:rsidR="0010620B" w:rsidRDefault="0010620B" w:rsidP="0010620B">
      <w:pPr>
        <w:spacing w:line="276" w:lineRule="exact"/>
        <w:rPr>
          <w:sz w:val="24"/>
          <w:szCs w:val="24"/>
          <w:highlight w:val="green"/>
          <w:rtl/>
        </w:rPr>
      </w:pPr>
    </w:p>
    <w:p w:rsidR="0010620B" w:rsidRDefault="0010620B" w:rsidP="0010620B">
      <w:pPr>
        <w:spacing w:before="200" w:line="276" w:lineRule="exact"/>
        <w:ind w:firstLine="227"/>
        <w:rPr>
          <w:sz w:val="24"/>
          <w:szCs w:val="24"/>
          <w:rtl/>
        </w:rPr>
      </w:pPr>
      <w:r>
        <w:rPr>
          <w:rFonts w:hint="cs"/>
          <w:sz w:val="24"/>
          <w:szCs w:val="24"/>
          <w:rtl/>
        </w:rPr>
        <w:t>בשיעור הקודם עסקנו במצות העינוי ביום הכיפורים. הצגנו את הכתובים המלמדים על חובת העינוי ועל עונש הכרת למי שאינו מתענה, וראינו כי חז"ל פירשו שהעינוי האמור בתורה הוא הימנעות מאכילה ומשתייה. עם זאת, במשנה בתחילת הפרק השמיני מבואר כי ביום הכיפורים ישנם איסורים נוספים:</w:t>
      </w:r>
    </w:p>
    <w:p w:rsidR="0010620B" w:rsidRDefault="0010620B" w:rsidP="0010620B">
      <w:pPr>
        <w:spacing w:before="200" w:line="276" w:lineRule="exact"/>
        <w:ind w:firstLine="720"/>
        <w:rPr>
          <w:sz w:val="24"/>
          <w:szCs w:val="24"/>
          <w:rtl/>
        </w:rPr>
      </w:pPr>
      <w:r w:rsidRPr="00545733">
        <w:rPr>
          <w:sz w:val="24"/>
          <w:szCs w:val="24"/>
          <w:rtl/>
        </w:rPr>
        <w:t>יום הכפורים אסור באכילה ובשתיה וברחיצה ובסיכה ובנעילת הסנדל ובתשמיש המטה</w:t>
      </w:r>
      <w:r>
        <w:rPr>
          <w:rFonts w:hint="cs"/>
          <w:sz w:val="24"/>
          <w:szCs w:val="24"/>
          <w:rtl/>
        </w:rPr>
        <w:t>.</w:t>
      </w:r>
    </w:p>
    <w:p w:rsidR="0010620B" w:rsidRDefault="0010620B" w:rsidP="0010620B">
      <w:pPr>
        <w:spacing w:before="200" w:line="276" w:lineRule="exact"/>
        <w:ind w:firstLine="720"/>
        <w:jc w:val="right"/>
        <w:rPr>
          <w:sz w:val="24"/>
          <w:szCs w:val="24"/>
          <w:rtl/>
        </w:rPr>
      </w:pPr>
      <w:r>
        <w:rPr>
          <w:rFonts w:hint="cs"/>
          <w:sz w:val="20"/>
          <w:szCs w:val="20"/>
          <w:rtl/>
        </w:rPr>
        <w:t>[משנה עג:]</w:t>
      </w:r>
    </w:p>
    <w:p w:rsidR="0010620B" w:rsidRDefault="0010620B" w:rsidP="0010620B">
      <w:pPr>
        <w:spacing w:before="200" w:line="276" w:lineRule="exact"/>
        <w:ind w:firstLine="227"/>
        <w:rPr>
          <w:sz w:val="24"/>
          <w:szCs w:val="24"/>
          <w:rtl/>
        </w:rPr>
      </w:pPr>
      <w:r>
        <w:rPr>
          <w:rFonts w:hint="cs"/>
          <w:sz w:val="24"/>
          <w:szCs w:val="24"/>
          <w:rtl/>
        </w:rPr>
        <w:t>דברי המשנה מעלים תמיהה: אם העינוי הכתוב בתורה הוא הימנעות מאכילה ומשתייה, מפני מה אסורים ביום הכיפורים דברים נוספים? ואם העינוי הכתוב בתורה כולל את כל חמשת העינויים, מדוע חיוב כרת אמור רק על אכילה ושתייה? כדי ליישב תמיהות אלו, יש לעמוד על שיטות הראשונים בגדר איסורים אלו.</w:t>
      </w:r>
    </w:p>
    <w:p w:rsidR="0010620B" w:rsidRDefault="0010620B" w:rsidP="0010620B">
      <w:pPr>
        <w:spacing w:before="200" w:line="276" w:lineRule="exact"/>
        <w:ind w:firstLine="227"/>
        <w:rPr>
          <w:sz w:val="24"/>
          <w:szCs w:val="24"/>
          <w:rtl/>
        </w:rPr>
      </w:pPr>
    </w:p>
    <w:p w:rsidR="0010620B" w:rsidRDefault="0010620B" w:rsidP="0010620B">
      <w:pPr>
        <w:spacing w:before="200" w:line="276" w:lineRule="exact"/>
        <w:ind w:firstLine="227"/>
        <w:rPr>
          <w:sz w:val="24"/>
          <w:szCs w:val="24"/>
          <w:rtl/>
        </w:rPr>
      </w:pPr>
      <w:r>
        <w:rPr>
          <w:rFonts w:hint="cs"/>
          <w:sz w:val="24"/>
          <w:szCs w:val="24"/>
          <w:rtl/>
        </w:rPr>
        <w:t>תוספות כותבים:</w:t>
      </w:r>
    </w:p>
    <w:p w:rsidR="0010620B" w:rsidRDefault="0010620B" w:rsidP="0010620B">
      <w:pPr>
        <w:spacing w:before="200" w:line="276" w:lineRule="exact"/>
        <w:ind w:left="720"/>
        <w:rPr>
          <w:sz w:val="20"/>
          <w:szCs w:val="20"/>
          <w:rtl/>
        </w:rPr>
      </w:pPr>
      <w:r>
        <w:rPr>
          <w:sz w:val="24"/>
          <w:szCs w:val="24"/>
          <w:rtl/>
        </w:rPr>
        <w:t>ופ</w:t>
      </w:r>
      <w:r>
        <w:rPr>
          <w:rFonts w:hint="cs"/>
          <w:sz w:val="24"/>
          <w:szCs w:val="24"/>
          <w:rtl/>
        </w:rPr>
        <w:t>ירש רבנו תם,</w:t>
      </w:r>
      <w:r>
        <w:rPr>
          <w:sz w:val="24"/>
          <w:szCs w:val="24"/>
          <w:rtl/>
        </w:rPr>
        <w:t xml:space="preserve"> דכל עינויים דיו</w:t>
      </w:r>
      <w:r>
        <w:rPr>
          <w:rFonts w:hint="cs"/>
          <w:sz w:val="24"/>
          <w:szCs w:val="24"/>
          <w:rtl/>
        </w:rPr>
        <w:t>ם הכיפורים</w:t>
      </w:r>
      <w:r w:rsidRPr="00FD639F">
        <w:rPr>
          <w:sz w:val="24"/>
          <w:szCs w:val="24"/>
          <w:rtl/>
        </w:rPr>
        <w:t xml:space="preserve"> ליתנהו אלא מדרבנן וקראי אסמכתא בעלמא לבר מאכילה ושתיה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[תוס' עז. ד"ה דתנן]</w:t>
      </w:r>
    </w:p>
    <w:p w:rsidR="0010620B" w:rsidRDefault="0010620B" w:rsidP="0010620B">
      <w:pPr>
        <w:spacing w:before="200" w:line="276" w:lineRule="exact"/>
        <w:ind w:firstLine="227"/>
        <w:rPr>
          <w:sz w:val="24"/>
          <w:szCs w:val="24"/>
          <w:rtl/>
        </w:rPr>
      </w:pPr>
      <w:r>
        <w:rPr>
          <w:rFonts w:hint="cs"/>
          <w:sz w:val="24"/>
          <w:szCs w:val="24"/>
          <w:rtl/>
        </w:rPr>
        <w:t>לשיטת רבנו תם, מדין תורה יום הכיפורים אסור באכילה ושתייה בלבד, ושאר העינויים אסורים מדרבנן בלבד</w:t>
      </w:r>
      <w:r>
        <w:rPr>
          <w:rStyle w:val="a7"/>
          <w:sz w:val="24"/>
          <w:szCs w:val="24"/>
          <w:rtl/>
        </w:rPr>
        <w:footnoteReference w:id="199"/>
      </w:r>
      <w:r>
        <w:rPr>
          <w:rFonts w:hint="cs"/>
          <w:sz w:val="24"/>
          <w:szCs w:val="24"/>
          <w:rtl/>
        </w:rPr>
        <w:t>. לפי זה, תמיהתנו דלעיל מיושבת מאליה: העינוי הכתוב בתורה מתייחס רק לאכילה ולשתייה, ולכן רק עליהם יש כרת; שאר העינויים הם מדרבנן בלבד.</w:t>
      </w:r>
    </w:p>
    <w:p w:rsidR="0010620B" w:rsidRDefault="0010620B" w:rsidP="0010620B">
      <w:pPr>
        <w:spacing w:before="200" w:line="276" w:lineRule="exact"/>
        <w:ind w:firstLine="227"/>
        <w:rPr>
          <w:sz w:val="24"/>
          <w:szCs w:val="24"/>
          <w:rtl/>
        </w:rPr>
      </w:pPr>
      <w:r>
        <w:rPr>
          <w:rFonts w:hint="cs"/>
          <w:sz w:val="24"/>
          <w:szCs w:val="24"/>
          <w:rtl/>
        </w:rPr>
        <w:t>לעומתו, השאילתות כותב:</w:t>
      </w:r>
    </w:p>
    <w:p w:rsidR="0010620B" w:rsidRDefault="0010620B" w:rsidP="0010620B">
      <w:pPr>
        <w:spacing w:before="200" w:line="276" w:lineRule="exact"/>
        <w:ind w:left="720"/>
        <w:rPr>
          <w:sz w:val="24"/>
          <w:szCs w:val="24"/>
          <w:rtl/>
        </w:rPr>
      </w:pPr>
      <w:r w:rsidRPr="00FD639F">
        <w:rPr>
          <w:sz w:val="24"/>
          <w:szCs w:val="24"/>
          <w:rtl/>
        </w:rPr>
        <w:t>שאילתא</w:t>
      </w:r>
      <w:r>
        <w:rPr>
          <w:rFonts w:hint="cs"/>
          <w:sz w:val="24"/>
          <w:szCs w:val="24"/>
          <w:rtl/>
        </w:rPr>
        <w:t>,</w:t>
      </w:r>
      <w:r>
        <w:rPr>
          <w:sz w:val="24"/>
          <w:szCs w:val="24"/>
          <w:rtl/>
        </w:rPr>
        <w:t xml:space="preserve"> דאזהרינהו </w:t>
      </w:r>
      <w:r>
        <w:rPr>
          <w:rFonts w:hint="cs"/>
          <w:sz w:val="24"/>
          <w:szCs w:val="24"/>
          <w:rtl/>
        </w:rPr>
        <w:t>קודשא בריך הוא</w:t>
      </w:r>
      <w:r w:rsidRPr="00FD639F">
        <w:rPr>
          <w:sz w:val="24"/>
          <w:szCs w:val="24"/>
          <w:rtl/>
        </w:rPr>
        <w:t xml:space="preserve"> לישראל למיתב בתעניתא בעשרה בתשרי ואפילו בשבת, ואסור באכילה ובשתיה ובנעילת הסנדל וברחיצה ובסיכה ובתשמיש המטה </w:t>
      </w:r>
      <w:r w:rsidRPr="00FD639F">
        <w:rPr>
          <w:b/>
          <w:bCs/>
          <w:sz w:val="24"/>
          <w:szCs w:val="24"/>
          <w:rtl/>
        </w:rPr>
        <w:t>מדאורייתא</w:t>
      </w:r>
      <w:r w:rsidRPr="00FD639F">
        <w:rPr>
          <w:sz w:val="24"/>
          <w:szCs w:val="24"/>
          <w:rtl/>
        </w:rPr>
        <w:t xml:space="preserve">. מנלן? חמש ענויין כתיבי, </w:t>
      </w:r>
      <w:r>
        <w:rPr>
          <w:rFonts w:hint="cs"/>
          <w:sz w:val="24"/>
          <w:szCs w:val="24"/>
          <w:rtl/>
        </w:rPr>
        <w:t>'</w:t>
      </w:r>
      <w:r w:rsidRPr="00FD639F">
        <w:rPr>
          <w:sz w:val="24"/>
          <w:szCs w:val="24"/>
          <w:rtl/>
        </w:rPr>
        <w:t>ועניתם</w:t>
      </w:r>
      <w:r>
        <w:rPr>
          <w:rFonts w:hint="cs"/>
          <w:sz w:val="24"/>
          <w:szCs w:val="24"/>
          <w:rtl/>
        </w:rPr>
        <w:t>' '</w:t>
      </w:r>
      <w:r w:rsidRPr="00FD639F">
        <w:rPr>
          <w:sz w:val="24"/>
          <w:szCs w:val="24"/>
          <w:rtl/>
        </w:rPr>
        <w:t>תענו</w:t>
      </w:r>
      <w:r>
        <w:rPr>
          <w:rFonts w:hint="cs"/>
          <w:sz w:val="24"/>
          <w:szCs w:val="24"/>
          <w:rtl/>
        </w:rPr>
        <w:t>'</w:t>
      </w:r>
      <w:r w:rsidRPr="00FD639F">
        <w:rPr>
          <w:sz w:val="24"/>
          <w:szCs w:val="24"/>
          <w:rtl/>
        </w:rPr>
        <w:t>, חד לאכילה ולשתיה ואחד לרחיצה ואחד לסיכה ואחד לנעילת הסנדל ואחד לתשמיש המטה.</w:t>
      </w:r>
      <w:r>
        <w:rPr>
          <w:rFonts w:hint="cs"/>
          <w:sz w:val="24"/>
          <w:szCs w:val="24"/>
          <w:rtl/>
        </w:rPr>
        <w:t xml:space="preserve"> </w:t>
      </w:r>
    </w:p>
    <w:p w:rsidR="0010620B" w:rsidRPr="00FD639F" w:rsidRDefault="0010620B" w:rsidP="0010620B">
      <w:pPr>
        <w:spacing w:before="200" w:line="276" w:lineRule="exact"/>
        <w:ind w:left="720"/>
        <w:jc w:val="right"/>
        <w:rPr>
          <w:sz w:val="20"/>
          <w:szCs w:val="20"/>
          <w:rtl/>
        </w:rPr>
      </w:pPr>
      <w:r>
        <w:rPr>
          <w:rFonts w:hint="cs"/>
          <w:sz w:val="20"/>
          <w:szCs w:val="20"/>
          <w:rtl/>
        </w:rPr>
        <w:t>[שאילתות דרב אחאי גאון שאילתא קסז]</w:t>
      </w:r>
    </w:p>
    <w:p w:rsidR="0010620B" w:rsidRDefault="0010620B" w:rsidP="0010620B">
      <w:pPr>
        <w:spacing w:before="200" w:line="276" w:lineRule="exact"/>
        <w:ind w:firstLine="227"/>
        <w:rPr>
          <w:sz w:val="24"/>
          <w:szCs w:val="24"/>
          <w:rtl/>
        </w:rPr>
      </w:pPr>
      <w:r>
        <w:rPr>
          <w:rFonts w:hint="cs"/>
          <w:sz w:val="24"/>
          <w:szCs w:val="24"/>
          <w:rtl/>
        </w:rPr>
        <w:lastRenderedPageBreak/>
        <w:t>לשיטת השאילתות, כל חמשת העינויים אסורים מן התורה. מדבריו נראה כי כל העינויים כלולים במצות העינוי האמורה בתורה.</w:t>
      </w:r>
    </w:p>
    <w:p w:rsidR="0010620B" w:rsidRDefault="0010620B" w:rsidP="0010620B">
      <w:pPr>
        <w:spacing w:before="200" w:line="276" w:lineRule="exact"/>
        <w:ind w:firstLine="227"/>
        <w:rPr>
          <w:sz w:val="24"/>
          <w:szCs w:val="24"/>
          <w:rtl/>
        </w:rPr>
      </w:pPr>
      <w:r>
        <w:rPr>
          <w:rFonts w:hint="cs"/>
          <w:sz w:val="24"/>
          <w:szCs w:val="24"/>
          <w:rtl/>
        </w:rPr>
        <w:t>שיטה זו מפורשת בדברי היראים:</w:t>
      </w:r>
    </w:p>
    <w:p w:rsidR="0010620B" w:rsidRDefault="0010620B" w:rsidP="0010620B">
      <w:pPr>
        <w:spacing w:before="200" w:line="276" w:lineRule="exact"/>
        <w:ind w:left="720"/>
        <w:rPr>
          <w:sz w:val="20"/>
          <w:szCs w:val="20"/>
          <w:rtl/>
        </w:rPr>
      </w:pPr>
      <w:r w:rsidRPr="00FD639F">
        <w:rPr>
          <w:sz w:val="24"/>
          <w:szCs w:val="24"/>
          <w:rtl/>
        </w:rPr>
        <w:t>ע</w:t>
      </w:r>
      <w:r>
        <w:rPr>
          <w:rFonts w:hint="cs"/>
          <w:sz w:val="24"/>
          <w:szCs w:val="24"/>
          <w:rtl/>
        </w:rPr>
        <w:t>י</w:t>
      </w:r>
      <w:r w:rsidRPr="00FD639F">
        <w:rPr>
          <w:sz w:val="24"/>
          <w:szCs w:val="24"/>
          <w:rtl/>
        </w:rPr>
        <w:t xml:space="preserve">נוי יום הכפורים. ויראת מאלהיך </w:t>
      </w:r>
      <w:r>
        <w:rPr>
          <w:sz w:val="24"/>
          <w:szCs w:val="24"/>
          <w:rtl/>
        </w:rPr>
        <w:t>ותענה נפשך למצא כופר, דכתיב בפ</w:t>
      </w:r>
      <w:r>
        <w:rPr>
          <w:rFonts w:hint="cs"/>
          <w:sz w:val="24"/>
          <w:szCs w:val="24"/>
          <w:rtl/>
        </w:rPr>
        <w:t xml:space="preserve">רשת </w:t>
      </w:r>
      <w:r w:rsidRPr="00FD639F">
        <w:rPr>
          <w:sz w:val="24"/>
          <w:szCs w:val="24"/>
          <w:rtl/>
        </w:rPr>
        <w:t xml:space="preserve">אמור אל הכהנים, </w:t>
      </w:r>
      <w:r>
        <w:rPr>
          <w:rFonts w:hint="cs"/>
          <w:sz w:val="24"/>
          <w:szCs w:val="24"/>
          <w:rtl/>
        </w:rPr>
        <w:t>'</w:t>
      </w:r>
      <w:r w:rsidRPr="00FD639F">
        <w:rPr>
          <w:sz w:val="24"/>
          <w:szCs w:val="24"/>
          <w:rtl/>
        </w:rPr>
        <w:t>בעשור לחדש הזה יום כפורים הוא ועניתם את נפשותיכם</w:t>
      </w:r>
      <w:r>
        <w:rPr>
          <w:rFonts w:hint="cs"/>
          <w:sz w:val="24"/>
          <w:szCs w:val="24"/>
          <w:rtl/>
        </w:rPr>
        <w:t>'</w:t>
      </w:r>
      <w:r w:rsidRPr="00FD639F">
        <w:rPr>
          <w:sz w:val="24"/>
          <w:szCs w:val="24"/>
          <w:rtl/>
        </w:rPr>
        <w:t>. ואלו דברים נקראים ענוי: חסרון אכילה ושתיה רחיצה וסיכה נעילת הסנדל ותשמיש המטה, וכולהו מפרשי ביומא פרק אחרון.</w:t>
      </w:r>
      <w:r>
        <w:rPr>
          <w:rFonts w:hint="cs"/>
          <w:sz w:val="20"/>
          <w:szCs w:val="20"/>
          <w:rtl/>
        </w:rPr>
        <w:t xml:space="preserve">.. </w:t>
      </w:r>
      <w:r>
        <w:rPr>
          <w:sz w:val="24"/>
          <w:szCs w:val="24"/>
          <w:rtl/>
        </w:rPr>
        <w:t>ותניא</w:t>
      </w:r>
      <w:r>
        <w:rPr>
          <w:rFonts w:hint="cs"/>
          <w:sz w:val="24"/>
          <w:szCs w:val="24"/>
          <w:rtl/>
        </w:rPr>
        <w:t>, '</w:t>
      </w:r>
      <w:r w:rsidRPr="00BA68A5">
        <w:rPr>
          <w:sz w:val="24"/>
          <w:szCs w:val="24"/>
          <w:rtl/>
        </w:rPr>
        <w:t>אף על פי שאסור בכולן אינו חייב כרת אלא על עינוי דאכילה ושתיה בלבד</w:t>
      </w:r>
      <w:r>
        <w:rPr>
          <w:rFonts w:hint="cs"/>
          <w:sz w:val="24"/>
          <w:szCs w:val="24"/>
          <w:rtl/>
        </w:rPr>
        <w:t>'</w:t>
      </w:r>
      <w:r w:rsidRPr="00BA68A5">
        <w:rPr>
          <w:sz w:val="24"/>
          <w:szCs w:val="24"/>
          <w:rtl/>
        </w:rPr>
        <w:t xml:space="preserve"> וטעמא דכתיב </w:t>
      </w:r>
      <w:r>
        <w:rPr>
          <w:rFonts w:hint="cs"/>
          <w:sz w:val="24"/>
          <w:szCs w:val="24"/>
          <w:rtl/>
        </w:rPr>
        <w:t>'</w:t>
      </w:r>
      <w:r w:rsidRPr="00BA68A5">
        <w:rPr>
          <w:sz w:val="24"/>
          <w:szCs w:val="24"/>
          <w:rtl/>
        </w:rPr>
        <w:t>כל הנפש אשר לא תעונה בעצם היום הזה והאבדתי את הנפש ההיא מקרב עמה</w:t>
      </w:r>
      <w:r>
        <w:rPr>
          <w:rFonts w:hint="cs"/>
          <w:sz w:val="24"/>
          <w:szCs w:val="24"/>
          <w:rtl/>
        </w:rPr>
        <w:t xml:space="preserve">' </w:t>
      </w:r>
      <w:r>
        <w:rPr>
          <w:sz w:val="24"/>
          <w:szCs w:val="24"/>
          <w:rtl/>
        </w:rPr>
        <w:t>– איזו עינוי שיש בו איבוד נפש</w:t>
      </w:r>
      <w:r>
        <w:rPr>
          <w:rFonts w:hint="cs"/>
          <w:sz w:val="24"/>
          <w:szCs w:val="24"/>
          <w:rtl/>
        </w:rPr>
        <w:t xml:space="preserve">? </w:t>
      </w:r>
      <w:r w:rsidRPr="00BA68A5">
        <w:rPr>
          <w:sz w:val="24"/>
          <w:szCs w:val="24"/>
          <w:rtl/>
        </w:rPr>
        <w:t>הוי אומר זו אכילה ושתיה</w:t>
      </w:r>
      <w:r>
        <w:rPr>
          <w:rFonts w:hint="cs"/>
          <w:sz w:val="24"/>
          <w:szCs w:val="24"/>
          <w:rtl/>
        </w:rPr>
        <w:t>.</w:t>
      </w:r>
    </w:p>
    <w:p w:rsidR="0010620B" w:rsidRPr="00FD639F" w:rsidRDefault="0010620B" w:rsidP="0010620B">
      <w:pPr>
        <w:spacing w:before="200" w:line="276" w:lineRule="exact"/>
        <w:ind w:left="720"/>
        <w:jc w:val="right"/>
        <w:rPr>
          <w:sz w:val="20"/>
          <w:szCs w:val="20"/>
          <w:rtl/>
        </w:rPr>
      </w:pPr>
      <w:r>
        <w:rPr>
          <w:rFonts w:hint="cs"/>
          <w:sz w:val="20"/>
          <w:szCs w:val="20"/>
          <w:rtl/>
        </w:rPr>
        <w:t>[יראים סי' תכ]</w:t>
      </w:r>
    </w:p>
    <w:p w:rsidR="0010620B" w:rsidRDefault="0010620B" w:rsidP="0010620B">
      <w:pPr>
        <w:spacing w:before="200" w:line="276" w:lineRule="exact"/>
        <w:ind w:firstLine="227"/>
        <w:rPr>
          <w:sz w:val="24"/>
          <w:szCs w:val="24"/>
          <w:rtl/>
        </w:rPr>
      </w:pPr>
      <w:r>
        <w:rPr>
          <w:rFonts w:hint="cs"/>
          <w:sz w:val="24"/>
          <w:szCs w:val="24"/>
          <w:rtl/>
        </w:rPr>
        <w:t>מדברי היראים עולה, כי אמנם כל חמשת העינויים כלולים במצות העינוי האמורה בתורה, אך חז"ל למדו מדרשת הכתובים כי יש חילוק ביניהם: האזהרה נאמרה על כל העינויים, ואילו עונש הכרת נאמר רק על אכילה ושתיה.</w:t>
      </w:r>
    </w:p>
    <w:p w:rsidR="0010620B" w:rsidRPr="00FD639F" w:rsidRDefault="0010620B" w:rsidP="0010620B">
      <w:pPr>
        <w:spacing w:before="200" w:line="276" w:lineRule="exact"/>
        <w:ind w:firstLine="227"/>
        <w:rPr>
          <w:sz w:val="24"/>
          <w:szCs w:val="24"/>
          <w:rtl/>
        </w:rPr>
      </w:pPr>
      <w:r>
        <w:rPr>
          <w:rFonts w:hint="cs"/>
          <w:sz w:val="24"/>
          <w:szCs w:val="24"/>
          <w:rtl/>
        </w:rPr>
        <w:t xml:space="preserve">מדברי הרמב"ם עולה שיטה שלישית. בספר המצוות </w:t>
      </w:r>
      <w:r w:rsidRPr="00FD639F">
        <w:rPr>
          <w:rFonts w:hint="cs"/>
          <w:sz w:val="24"/>
          <w:szCs w:val="24"/>
          <w:rtl/>
        </w:rPr>
        <w:t xml:space="preserve">מזכיר </w:t>
      </w:r>
      <w:r>
        <w:rPr>
          <w:rFonts w:hint="cs"/>
          <w:sz w:val="24"/>
          <w:szCs w:val="24"/>
          <w:rtl/>
        </w:rPr>
        <w:t xml:space="preserve">הרמב"ם ביחס ללאו </w:t>
      </w:r>
      <w:r w:rsidRPr="00FD639F">
        <w:rPr>
          <w:rFonts w:hint="cs"/>
          <w:sz w:val="24"/>
          <w:szCs w:val="24"/>
          <w:rtl/>
        </w:rPr>
        <w:t>את האכילה בלבד:</w:t>
      </w:r>
    </w:p>
    <w:p w:rsidR="0010620B" w:rsidRPr="00493608" w:rsidRDefault="0010620B" w:rsidP="0010620B">
      <w:pPr>
        <w:spacing w:before="200" w:line="276" w:lineRule="exact"/>
        <w:ind w:firstLine="720"/>
        <w:rPr>
          <w:sz w:val="24"/>
          <w:szCs w:val="24"/>
          <w:rtl/>
        </w:rPr>
      </w:pPr>
      <w:r w:rsidRPr="00FD639F">
        <w:rPr>
          <w:rFonts w:hint="cs"/>
          <w:sz w:val="24"/>
          <w:szCs w:val="24"/>
          <w:rtl/>
        </w:rPr>
        <w:t>והמצוה</w:t>
      </w:r>
      <w:r w:rsidRPr="00FD639F">
        <w:rPr>
          <w:sz w:val="24"/>
          <w:szCs w:val="24"/>
          <w:rtl/>
        </w:rPr>
        <w:t xml:space="preserve"> </w:t>
      </w:r>
      <w:r w:rsidRPr="00FD639F">
        <w:rPr>
          <w:rFonts w:hint="cs"/>
          <w:sz w:val="24"/>
          <w:szCs w:val="24"/>
          <w:rtl/>
        </w:rPr>
        <w:t>הקצ</w:t>
      </w:r>
      <w:r w:rsidRPr="00FD639F">
        <w:rPr>
          <w:sz w:val="24"/>
          <w:szCs w:val="24"/>
          <w:rtl/>
        </w:rPr>
        <w:t>"</w:t>
      </w:r>
      <w:r w:rsidRPr="00FD639F">
        <w:rPr>
          <w:rFonts w:hint="cs"/>
          <w:sz w:val="24"/>
          <w:szCs w:val="24"/>
          <w:rtl/>
        </w:rPr>
        <w:t>ו</w:t>
      </w:r>
      <w:r w:rsidRPr="00FD639F">
        <w:rPr>
          <w:sz w:val="24"/>
          <w:szCs w:val="24"/>
          <w:rtl/>
        </w:rPr>
        <w:t xml:space="preserve"> </w:t>
      </w:r>
      <w:r w:rsidRPr="00FD639F">
        <w:rPr>
          <w:rFonts w:hint="cs"/>
          <w:sz w:val="24"/>
          <w:szCs w:val="24"/>
          <w:rtl/>
        </w:rPr>
        <w:t>היא</w:t>
      </w:r>
      <w:r w:rsidRPr="00FD639F">
        <w:rPr>
          <w:sz w:val="24"/>
          <w:szCs w:val="24"/>
          <w:rtl/>
        </w:rPr>
        <w:t xml:space="preserve"> </w:t>
      </w:r>
      <w:r w:rsidRPr="00FD639F">
        <w:rPr>
          <w:rFonts w:hint="cs"/>
          <w:sz w:val="24"/>
          <w:szCs w:val="24"/>
          <w:rtl/>
        </w:rPr>
        <w:t>שהזהירנו</w:t>
      </w:r>
      <w:r w:rsidRPr="00FD639F">
        <w:rPr>
          <w:sz w:val="24"/>
          <w:szCs w:val="24"/>
          <w:rtl/>
        </w:rPr>
        <w:t xml:space="preserve"> </w:t>
      </w:r>
      <w:r w:rsidRPr="00FD639F">
        <w:rPr>
          <w:rFonts w:hint="cs"/>
          <w:sz w:val="24"/>
          <w:szCs w:val="24"/>
          <w:rtl/>
        </w:rPr>
        <w:t>מאכול</w:t>
      </w:r>
      <w:r w:rsidRPr="00FD639F">
        <w:rPr>
          <w:sz w:val="24"/>
          <w:szCs w:val="24"/>
          <w:rtl/>
        </w:rPr>
        <w:t xml:space="preserve"> </w:t>
      </w:r>
      <w:r w:rsidRPr="00FD639F">
        <w:rPr>
          <w:rFonts w:hint="cs"/>
          <w:sz w:val="24"/>
          <w:szCs w:val="24"/>
          <w:rtl/>
        </w:rPr>
        <w:t>בצום</w:t>
      </w:r>
      <w:r w:rsidRPr="00FD639F">
        <w:rPr>
          <w:sz w:val="24"/>
          <w:szCs w:val="24"/>
          <w:rtl/>
        </w:rPr>
        <w:t xml:space="preserve"> </w:t>
      </w:r>
      <w:r w:rsidRPr="00FD639F">
        <w:rPr>
          <w:rFonts w:hint="cs"/>
          <w:sz w:val="24"/>
          <w:szCs w:val="24"/>
          <w:rtl/>
        </w:rPr>
        <w:t>כפור</w:t>
      </w:r>
      <w:r w:rsidRPr="00FD639F">
        <w:rPr>
          <w:sz w:val="24"/>
          <w:szCs w:val="24"/>
          <w:rtl/>
        </w:rPr>
        <w:t>.</w:t>
      </w:r>
      <w:r>
        <w:rPr>
          <w:sz w:val="24"/>
          <w:szCs w:val="24"/>
          <w:rtl/>
        </w:rPr>
        <w:tab/>
      </w:r>
      <w:r>
        <w:rPr>
          <w:sz w:val="24"/>
          <w:szCs w:val="24"/>
          <w:rtl/>
        </w:rPr>
        <w:tab/>
      </w:r>
      <w:r>
        <w:rPr>
          <w:sz w:val="24"/>
          <w:szCs w:val="24"/>
          <w:rtl/>
        </w:rPr>
        <w:tab/>
      </w:r>
      <w:r>
        <w:rPr>
          <w:rFonts w:hint="cs"/>
          <w:sz w:val="20"/>
          <w:szCs w:val="20"/>
          <w:rtl/>
        </w:rPr>
        <w:t>[ספר המצוות ל"ת קצו]</w:t>
      </w:r>
      <w:r>
        <w:rPr>
          <w:rStyle w:val="a7"/>
          <w:sz w:val="24"/>
          <w:szCs w:val="24"/>
          <w:rtl/>
        </w:rPr>
        <w:footnoteReference w:id="200"/>
      </w:r>
    </w:p>
    <w:p w:rsidR="0010620B" w:rsidRDefault="0010620B" w:rsidP="0010620B">
      <w:pPr>
        <w:spacing w:before="200" w:line="276" w:lineRule="exact"/>
        <w:ind w:firstLine="227"/>
        <w:rPr>
          <w:sz w:val="24"/>
          <w:szCs w:val="24"/>
          <w:rtl/>
        </w:rPr>
      </w:pPr>
      <w:r>
        <w:rPr>
          <w:rFonts w:hint="cs"/>
          <w:sz w:val="24"/>
          <w:szCs w:val="24"/>
          <w:rtl/>
        </w:rPr>
        <w:t>לעומת זאת, ביחס לעשה, "ועיניתם את נפשותיכם", מופיעה בדברי הרמב"ם הגדרה מורכבת יותר. בפתיחת דבריו הרמב"ם מזכיר רק את האכילה והשתייה:</w:t>
      </w:r>
    </w:p>
    <w:p w:rsidR="0010620B" w:rsidRPr="00493608" w:rsidRDefault="0010620B" w:rsidP="0010620B">
      <w:pPr>
        <w:spacing w:before="200" w:line="276" w:lineRule="exact"/>
        <w:ind w:left="720"/>
        <w:rPr>
          <w:sz w:val="20"/>
          <w:szCs w:val="20"/>
          <w:rtl/>
        </w:rPr>
      </w:pPr>
      <w:r w:rsidRPr="00493608">
        <w:rPr>
          <w:sz w:val="24"/>
          <w:szCs w:val="24"/>
          <w:rtl/>
        </w:rPr>
        <w:t xml:space="preserve">והמצוה הקס"ד היא שצונו להתענות בעשירי מתשרי, והוא אמרו יתעלה: </w:t>
      </w:r>
      <w:r>
        <w:rPr>
          <w:rFonts w:hint="cs"/>
          <w:sz w:val="24"/>
          <w:szCs w:val="24"/>
          <w:rtl/>
        </w:rPr>
        <w:t>'</w:t>
      </w:r>
      <w:r w:rsidRPr="00493608">
        <w:rPr>
          <w:sz w:val="24"/>
          <w:szCs w:val="24"/>
          <w:rtl/>
        </w:rPr>
        <w:t>תענו את נפשותיכם</w:t>
      </w:r>
      <w:r>
        <w:rPr>
          <w:rFonts w:hint="cs"/>
          <w:sz w:val="24"/>
          <w:szCs w:val="24"/>
          <w:rtl/>
        </w:rPr>
        <w:t>'</w:t>
      </w:r>
      <w:r w:rsidRPr="00493608">
        <w:rPr>
          <w:sz w:val="24"/>
          <w:szCs w:val="24"/>
          <w:rtl/>
        </w:rPr>
        <w:t xml:space="preserve">, ובא הפירוש בספרא, </w:t>
      </w:r>
      <w:r>
        <w:rPr>
          <w:rFonts w:hint="cs"/>
          <w:sz w:val="24"/>
          <w:szCs w:val="24"/>
          <w:rtl/>
        </w:rPr>
        <w:t>'</w:t>
      </w:r>
      <w:r w:rsidRPr="00493608">
        <w:rPr>
          <w:sz w:val="24"/>
          <w:szCs w:val="24"/>
          <w:rtl/>
        </w:rPr>
        <w:t xml:space="preserve">תענו את נפשותיכם </w:t>
      </w:r>
      <w:r>
        <w:rPr>
          <w:sz w:val="24"/>
          <w:szCs w:val="24"/>
          <w:rtl/>
        </w:rPr>
        <w:t>–</w:t>
      </w:r>
      <w:r>
        <w:rPr>
          <w:rFonts w:hint="cs"/>
          <w:sz w:val="24"/>
          <w:szCs w:val="24"/>
          <w:rtl/>
        </w:rPr>
        <w:t xml:space="preserve"> </w:t>
      </w:r>
      <w:r>
        <w:rPr>
          <w:sz w:val="24"/>
          <w:szCs w:val="24"/>
          <w:rtl/>
        </w:rPr>
        <w:t>ענוי שהוא אבוד נפש, ואי זה</w:t>
      </w:r>
      <w:r>
        <w:rPr>
          <w:rFonts w:hint="cs"/>
          <w:sz w:val="24"/>
          <w:szCs w:val="24"/>
          <w:rtl/>
        </w:rPr>
        <w:t>?</w:t>
      </w:r>
      <w:r w:rsidRPr="00493608">
        <w:rPr>
          <w:sz w:val="24"/>
          <w:szCs w:val="24"/>
          <w:rtl/>
        </w:rPr>
        <w:t xml:space="preserve"> זה אכילה ושתיה</w:t>
      </w:r>
      <w:r>
        <w:rPr>
          <w:rFonts w:hint="cs"/>
          <w:sz w:val="24"/>
          <w:szCs w:val="24"/>
          <w:rtl/>
        </w:rPr>
        <w:t>'</w:t>
      </w:r>
      <w:r w:rsidRPr="00493608">
        <w:rPr>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[ספר המצוות לרמב"ם מ"ע קסד]</w:t>
      </w:r>
    </w:p>
    <w:p w:rsidR="0010620B" w:rsidRPr="00FD639F" w:rsidRDefault="0010620B" w:rsidP="0010620B">
      <w:pPr>
        <w:spacing w:before="200" w:line="276" w:lineRule="exact"/>
        <w:ind w:firstLine="227"/>
        <w:rPr>
          <w:sz w:val="24"/>
          <w:szCs w:val="24"/>
          <w:rtl/>
        </w:rPr>
      </w:pPr>
      <w:r>
        <w:rPr>
          <w:rFonts w:hint="cs"/>
          <w:sz w:val="24"/>
          <w:szCs w:val="24"/>
          <w:rtl/>
        </w:rPr>
        <w:t>אמנם, הרמב"ם ממשיך ומזכיר את שאר העינויים:</w:t>
      </w:r>
    </w:p>
    <w:p w:rsidR="0010620B" w:rsidRPr="00493608" w:rsidRDefault="0010620B" w:rsidP="0010620B">
      <w:pPr>
        <w:spacing w:before="200" w:line="276" w:lineRule="exact"/>
        <w:ind w:left="720"/>
        <w:rPr>
          <w:sz w:val="20"/>
          <w:szCs w:val="20"/>
          <w:rtl/>
        </w:rPr>
      </w:pPr>
      <w:r w:rsidRPr="00FD639F">
        <w:rPr>
          <w:rFonts w:hint="cs"/>
          <w:sz w:val="24"/>
          <w:szCs w:val="24"/>
          <w:rtl/>
        </w:rPr>
        <w:t>וכן</w:t>
      </w:r>
      <w:r w:rsidRPr="00FD639F">
        <w:rPr>
          <w:sz w:val="24"/>
          <w:szCs w:val="24"/>
          <w:rtl/>
        </w:rPr>
        <w:t xml:space="preserve"> </w:t>
      </w:r>
      <w:r w:rsidRPr="00FD639F">
        <w:rPr>
          <w:rFonts w:hint="cs"/>
          <w:sz w:val="24"/>
          <w:szCs w:val="24"/>
          <w:rtl/>
        </w:rPr>
        <w:t>באה</w:t>
      </w:r>
      <w:r w:rsidRPr="00FD639F">
        <w:rPr>
          <w:sz w:val="24"/>
          <w:szCs w:val="24"/>
          <w:rtl/>
        </w:rPr>
        <w:t xml:space="preserve"> </w:t>
      </w:r>
      <w:r w:rsidRPr="00FD639F">
        <w:rPr>
          <w:rFonts w:hint="cs"/>
          <w:sz w:val="24"/>
          <w:szCs w:val="24"/>
          <w:rtl/>
        </w:rPr>
        <w:t>הקבלה</w:t>
      </w:r>
      <w:r w:rsidRPr="00FD639F">
        <w:rPr>
          <w:sz w:val="24"/>
          <w:szCs w:val="24"/>
          <w:rtl/>
        </w:rPr>
        <w:t xml:space="preserve"> </w:t>
      </w:r>
      <w:r w:rsidRPr="00FD639F">
        <w:rPr>
          <w:rFonts w:hint="cs"/>
          <w:sz w:val="24"/>
          <w:szCs w:val="24"/>
          <w:rtl/>
        </w:rPr>
        <w:t>שהוא</w:t>
      </w:r>
      <w:r w:rsidRPr="00FD639F">
        <w:rPr>
          <w:sz w:val="24"/>
          <w:szCs w:val="24"/>
          <w:rtl/>
        </w:rPr>
        <w:t xml:space="preserve"> </w:t>
      </w:r>
      <w:r w:rsidRPr="00FD639F">
        <w:rPr>
          <w:rFonts w:hint="cs"/>
          <w:sz w:val="24"/>
          <w:szCs w:val="24"/>
          <w:rtl/>
        </w:rPr>
        <w:t>אסור</w:t>
      </w:r>
      <w:r w:rsidRPr="00FD639F">
        <w:rPr>
          <w:sz w:val="24"/>
          <w:szCs w:val="24"/>
          <w:rtl/>
        </w:rPr>
        <w:t xml:space="preserve"> </w:t>
      </w:r>
      <w:r w:rsidRPr="00FD639F">
        <w:rPr>
          <w:rFonts w:hint="cs"/>
          <w:sz w:val="24"/>
          <w:szCs w:val="24"/>
          <w:rtl/>
        </w:rPr>
        <w:t>ברחיצה</w:t>
      </w:r>
      <w:r w:rsidRPr="00FD639F">
        <w:rPr>
          <w:sz w:val="24"/>
          <w:szCs w:val="24"/>
          <w:rtl/>
        </w:rPr>
        <w:t xml:space="preserve"> </w:t>
      </w:r>
      <w:r w:rsidRPr="00FD639F">
        <w:rPr>
          <w:rFonts w:hint="cs"/>
          <w:sz w:val="24"/>
          <w:szCs w:val="24"/>
          <w:rtl/>
        </w:rPr>
        <w:t>ובסיכה</w:t>
      </w:r>
      <w:r w:rsidRPr="00FD639F">
        <w:rPr>
          <w:sz w:val="24"/>
          <w:szCs w:val="24"/>
          <w:rtl/>
        </w:rPr>
        <w:t xml:space="preserve"> </w:t>
      </w:r>
      <w:r w:rsidRPr="00FD639F">
        <w:rPr>
          <w:rFonts w:hint="cs"/>
          <w:sz w:val="24"/>
          <w:szCs w:val="24"/>
          <w:rtl/>
        </w:rPr>
        <w:t>ובנעילת</w:t>
      </w:r>
      <w:r w:rsidRPr="00FD639F">
        <w:rPr>
          <w:sz w:val="24"/>
          <w:szCs w:val="24"/>
          <w:rtl/>
        </w:rPr>
        <w:t xml:space="preserve"> </w:t>
      </w:r>
      <w:r w:rsidRPr="00FD639F">
        <w:rPr>
          <w:rFonts w:hint="cs"/>
          <w:sz w:val="24"/>
          <w:szCs w:val="24"/>
          <w:rtl/>
        </w:rPr>
        <w:t>הסנדל</w:t>
      </w:r>
      <w:r w:rsidRPr="00FD639F">
        <w:rPr>
          <w:sz w:val="24"/>
          <w:szCs w:val="24"/>
          <w:rtl/>
        </w:rPr>
        <w:t xml:space="preserve"> </w:t>
      </w:r>
      <w:r w:rsidRPr="00FD639F">
        <w:rPr>
          <w:rFonts w:hint="cs"/>
          <w:sz w:val="24"/>
          <w:szCs w:val="24"/>
          <w:rtl/>
        </w:rPr>
        <w:t>ובתשמיש</w:t>
      </w:r>
      <w:r w:rsidRPr="00FD639F">
        <w:rPr>
          <w:sz w:val="24"/>
          <w:szCs w:val="24"/>
          <w:rtl/>
        </w:rPr>
        <w:t xml:space="preserve"> </w:t>
      </w:r>
      <w:r w:rsidRPr="00FD639F">
        <w:rPr>
          <w:rFonts w:hint="cs"/>
          <w:sz w:val="24"/>
          <w:szCs w:val="24"/>
          <w:rtl/>
        </w:rPr>
        <w:t>המטה</w:t>
      </w:r>
      <w:r w:rsidRPr="00FD639F">
        <w:rPr>
          <w:sz w:val="24"/>
          <w:szCs w:val="24"/>
          <w:rtl/>
        </w:rPr>
        <w:t xml:space="preserve">. </w:t>
      </w:r>
      <w:r w:rsidRPr="00FD639F">
        <w:rPr>
          <w:rFonts w:hint="cs"/>
          <w:sz w:val="24"/>
          <w:szCs w:val="24"/>
          <w:rtl/>
        </w:rPr>
        <w:t>ושהשביתה</w:t>
      </w:r>
      <w:r w:rsidRPr="00FD639F">
        <w:rPr>
          <w:sz w:val="24"/>
          <w:szCs w:val="24"/>
          <w:rtl/>
        </w:rPr>
        <w:t xml:space="preserve"> </w:t>
      </w:r>
      <w:r w:rsidRPr="00FD639F">
        <w:rPr>
          <w:rFonts w:hint="cs"/>
          <w:sz w:val="24"/>
          <w:szCs w:val="24"/>
          <w:rtl/>
        </w:rPr>
        <w:t>מחויבת</w:t>
      </w:r>
      <w:r w:rsidRPr="00FD639F">
        <w:rPr>
          <w:sz w:val="24"/>
          <w:szCs w:val="24"/>
          <w:rtl/>
        </w:rPr>
        <w:t xml:space="preserve"> </w:t>
      </w:r>
      <w:r w:rsidRPr="00FD639F">
        <w:rPr>
          <w:rFonts w:hint="cs"/>
          <w:sz w:val="24"/>
          <w:szCs w:val="24"/>
          <w:rtl/>
        </w:rPr>
        <w:t>מאלו</w:t>
      </w:r>
      <w:r w:rsidRPr="00FD639F">
        <w:rPr>
          <w:sz w:val="24"/>
          <w:szCs w:val="24"/>
          <w:rtl/>
        </w:rPr>
        <w:t xml:space="preserve"> </w:t>
      </w:r>
      <w:r w:rsidRPr="00FD639F">
        <w:rPr>
          <w:rFonts w:hint="cs"/>
          <w:sz w:val="24"/>
          <w:szCs w:val="24"/>
          <w:rtl/>
        </w:rPr>
        <w:t>הפעולות</w:t>
      </w:r>
      <w:r w:rsidRPr="00FD639F">
        <w:rPr>
          <w:sz w:val="24"/>
          <w:szCs w:val="24"/>
          <w:rtl/>
        </w:rPr>
        <w:t xml:space="preserve"> </w:t>
      </w:r>
      <w:r w:rsidRPr="00FD639F">
        <w:rPr>
          <w:rFonts w:hint="cs"/>
          <w:sz w:val="24"/>
          <w:szCs w:val="24"/>
          <w:rtl/>
        </w:rPr>
        <w:t>כולם</w:t>
      </w:r>
      <w:r w:rsidRPr="00FD639F">
        <w:rPr>
          <w:sz w:val="24"/>
          <w:szCs w:val="24"/>
          <w:rtl/>
        </w:rPr>
        <w:t xml:space="preserve"> </w:t>
      </w:r>
      <w:r w:rsidRPr="00FD639F">
        <w:rPr>
          <w:rFonts w:hint="cs"/>
          <w:sz w:val="24"/>
          <w:szCs w:val="24"/>
          <w:rtl/>
        </w:rPr>
        <w:t>מאמרו</w:t>
      </w:r>
      <w:r w:rsidRPr="00FD639F">
        <w:rPr>
          <w:sz w:val="24"/>
          <w:szCs w:val="24"/>
          <w:rtl/>
        </w:rPr>
        <w:t xml:space="preserve"> </w:t>
      </w:r>
      <w:r w:rsidRPr="00FD639F">
        <w:rPr>
          <w:rFonts w:hint="cs"/>
          <w:sz w:val="24"/>
          <w:szCs w:val="24"/>
          <w:rtl/>
        </w:rPr>
        <w:t>בו</w:t>
      </w:r>
      <w:r w:rsidRPr="00FD639F">
        <w:rPr>
          <w:sz w:val="24"/>
          <w:szCs w:val="24"/>
          <w:rtl/>
        </w:rPr>
        <w:t xml:space="preserve"> </w:t>
      </w:r>
      <w:r>
        <w:rPr>
          <w:rFonts w:hint="cs"/>
          <w:sz w:val="24"/>
          <w:szCs w:val="24"/>
          <w:rtl/>
        </w:rPr>
        <w:t>'</w:t>
      </w:r>
      <w:r w:rsidRPr="00FD639F">
        <w:rPr>
          <w:rFonts w:hint="cs"/>
          <w:sz w:val="24"/>
          <w:szCs w:val="24"/>
          <w:rtl/>
        </w:rPr>
        <w:t>שבת</w:t>
      </w:r>
      <w:r w:rsidRPr="00FD639F">
        <w:rPr>
          <w:sz w:val="24"/>
          <w:szCs w:val="24"/>
          <w:rtl/>
        </w:rPr>
        <w:t xml:space="preserve"> </w:t>
      </w:r>
      <w:r w:rsidRPr="00FD639F">
        <w:rPr>
          <w:rFonts w:hint="cs"/>
          <w:sz w:val="24"/>
          <w:szCs w:val="24"/>
          <w:rtl/>
        </w:rPr>
        <w:t>שבתון</w:t>
      </w:r>
      <w:r w:rsidRPr="00FD639F">
        <w:rPr>
          <w:sz w:val="24"/>
          <w:szCs w:val="24"/>
          <w:rtl/>
        </w:rPr>
        <w:t xml:space="preserve"> </w:t>
      </w:r>
      <w:r w:rsidRPr="00FD639F">
        <w:rPr>
          <w:rFonts w:hint="cs"/>
          <w:sz w:val="24"/>
          <w:szCs w:val="24"/>
          <w:rtl/>
        </w:rPr>
        <w:t>הוא</w:t>
      </w:r>
      <w:r w:rsidRPr="00FD639F">
        <w:rPr>
          <w:sz w:val="24"/>
          <w:szCs w:val="24"/>
          <w:rtl/>
        </w:rPr>
        <w:t xml:space="preserve"> </w:t>
      </w:r>
      <w:r w:rsidRPr="00FD639F">
        <w:rPr>
          <w:rFonts w:hint="cs"/>
          <w:sz w:val="24"/>
          <w:szCs w:val="24"/>
          <w:rtl/>
        </w:rPr>
        <w:t>לכם</w:t>
      </w:r>
      <w:r w:rsidRPr="00FD639F">
        <w:rPr>
          <w:sz w:val="24"/>
          <w:szCs w:val="24"/>
          <w:rtl/>
        </w:rPr>
        <w:t xml:space="preserve"> </w:t>
      </w:r>
      <w:r w:rsidRPr="00FD639F">
        <w:rPr>
          <w:rFonts w:hint="cs"/>
          <w:sz w:val="24"/>
          <w:szCs w:val="24"/>
          <w:rtl/>
        </w:rPr>
        <w:t>ועניתם</w:t>
      </w:r>
      <w:r w:rsidRPr="00FD639F">
        <w:rPr>
          <w:sz w:val="24"/>
          <w:szCs w:val="24"/>
          <w:rtl/>
        </w:rPr>
        <w:t xml:space="preserve"> </w:t>
      </w:r>
      <w:r w:rsidRPr="00FD639F">
        <w:rPr>
          <w:rFonts w:hint="cs"/>
          <w:sz w:val="24"/>
          <w:szCs w:val="24"/>
          <w:rtl/>
        </w:rPr>
        <w:t>את</w:t>
      </w:r>
      <w:r w:rsidRPr="00FD639F">
        <w:rPr>
          <w:sz w:val="24"/>
          <w:szCs w:val="24"/>
          <w:rtl/>
        </w:rPr>
        <w:t xml:space="preserve"> </w:t>
      </w:r>
      <w:r w:rsidRPr="00FD639F">
        <w:rPr>
          <w:rFonts w:hint="cs"/>
          <w:sz w:val="24"/>
          <w:szCs w:val="24"/>
          <w:rtl/>
        </w:rPr>
        <w:t>נפשותיכם</w:t>
      </w:r>
      <w:r>
        <w:rPr>
          <w:rFonts w:hint="cs"/>
          <w:sz w:val="24"/>
          <w:szCs w:val="24"/>
          <w:rtl/>
        </w:rPr>
        <w:t>'</w:t>
      </w:r>
      <w:r w:rsidRPr="00FD639F">
        <w:rPr>
          <w:rFonts w:hint="cs"/>
          <w:sz w:val="24"/>
          <w:szCs w:val="24"/>
          <w:rtl/>
        </w:rPr>
        <w:t>,</w:t>
      </w:r>
      <w:r w:rsidRPr="00FD639F">
        <w:rPr>
          <w:sz w:val="24"/>
          <w:szCs w:val="24"/>
          <w:rtl/>
        </w:rPr>
        <w:t xml:space="preserve"> </w:t>
      </w:r>
      <w:r w:rsidRPr="00FD639F">
        <w:rPr>
          <w:rFonts w:hint="cs"/>
          <w:sz w:val="24"/>
          <w:szCs w:val="24"/>
          <w:rtl/>
        </w:rPr>
        <w:t>כאילו</w:t>
      </w:r>
      <w:r w:rsidRPr="00FD639F">
        <w:rPr>
          <w:sz w:val="24"/>
          <w:szCs w:val="24"/>
          <w:rtl/>
        </w:rPr>
        <w:t xml:space="preserve"> </w:t>
      </w:r>
      <w:r w:rsidRPr="00FD639F">
        <w:rPr>
          <w:rFonts w:hint="cs"/>
          <w:sz w:val="24"/>
          <w:szCs w:val="24"/>
          <w:rtl/>
        </w:rPr>
        <w:t>הוא</w:t>
      </w:r>
      <w:r w:rsidRPr="00FD639F">
        <w:rPr>
          <w:sz w:val="24"/>
          <w:szCs w:val="24"/>
          <w:rtl/>
        </w:rPr>
        <w:t xml:space="preserve"> </w:t>
      </w:r>
      <w:r w:rsidRPr="00FD639F">
        <w:rPr>
          <w:rFonts w:hint="cs"/>
          <w:sz w:val="24"/>
          <w:szCs w:val="24"/>
          <w:rtl/>
        </w:rPr>
        <w:t>יאמר</w:t>
      </w:r>
      <w:r w:rsidRPr="00FD639F">
        <w:rPr>
          <w:sz w:val="24"/>
          <w:szCs w:val="24"/>
          <w:rtl/>
        </w:rPr>
        <w:t xml:space="preserve"> </w:t>
      </w:r>
      <w:r w:rsidRPr="00FD639F">
        <w:rPr>
          <w:rFonts w:hint="cs"/>
          <w:sz w:val="24"/>
          <w:szCs w:val="24"/>
          <w:rtl/>
        </w:rPr>
        <w:t>שחובה</w:t>
      </w:r>
      <w:r w:rsidRPr="00FD639F">
        <w:rPr>
          <w:sz w:val="24"/>
          <w:szCs w:val="24"/>
          <w:rtl/>
        </w:rPr>
        <w:t xml:space="preserve"> </w:t>
      </w:r>
      <w:r w:rsidRPr="00FD639F">
        <w:rPr>
          <w:rFonts w:hint="cs"/>
          <w:sz w:val="24"/>
          <w:szCs w:val="24"/>
          <w:rtl/>
        </w:rPr>
        <w:t>בו</w:t>
      </w:r>
      <w:r w:rsidRPr="00FD639F">
        <w:rPr>
          <w:sz w:val="24"/>
          <w:szCs w:val="24"/>
          <w:rtl/>
        </w:rPr>
        <w:t xml:space="preserve"> </w:t>
      </w:r>
      <w:r w:rsidRPr="00FD639F">
        <w:rPr>
          <w:rFonts w:hint="cs"/>
          <w:sz w:val="24"/>
          <w:szCs w:val="24"/>
          <w:rtl/>
        </w:rPr>
        <w:t>השביתה</w:t>
      </w:r>
      <w:r w:rsidRPr="00FD639F">
        <w:rPr>
          <w:sz w:val="24"/>
          <w:szCs w:val="24"/>
          <w:rtl/>
        </w:rPr>
        <w:t xml:space="preserve"> </w:t>
      </w:r>
      <w:r w:rsidRPr="00FD639F">
        <w:rPr>
          <w:rFonts w:hint="cs"/>
          <w:sz w:val="24"/>
          <w:szCs w:val="24"/>
          <w:rtl/>
        </w:rPr>
        <w:t>המיוחדת</w:t>
      </w:r>
      <w:r w:rsidRPr="00FD639F">
        <w:rPr>
          <w:sz w:val="24"/>
          <w:szCs w:val="24"/>
          <w:rtl/>
        </w:rPr>
        <w:t xml:space="preserve"> </w:t>
      </w:r>
      <w:r w:rsidRPr="00FD639F">
        <w:rPr>
          <w:rFonts w:hint="cs"/>
          <w:sz w:val="24"/>
          <w:szCs w:val="24"/>
          <w:rtl/>
        </w:rPr>
        <w:t>במלאכות</w:t>
      </w:r>
      <w:r w:rsidRPr="00FD639F">
        <w:rPr>
          <w:sz w:val="24"/>
          <w:szCs w:val="24"/>
          <w:rtl/>
        </w:rPr>
        <w:t xml:space="preserve"> </w:t>
      </w:r>
      <w:r w:rsidRPr="00FD639F">
        <w:rPr>
          <w:rFonts w:hint="cs"/>
          <w:sz w:val="24"/>
          <w:szCs w:val="24"/>
          <w:rtl/>
        </w:rPr>
        <w:t>והמעשים</w:t>
      </w:r>
      <w:r w:rsidRPr="00FD639F">
        <w:rPr>
          <w:sz w:val="24"/>
          <w:szCs w:val="24"/>
          <w:rtl/>
        </w:rPr>
        <w:t xml:space="preserve"> </w:t>
      </w:r>
      <w:r w:rsidRPr="00FD639F">
        <w:rPr>
          <w:rFonts w:hint="cs"/>
          <w:sz w:val="24"/>
          <w:szCs w:val="24"/>
          <w:rtl/>
        </w:rPr>
        <w:t>והשביתה</w:t>
      </w:r>
      <w:r w:rsidRPr="00FD639F">
        <w:rPr>
          <w:sz w:val="24"/>
          <w:szCs w:val="24"/>
          <w:rtl/>
        </w:rPr>
        <w:t xml:space="preserve"> </w:t>
      </w:r>
      <w:r w:rsidRPr="00FD639F">
        <w:rPr>
          <w:rFonts w:hint="cs"/>
          <w:sz w:val="24"/>
          <w:szCs w:val="24"/>
          <w:rtl/>
        </w:rPr>
        <w:t>המיוחדת</w:t>
      </w:r>
      <w:r w:rsidRPr="00FD639F">
        <w:rPr>
          <w:sz w:val="24"/>
          <w:szCs w:val="24"/>
          <w:rtl/>
        </w:rPr>
        <w:t xml:space="preserve"> </w:t>
      </w:r>
      <w:r w:rsidRPr="00FD639F">
        <w:rPr>
          <w:rFonts w:hint="cs"/>
          <w:sz w:val="24"/>
          <w:szCs w:val="24"/>
          <w:rtl/>
        </w:rPr>
        <w:t>במזון</w:t>
      </w:r>
      <w:r w:rsidRPr="00FD639F">
        <w:rPr>
          <w:sz w:val="24"/>
          <w:szCs w:val="24"/>
          <w:rtl/>
        </w:rPr>
        <w:t xml:space="preserve"> </w:t>
      </w:r>
      <w:r w:rsidRPr="00FD639F">
        <w:rPr>
          <w:rFonts w:hint="cs"/>
          <w:sz w:val="24"/>
          <w:szCs w:val="24"/>
          <w:rtl/>
        </w:rPr>
        <w:t>הגוף</w:t>
      </w:r>
      <w:r w:rsidRPr="00FD639F">
        <w:rPr>
          <w:sz w:val="24"/>
          <w:szCs w:val="24"/>
          <w:rtl/>
        </w:rPr>
        <w:t xml:space="preserve"> </w:t>
      </w:r>
      <w:r w:rsidRPr="00FD639F">
        <w:rPr>
          <w:rFonts w:hint="cs"/>
          <w:sz w:val="24"/>
          <w:szCs w:val="24"/>
          <w:rtl/>
        </w:rPr>
        <w:t>וקיומו,</w:t>
      </w:r>
      <w:r w:rsidRPr="00FD639F">
        <w:rPr>
          <w:sz w:val="24"/>
          <w:szCs w:val="24"/>
          <w:rtl/>
        </w:rPr>
        <w:t xml:space="preserve"> </w:t>
      </w:r>
      <w:r w:rsidRPr="00FD639F">
        <w:rPr>
          <w:rFonts w:hint="cs"/>
          <w:sz w:val="24"/>
          <w:szCs w:val="24"/>
          <w:rtl/>
        </w:rPr>
        <w:t>ולכן</w:t>
      </w:r>
      <w:r w:rsidRPr="00FD639F">
        <w:rPr>
          <w:sz w:val="24"/>
          <w:szCs w:val="24"/>
          <w:rtl/>
        </w:rPr>
        <w:t xml:space="preserve"> </w:t>
      </w:r>
      <w:r w:rsidRPr="00FD639F">
        <w:rPr>
          <w:rFonts w:hint="cs"/>
          <w:sz w:val="24"/>
          <w:szCs w:val="24"/>
          <w:rtl/>
        </w:rPr>
        <w:t>אמר</w:t>
      </w:r>
      <w:r w:rsidRPr="00FD639F">
        <w:rPr>
          <w:sz w:val="24"/>
          <w:szCs w:val="24"/>
          <w:rtl/>
        </w:rPr>
        <w:t xml:space="preserve"> </w:t>
      </w:r>
      <w:r>
        <w:rPr>
          <w:rFonts w:hint="cs"/>
          <w:sz w:val="24"/>
          <w:szCs w:val="24"/>
          <w:rtl/>
        </w:rPr>
        <w:t>'</w:t>
      </w:r>
      <w:r w:rsidRPr="00FD639F">
        <w:rPr>
          <w:rFonts w:hint="cs"/>
          <w:sz w:val="24"/>
          <w:szCs w:val="24"/>
          <w:rtl/>
        </w:rPr>
        <w:t>שבת</w:t>
      </w:r>
      <w:r w:rsidRPr="00FD639F">
        <w:rPr>
          <w:sz w:val="24"/>
          <w:szCs w:val="24"/>
          <w:rtl/>
        </w:rPr>
        <w:t xml:space="preserve"> </w:t>
      </w:r>
      <w:r w:rsidRPr="00FD639F">
        <w:rPr>
          <w:rFonts w:hint="cs"/>
          <w:sz w:val="24"/>
          <w:szCs w:val="24"/>
          <w:rtl/>
        </w:rPr>
        <w:t>שבתון</w:t>
      </w:r>
      <w:r>
        <w:rPr>
          <w:rFonts w:hint="cs"/>
          <w:sz w:val="24"/>
          <w:szCs w:val="24"/>
          <w:rtl/>
        </w:rPr>
        <w:t>'</w:t>
      </w:r>
      <w:r w:rsidRPr="00FD639F">
        <w:rPr>
          <w:sz w:val="24"/>
          <w:szCs w:val="24"/>
          <w:rtl/>
        </w:rPr>
        <w:t xml:space="preserve">. </w:t>
      </w:r>
      <w:r w:rsidRPr="00FD639F">
        <w:rPr>
          <w:rFonts w:hint="cs"/>
          <w:sz w:val="24"/>
          <w:szCs w:val="24"/>
          <w:rtl/>
        </w:rPr>
        <w:t>ולשון</w:t>
      </w:r>
      <w:r w:rsidRPr="00FD639F">
        <w:rPr>
          <w:sz w:val="24"/>
          <w:szCs w:val="24"/>
          <w:rtl/>
        </w:rPr>
        <w:t xml:space="preserve"> </w:t>
      </w:r>
      <w:r w:rsidRPr="00FD639F">
        <w:rPr>
          <w:rFonts w:hint="cs"/>
          <w:sz w:val="24"/>
          <w:szCs w:val="24"/>
          <w:rtl/>
        </w:rPr>
        <w:t>ספרא,</w:t>
      </w:r>
      <w:r w:rsidRPr="00FD639F">
        <w:rPr>
          <w:sz w:val="24"/>
          <w:szCs w:val="24"/>
          <w:rtl/>
        </w:rPr>
        <w:t xml:space="preserve"> </w:t>
      </w:r>
      <w:r>
        <w:rPr>
          <w:rFonts w:hint="cs"/>
          <w:sz w:val="24"/>
          <w:szCs w:val="24"/>
          <w:rtl/>
        </w:rPr>
        <w:t>'</w:t>
      </w:r>
      <w:r w:rsidRPr="00FD639F">
        <w:rPr>
          <w:rFonts w:hint="cs"/>
          <w:sz w:val="24"/>
          <w:szCs w:val="24"/>
          <w:rtl/>
        </w:rPr>
        <w:t>מנין</w:t>
      </w:r>
      <w:r w:rsidRPr="00FD639F">
        <w:rPr>
          <w:sz w:val="24"/>
          <w:szCs w:val="24"/>
          <w:rtl/>
        </w:rPr>
        <w:t xml:space="preserve"> </w:t>
      </w:r>
      <w:r w:rsidRPr="00FD639F">
        <w:rPr>
          <w:rFonts w:hint="cs"/>
          <w:sz w:val="24"/>
          <w:szCs w:val="24"/>
          <w:rtl/>
        </w:rPr>
        <w:t>שיום</w:t>
      </w:r>
      <w:r w:rsidRPr="00FD639F">
        <w:rPr>
          <w:sz w:val="24"/>
          <w:szCs w:val="24"/>
          <w:rtl/>
        </w:rPr>
        <w:t xml:space="preserve"> </w:t>
      </w:r>
      <w:r w:rsidRPr="00FD639F">
        <w:rPr>
          <w:rFonts w:hint="cs"/>
          <w:sz w:val="24"/>
          <w:szCs w:val="24"/>
          <w:rtl/>
        </w:rPr>
        <w:t>הכיפורים</w:t>
      </w:r>
      <w:r w:rsidRPr="00FD639F">
        <w:rPr>
          <w:sz w:val="24"/>
          <w:szCs w:val="24"/>
          <w:rtl/>
        </w:rPr>
        <w:t xml:space="preserve"> </w:t>
      </w:r>
      <w:r w:rsidRPr="00FD639F">
        <w:rPr>
          <w:rFonts w:hint="cs"/>
          <w:sz w:val="24"/>
          <w:szCs w:val="24"/>
          <w:rtl/>
        </w:rPr>
        <w:t>אסור</w:t>
      </w:r>
      <w:r w:rsidRPr="00FD639F">
        <w:rPr>
          <w:sz w:val="24"/>
          <w:szCs w:val="24"/>
          <w:rtl/>
        </w:rPr>
        <w:t xml:space="preserve"> </w:t>
      </w:r>
      <w:r w:rsidRPr="00FD639F">
        <w:rPr>
          <w:rFonts w:hint="cs"/>
          <w:sz w:val="24"/>
          <w:szCs w:val="24"/>
          <w:rtl/>
        </w:rPr>
        <w:t>ברחיצה</w:t>
      </w:r>
      <w:r w:rsidRPr="00FD639F">
        <w:rPr>
          <w:sz w:val="24"/>
          <w:szCs w:val="24"/>
          <w:rtl/>
        </w:rPr>
        <w:t xml:space="preserve"> </w:t>
      </w:r>
      <w:r w:rsidRPr="00FD639F">
        <w:rPr>
          <w:rFonts w:hint="cs"/>
          <w:sz w:val="24"/>
          <w:szCs w:val="24"/>
          <w:rtl/>
        </w:rPr>
        <w:t>ובסיכה</w:t>
      </w:r>
      <w:r w:rsidRPr="00FD639F">
        <w:rPr>
          <w:sz w:val="24"/>
          <w:szCs w:val="24"/>
          <w:rtl/>
        </w:rPr>
        <w:t xml:space="preserve"> </w:t>
      </w:r>
      <w:r w:rsidRPr="00FD639F">
        <w:rPr>
          <w:rFonts w:hint="cs"/>
          <w:sz w:val="24"/>
          <w:szCs w:val="24"/>
          <w:rtl/>
        </w:rPr>
        <w:t>ובתשמיש</w:t>
      </w:r>
      <w:r w:rsidRPr="00FD639F">
        <w:rPr>
          <w:sz w:val="24"/>
          <w:szCs w:val="24"/>
          <w:rtl/>
        </w:rPr>
        <w:t xml:space="preserve"> </w:t>
      </w:r>
      <w:r>
        <w:rPr>
          <w:rFonts w:hint="cs"/>
          <w:sz w:val="24"/>
          <w:szCs w:val="24"/>
          <w:rtl/>
        </w:rPr>
        <w:t>המטה'</w:t>
      </w:r>
      <w:r w:rsidRPr="00FD639F">
        <w:rPr>
          <w:sz w:val="24"/>
          <w:szCs w:val="24"/>
          <w:rtl/>
        </w:rPr>
        <w:t xml:space="preserve"> </w:t>
      </w:r>
      <w:r w:rsidRPr="00FD639F">
        <w:rPr>
          <w:rFonts w:hint="cs"/>
          <w:sz w:val="24"/>
          <w:szCs w:val="24"/>
          <w:rtl/>
        </w:rPr>
        <w:t>תלמוד</w:t>
      </w:r>
      <w:r w:rsidRPr="00FD639F">
        <w:rPr>
          <w:sz w:val="24"/>
          <w:szCs w:val="24"/>
          <w:rtl/>
        </w:rPr>
        <w:t xml:space="preserve"> </w:t>
      </w:r>
      <w:r w:rsidRPr="00FD639F">
        <w:rPr>
          <w:rFonts w:hint="cs"/>
          <w:sz w:val="24"/>
          <w:szCs w:val="24"/>
          <w:rtl/>
        </w:rPr>
        <w:t>לומר,</w:t>
      </w:r>
      <w:r w:rsidRPr="00FD639F">
        <w:rPr>
          <w:sz w:val="24"/>
          <w:szCs w:val="24"/>
          <w:rtl/>
        </w:rPr>
        <w:t xml:space="preserve"> </w:t>
      </w:r>
      <w:r>
        <w:rPr>
          <w:rFonts w:hint="cs"/>
          <w:sz w:val="24"/>
          <w:szCs w:val="24"/>
          <w:rtl/>
        </w:rPr>
        <w:t>'</w:t>
      </w:r>
      <w:r w:rsidRPr="00FD639F">
        <w:rPr>
          <w:rFonts w:hint="cs"/>
          <w:sz w:val="24"/>
          <w:szCs w:val="24"/>
          <w:rtl/>
        </w:rPr>
        <w:t>שבת</w:t>
      </w:r>
      <w:r w:rsidRPr="00FD639F">
        <w:rPr>
          <w:sz w:val="24"/>
          <w:szCs w:val="24"/>
          <w:rtl/>
        </w:rPr>
        <w:t xml:space="preserve"> </w:t>
      </w:r>
      <w:r w:rsidRPr="00FD639F">
        <w:rPr>
          <w:rFonts w:hint="cs"/>
          <w:sz w:val="24"/>
          <w:szCs w:val="24"/>
          <w:rtl/>
        </w:rPr>
        <w:t>שבתון</w:t>
      </w:r>
      <w:r>
        <w:rPr>
          <w:rFonts w:hint="cs"/>
          <w:sz w:val="24"/>
          <w:szCs w:val="24"/>
          <w:rtl/>
        </w:rPr>
        <w:t>'</w:t>
      </w:r>
      <w:r w:rsidRPr="00FD639F">
        <w:rPr>
          <w:sz w:val="24"/>
          <w:szCs w:val="24"/>
          <w:rtl/>
        </w:rPr>
        <w:t xml:space="preserve"> </w:t>
      </w:r>
      <w:r w:rsidRPr="00FD639F">
        <w:rPr>
          <w:rFonts w:hint="cs"/>
          <w:sz w:val="24"/>
          <w:szCs w:val="24"/>
          <w:rtl/>
        </w:rPr>
        <w:t>שבות</w:t>
      </w:r>
      <w:r w:rsidRPr="00FD639F">
        <w:rPr>
          <w:sz w:val="24"/>
          <w:szCs w:val="24"/>
          <w:rtl/>
        </w:rPr>
        <w:t xml:space="preserve">. </w:t>
      </w:r>
      <w:r w:rsidRPr="00FD639F">
        <w:rPr>
          <w:rFonts w:hint="cs"/>
          <w:sz w:val="24"/>
          <w:szCs w:val="24"/>
          <w:rtl/>
        </w:rPr>
        <w:t>כלומר</w:t>
      </w:r>
      <w:r w:rsidRPr="00FD639F">
        <w:rPr>
          <w:sz w:val="24"/>
          <w:szCs w:val="24"/>
          <w:rtl/>
        </w:rPr>
        <w:t xml:space="preserve"> </w:t>
      </w:r>
      <w:r w:rsidRPr="00FD639F">
        <w:rPr>
          <w:rFonts w:hint="cs"/>
          <w:sz w:val="24"/>
          <w:szCs w:val="24"/>
          <w:rtl/>
        </w:rPr>
        <w:t>השביתה</w:t>
      </w:r>
      <w:r w:rsidRPr="00FD639F">
        <w:rPr>
          <w:sz w:val="24"/>
          <w:szCs w:val="24"/>
          <w:rtl/>
        </w:rPr>
        <w:t xml:space="preserve"> </w:t>
      </w:r>
      <w:r w:rsidRPr="00FD639F">
        <w:rPr>
          <w:rFonts w:hint="cs"/>
          <w:sz w:val="24"/>
          <w:szCs w:val="24"/>
          <w:rtl/>
        </w:rPr>
        <w:t>מאלו</w:t>
      </w:r>
      <w:r w:rsidRPr="00FD639F">
        <w:rPr>
          <w:sz w:val="24"/>
          <w:szCs w:val="24"/>
          <w:rtl/>
        </w:rPr>
        <w:t xml:space="preserve"> </w:t>
      </w:r>
      <w:r w:rsidRPr="00FD639F">
        <w:rPr>
          <w:rFonts w:hint="cs"/>
          <w:sz w:val="24"/>
          <w:szCs w:val="24"/>
          <w:rtl/>
        </w:rPr>
        <w:t>כולם</w:t>
      </w:r>
      <w:r w:rsidRPr="00FD639F">
        <w:rPr>
          <w:sz w:val="24"/>
          <w:szCs w:val="24"/>
          <w:rtl/>
        </w:rPr>
        <w:t xml:space="preserve"> </w:t>
      </w:r>
      <w:r w:rsidRPr="00FD639F">
        <w:rPr>
          <w:rFonts w:hint="cs"/>
          <w:sz w:val="24"/>
          <w:szCs w:val="24"/>
          <w:rtl/>
        </w:rPr>
        <w:t>עד</w:t>
      </w:r>
      <w:r w:rsidRPr="00FD639F">
        <w:rPr>
          <w:sz w:val="24"/>
          <w:szCs w:val="24"/>
          <w:rtl/>
        </w:rPr>
        <w:t xml:space="preserve"> </w:t>
      </w:r>
      <w:r w:rsidRPr="00FD639F">
        <w:rPr>
          <w:rFonts w:hint="cs"/>
          <w:sz w:val="24"/>
          <w:szCs w:val="24"/>
          <w:rtl/>
        </w:rPr>
        <w:t>שיגיע</w:t>
      </w:r>
      <w:r w:rsidRPr="00FD639F">
        <w:rPr>
          <w:sz w:val="24"/>
          <w:szCs w:val="24"/>
          <w:rtl/>
        </w:rPr>
        <w:t xml:space="preserve"> </w:t>
      </w:r>
      <w:r w:rsidRPr="00FD639F">
        <w:rPr>
          <w:rFonts w:hint="cs"/>
          <w:sz w:val="24"/>
          <w:szCs w:val="24"/>
          <w:rtl/>
        </w:rPr>
        <w:t>הע</w:t>
      </w:r>
      <w:r>
        <w:rPr>
          <w:rFonts w:hint="cs"/>
          <w:sz w:val="24"/>
          <w:szCs w:val="24"/>
          <w:rtl/>
        </w:rPr>
        <w:t>י</w:t>
      </w:r>
      <w:r w:rsidRPr="00FD639F">
        <w:rPr>
          <w:rFonts w:hint="cs"/>
          <w:sz w:val="24"/>
          <w:szCs w:val="24"/>
          <w:rtl/>
        </w:rPr>
        <w:t>נוי.</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[שם]</w:t>
      </w:r>
    </w:p>
    <w:p w:rsidR="0010620B" w:rsidRDefault="0010620B" w:rsidP="0010620B">
      <w:pPr>
        <w:spacing w:before="200" w:line="276" w:lineRule="exact"/>
        <w:ind w:firstLine="227"/>
        <w:rPr>
          <w:sz w:val="24"/>
          <w:szCs w:val="24"/>
          <w:rtl/>
        </w:rPr>
      </w:pPr>
      <w:r>
        <w:rPr>
          <w:rFonts w:hint="cs"/>
          <w:sz w:val="24"/>
          <w:szCs w:val="24"/>
          <w:rtl/>
        </w:rPr>
        <w:t>מפורש בדברי הרמב"ם שכל חמשת העינויים אסורים מן התורה, אך מדבריו עולה שהם אינם כלולים במצות העינוי. לדבריו, מצות העינוי מחייבת הימנעות מאכילה ושתייה בלבד, ולשאר העינויים יש מקור שונה: "שבת שבתון".</w:t>
      </w:r>
    </w:p>
    <w:p w:rsidR="0010620B" w:rsidRPr="00FD639F" w:rsidRDefault="0010620B" w:rsidP="0010620B">
      <w:pPr>
        <w:spacing w:before="200" w:line="276" w:lineRule="exact"/>
        <w:ind w:firstLine="227"/>
        <w:rPr>
          <w:sz w:val="24"/>
          <w:szCs w:val="24"/>
          <w:rtl/>
        </w:rPr>
      </w:pPr>
      <w:r>
        <w:rPr>
          <w:rFonts w:hint="cs"/>
          <w:sz w:val="24"/>
          <w:szCs w:val="24"/>
          <w:rtl/>
        </w:rPr>
        <w:t>הגדרה זו עולה גם מדברי הרמב"ם בהלכות שביתת עשור. הרמב"ם פותח במצות "תענו את נפשותיכם", והוא מזכיר את איסור אכילה ושתייה בלבד:</w:t>
      </w:r>
    </w:p>
    <w:p w:rsidR="0010620B" w:rsidRPr="00AA39A3" w:rsidRDefault="0010620B" w:rsidP="0010620B">
      <w:pPr>
        <w:spacing w:before="200" w:line="276" w:lineRule="exact"/>
        <w:ind w:left="720"/>
        <w:rPr>
          <w:sz w:val="20"/>
          <w:szCs w:val="20"/>
          <w:rtl/>
        </w:rPr>
      </w:pPr>
      <w:r w:rsidRPr="00FD639F">
        <w:rPr>
          <w:rFonts w:hint="cs"/>
          <w:sz w:val="24"/>
          <w:szCs w:val="24"/>
          <w:rtl/>
        </w:rPr>
        <w:t>מצות</w:t>
      </w:r>
      <w:r w:rsidRPr="00FD639F">
        <w:rPr>
          <w:sz w:val="24"/>
          <w:szCs w:val="24"/>
          <w:rtl/>
        </w:rPr>
        <w:t xml:space="preserve"> </w:t>
      </w:r>
      <w:r w:rsidRPr="00FD639F">
        <w:rPr>
          <w:rFonts w:hint="cs"/>
          <w:sz w:val="24"/>
          <w:szCs w:val="24"/>
          <w:rtl/>
        </w:rPr>
        <w:t>עשה</w:t>
      </w:r>
      <w:r w:rsidRPr="00FD639F">
        <w:rPr>
          <w:sz w:val="24"/>
          <w:szCs w:val="24"/>
          <w:rtl/>
        </w:rPr>
        <w:t xml:space="preserve"> </w:t>
      </w:r>
      <w:r w:rsidRPr="00FD639F">
        <w:rPr>
          <w:rFonts w:hint="cs"/>
          <w:sz w:val="24"/>
          <w:szCs w:val="24"/>
          <w:rtl/>
        </w:rPr>
        <w:t>אחרת</w:t>
      </w:r>
      <w:r w:rsidRPr="00FD639F">
        <w:rPr>
          <w:sz w:val="24"/>
          <w:szCs w:val="24"/>
          <w:rtl/>
        </w:rPr>
        <w:t xml:space="preserve"> </w:t>
      </w:r>
      <w:r w:rsidRPr="00FD639F">
        <w:rPr>
          <w:rFonts w:hint="cs"/>
          <w:sz w:val="24"/>
          <w:szCs w:val="24"/>
          <w:rtl/>
        </w:rPr>
        <w:t>יש</w:t>
      </w:r>
      <w:r w:rsidRPr="00FD639F">
        <w:rPr>
          <w:sz w:val="24"/>
          <w:szCs w:val="24"/>
          <w:rtl/>
        </w:rPr>
        <w:t xml:space="preserve"> </w:t>
      </w:r>
      <w:r w:rsidRPr="00FD639F">
        <w:rPr>
          <w:rFonts w:hint="cs"/>
          <w:sz w:val="24"/>
          <w:szCs w:val="24"/>
          <w:rtl/>
        </w:rPr>
        <w:t>ביום</w:t>
      </w:r>
      <w:r w:rsidRPr="00FD639F">
        <w:rPr>
          <w:sz w:val="24"/>
          <w:szCs w:val="24"/>
          <w:rtl/>
        </w:rPr>
        <w:t xml:space="preserve"> </w:t>
      </w:r>
      <w:r w:rsidRPr="00FD639F">
        <w:rPr>
          <w:rFonts w:hint="cs"/>
          <w:sz w:val="24"/>
          <w:szCs w:val="24"/>
          <w:rtl/>
        </w:rPr>
        <w:t>הכפורים</w:t>
      </w:r>
      <w:r w:rsidRPr="00FD639F">
        <w:rPr>
          <w:sz w:val="24"/>
          <w:szCs w:val="24"/>
          <w:rtl/>
        </w:rPr>
        <w:t xml:space="preserve"> </w:t>
      </w:r>
      <w:r w:rsidRPr="00FD639F">
        <w:rPr>
          <w:rFonts w:hint="cs"/>
          <w:sz w:val="24"/>
          <w:szCs w:val="24"/>
          <w:rtl/>
        </w:rPr>
        <w:t>והיא</w:t>
      </w:r>
      <w:r w:rsidRPr="00FD639F">
        <w:rPr>
          <w:sz w:val="24"/>
          <w:szCs w:val="24"/>
          <w:rtl/>
        </w:rPr>
        <w:t xml:space="preserve"> </w:t>
      </w:r>
      <w:r w:rsidRPr="00FD639F">
        <w:rPr>
          <w:rFonts w:hint="cs"/>
          <w:sz w:val="24"/>
          <w:szCs w:val="24"/>
          <w:rtl/>
        </w:rPr>
        <w:t>לשבות</w:t>
      </w:r>
      <w:r w:rsidRPr="00FD639F">
        <w:rPr>
          <w:sz w:val="24"/>
          <w:szCs w:val="24"/>
          <w:rtl/>
        </w:rPr>
        <w:t xml:space="preserve"> </w:t>
      </w:r>
      <w:r w:rsidRPr="00FD639F">
        <w:rPr>
          <w:rFonts w:hint="cs"/>
          <w:sz w:val="24"/>
          <w:szCs w:val="24"/>
          <w:rtl/>
        </w:rPr>
        <w:t>בו</w:t>
      </w:r>
      <w:r w:rsidRPr="00FD639F">
        <w:rPr>
          <w:sz w:val="24"/>
          <w:szCs w:val="24"/>
          <w:rtl/>
        </w:rPr>
        <w:t xml:space="preserve"> </w:t>
      </w:r>
      <w:r w:rsidRPr="00FD639F">
        <w:rPr>
          <w:rFonts w:hint="cs"/>
          <w:sz w:val="24"/>
          <w:szCs w:val="24"/>
          <w:rtl/>
        </w:rPr>
        <w:t>מאכילה</w:t>
      </w:r>
      <w:r w:rsidRPr="00FD639F">
        <w:rPr>
          <w:sz w:val="24"/>
          <w:szCs w:val="24"/>
          <w:rtl/>
        </w:rPr>
        <w:t xml:space="preserve"> </w:t>
      </w:r>
      <w:r w:rsidRPr="00FD639F">
        <w:rPr>
          <w:rFonts w:hint="cs"/>
          <w:sz w:val="24"/>
          <w:szCs w:val="24"/>
          <w:rtl/>
        </w:rPr>
        <w:t>ושתייה</w:t>
      </w:r>
      <w:r>
        <w:rPr>
          <w:rFonts w:hint="cs"/>
          <w:sz w:val="24"/>
          <w:szCs w:val="24"/>
          <w:rtl/>
        </w:rPr>
        <w:t>,</w:t>
      </w:r>
      <w:r w:rsidRPr="00FD639F">
        <w:rPr>
          <w:sz w:val="24"/>
          <w:szCs w:val="24"/>
          <w:rtl/>
        </w:rPr>
        <w:t xml:space="preserve"> </w:t>
      </w:r>
      <w:r w:rsidRPr="00FD639F">
        <w:rPr>
          <w:rFonts w:hint="cs"/>
          <w:sz w:val="24"/>
          <w:szCs w:val="24"/>
          <w:rtl/>
        </w:rPr>
        <w:t>שנאמר</w:t>
      </w:r>
      <w:r w:rsidRPr="00FD639F">
        <w:rPr>
          <w:sz w:val="24"/>
          <w:szCs w:val="24"/>
          <w:rtl/>
        </w:rPr>
        <w:t xml:space="preserve"> </w:t>
      </w:r>
      <w:r>
        <w:rPr>
          <w:rFonts w:hint="cs"/>
          <w:sz w:val="24"/>
          <w:szCs w:val="24"/>
          <w:rtl/>
        </w:rPr>
        <w:t>'</w:t>
      </w:r>
      <w:r w:rsidRPr="00FD639F">
        <w:rPr>
          <w:rFonts w:hint="cs"/>
          <w:sz w:val="24"/>
          <w:szCs w:val="24"/>
          <w:rtl/>
        </w:rPr>
        <w:t>תענו</w:t>
      </w:r>
      <w:r w:rsidRPr="00FD639F">
        <w:rPr>
          <w:sz w:val="24"/>
          <w:szCs w:val="24"/>
          <w:rtl/>
        </w:rPr>
        <w:t xml:space="preserve"> </w:t>
      </w:r>
      <w:r w:rsidRPr="00FD639F">
        <w:rPr>
          <w:rFonts w:hint="cs"/>
          <w:sz w:val="24"/>
          <w:szCs w:val="24"/>
          <w:rtl/>
        </w:rPr>
        <w:t>את</w:t>
      </w:r>
      <w:r w:rsidRPr="00FD639F">
        <w:rPr>
          <w:sz w:val="24"/>
          <w:szCs w:val="24"/>
          <w:rtl/>
        </w:rPr>
        <w:t xml:space="preserve"> </w:t>
      </w:r>
      <w:r w:rsidRPr="00FD639F">
        <w:rPr>
          <w:rFonts w:hint="cs"/>
          <w:sz w:val="24"/>
          <w:szCs w:val="24"/>
          <w:rtl/>
        </w:rPr>
        <w:t>נפשותיכם</w:t>
      </w:r>
      <w:r w:rsidRPr="00FD639F">
        <w:rPr>
          <w:sz w:val="24"/>
          <w:szCs w:val="24"/>
          <w:rtl/>
        </w:rPr>
        <w:t xml:space="preserve">, </w:t>
      </w:r>
      <w:r w:rsidRPr="00FD639F">
        <w:rPr>
          <w:rFonts w:hint="cs"/>
          <w:sz w:val="24"/>
          <w:szCs w:val="24"/>
          <w:rtl/>
        </w:rPr>
        <w:t>מפי</w:t>
      </w:r>
      <w:r w:rsidRPr="00FD639F">
        <w:rPr>
          <w:sz w:val="24"/>
          <w:szCs w:val="24"/>
          <w:rtl/>
        </w:rPr>
        <w:t xml:space="preserve"> </w:t>
      </w:r>
      <w:r w:rsidRPr="00FD639F">
        <w:rPr>
          <w:rFonts w:hint="cs"/>
          <w:sz w:val="24"/>
          <w:szCs w:val="24"/>
          <w:rtl/>
        </w:rPr>
        <w:t>השמועה</w:t>
      </w:r>
      <w:r w:rsidRPr="00FD639F">
        <w:rPr>
          <w:sz w:val="24"/>
          <w:szCs w:val="24"/>
          <w:rtl/>
        </w:rPr>
        <w:t xml:space="preserve"> </w:t>
      </w:r>
      <w:r w:rsidRPr="00FD639F">
        <w:rPr>
          <w:rFonts w:hint="cs"/>
          <w:sz w:val="24"/>
          <w:szCs w:val="24"/>
          <w:rtl/>
        </w:rPr>
        <w:t>למדו</w:t>
      </w:r>
      <w:r w:rsidRPr="00FD639F">
        <w:rPr>
          <w:sz w:val="24"/>
          <w:szCs w:val="24"/>
          <w:rtl/>
        </w:rPr>
        <w:t xml:space="preserve"> </w:t>
      </w:r>
      <w:r w:rsidRPr="00FD639F">
        <w:rPr>
          <w:rFonts w:hint="cs"/>
          <w:sz w:val="24"/>
          <w:szCs w:val="24"/>
          <w:rtl/>
        </w:rPr>
        <w:t>ענוי</w:t>
      </w:r>
      <w:r w:rsidRPr="00FD639F">
        <w:rPr>
          <w:sz w:val="24"/>
          <w:szCs w:val="24"/>
          <w:rtl/>
        </w:rPr>
        <w:t xml:space="preserve"> </w:t>
      </w:r>
      <w:r w:rsidRPr="00FD639F">
        <w:rPr>
          <w:rFonts w:hint="cs"/>
          <w:sz w:val="24"/>
          <w:szCs w:val="24"/>
          <w:rtl/>
        </w:rPr>
        <w:t>שהוא</w:t>
      </w:r>
      <w:r w:rsidRPr="00FD639F">
        <w:rPr>
          <w:sz w:val="24"/>
          <w:szCs w:val="24"/>
          <w:rtl/>
        </w:rPr>
        <w:t xml:space="preserve"> </w:t>
      </w:r>
      <w:r w:rsidRPr="00FD639F">
        <w:rPr>
          <w:rFonts w:hint="cs"/>
          <w:sz w:val="24"/>
          <w:szCs w:val="24"/>
          <w:rtl/>
        </w:rPr>
        <w:t>לנפש</w:t>
      </w:r>
      <w:r w:rsidRPr="00FD639F">
        <w:rPr>
          <w:sz w:val="24"/>
          <w:szCs w:val="24"/>
          <w:rtl/>
        </w:rPr>
        <w:t xml:space="preserve"> </w:t>
      </w:r>
      <w:r w:rsidRPr="00FD639F">
        <w:rPr>
          <w:rFonts w:hint="cs"/>
          <w:sz w:val="24"/>
          <w:szCs w:val="24"/>
          <w:rtl/>
        </w:rPr>
        <w:t>זה</w:t>
      </w:r>
      <w:r w:rsidRPr="00FD639F">
        <w:rPr>
          <w:sz w:val="24"/>
          <w:szCs w:val="24"/>
          <w:rtl/>
        </w:rPr>
        <w:t xml:space="preserve"> </w:t>
      </w:r>
      <w:r w:rsidRPr="00FD639F">
        <w:rPr>
          <w:rFonts w:hint="cs"/>
          <w:sz w:val="24"/>
          <w:szCs w:val="24"/>
          <w:rtl/>
        </w:rPr>
        <w:t>הצום</w:t>
      </w:r>
      <w:r w:rsidRPr="00FD639F">
        <w:rPr>
          <w:sz w:val="24"/>
          <w:szCs w:val="24"/>
          <w:rtl/>
        </w:rPr>
        <w:t xml:space="preserve">, </w:t>
      </w:r>
      <w:r w:rsidRPr="00FD639F">
        <w:rPr>
          <w:rFonts w:hint="cs"/>
          <w:sz w:val="24"/>
          <w:szCs w:val="24"/>
          <w:rtl/>
        </w:rPr>
        <w:t>וכל</w:t>
      </w:r>
      <w:r w:rsidRPr="00FD639F">
        <w:rPr>
          <w:sz w:val="24"/>
          <w:szCs w:val="24"/>
          <w:rtl/>
        </w:rPr>
        <w:t xml:space="preserve"> </w:t>
      </w:r>
      <w:r w:rsidRPr="00FD639F">
        <w:rPr>
          <w:rFonts w:hint="cs"/>
          <w:sz w:val="24"/>
          <w:szCs w:val="24"/>
          <w:rtl/>
        </w:rPr>
        <w:t>הצם</w:t>
      </w:r>
      <w:r w:rsidRPr="00FD639F">
        <w:rPr>
          <w:sz w:val="24"/>
          <w:szCs w:val="24"/>
          <w:rtl/>
        </w:rPr>
        <w:t xml:space="preserve"> </w:t>
      </w:r>
      <w:r w:rsidRPr="00FD639F">
        <w:rPr>
          <w:rFonts w:hint="cs"/>
          <w:sz w:val="24"/>
          <w:szCs w:val="24"/>
          <w:rtl/>
        </w:rPr>
        <w:t>בו</w:t>
      </w:r>
      <w:r w:rsidRPr="00FD639F">
        <w:rPr>
          <w:sz w:val="24"/>
          <w:szCs w:val="24"/>
          <w:rtl/>
        </w:rPr>
        <w:t xml:space="preserve"> </w:t>
      </w:r>
      <w:r w:rsidRPr="00FD639F">
        <w:rPr>
          <w:rFonts w:hint="cs"/>
          <w:sz w:val="24"/>
          <w:szCs w:val="24"/>
          <w:rtl/>
        </w:rPr>
        <w:t>קיים</w:t>
      </w:r>
      <w:r w:rsidRPr="00FD639F">
        <w:rPr>
          <w:sz w:val="24"/>
          <w:szCs w:val="24"/>
          <w:rtl/>
        </w:rPr>
        <w:t xml:space="preserve"> </w:t>
      </w:r>
      <w:r w:rsidRPr="00FD639F">
        <w:rPr>
          <w:rFonts w:hint="cs"/>
          <w:sz w:val="24"/>
          <w:szCs w:val="24"/>
          <w:rtl/>
        </w:rPr>
        <w:t>מצות</w:t>
      </w:r>
      <w:r w:rsidRPr="00FD639F">
        <w:rPr>
          <w:sz w:val="24"/>
          <w:szCs w:val="24"/>
          <w:rtl/>
        </w:rPr>
        <w:t xml:space="preserve"> </w:t>
      </w:r>
      <w:r w:rsidRPr="00FD639F">
        <w:rPr>
          <w:rFonts w:hint="cs"/>
          <w:sz w:val="24"/>
          <w:szCs w:val="24"/>
          <w:rtl/>
        </w:rPr>
        <w:t>עשה</w:t>
      </w:r>
      <w:r w:rsidRPr="00FD639F">
        <w:rPr>
          <w:sz w:val="24"/>
          <w:szCs w:val="24"/>
          <w:rtl/>
        </w:rPr>
        <w:t xml:space="preserve">, </w:t>
      </w:r>
      <w:r w:rsidRPr="00FD639F">
        <w:rPr>
          <w:rFonts w:hint="cs"/>
          <w:sz w:val="24"/>
          <w:szCs w:val="24"/>
          <w:rtl/>
        </w:rPr>
        <w:t>וכל</w:t>
      </w:r>
      <w:r w:rsidRPr="00FD639F">
        <w:rPr>
          <w:sz w:val="24"/>
          <w:szCs w:val="24"/>
          <w:rtl/>
        </w:rPr>
        <w:t xml:space="preserve"> </w:t>
      </w:r>
      <w:r w:rsidRPr="00FD639F">
        <w:rPr>
          <w:rFonts w:hint="cs"/>
          <w:sz w:val="24"/>
          <w:szCs w:val="24"/>
          <w:rtl/>
        </w:rPr>
        <w:t>האוכל</w:t>
      </w:r>
      <w:r w:rsidRPr="00FD639F">
        <w:rPr>
          <w:sz w:val="24"/>
          <w:szCs w:val="24"/>
          <w:rtl/>
        </w:rPr>
        <w:t xml:space="preserve"> </w:t>
      </w:r>
      <w:r w:rsidRPr="00FD639F">
        <w:rPr>
          <w:rFonts w:hint="cs"/>
          <w:sz w:val="24"/>
          <w:szCs w:val="24"/>
          <w:rtl/>
        </w:rPr>
        <w:t>ושותה</w:t>
      </w:r>
      <w:r w:rsidRPr="00FD639F">
        <w:rPr>
          <w:sz w:val="24"/>
          <w:szCs w:val="24"/>
          <w:rtl/>
        </w:rPr>
        <w:t xml:space="preserve"> </w:t>
      </w:r>
      <w:r w:rsidRPr="00FD639F">
        <w:rPr>
          <w:rFonts w:hint="cs"/>
          <w:sz w:val="24"/>
          <w:szCs w:val="24"/>
          <w:rtl/>
        </w:rPr>
        <w:t>בו</w:t>
      </w:r>
      <w:r w:rsidRPr="00FD639F">
        <w:rPr>
          <w:sz w:val="24"/>
          <w:szCs w:val="24"/>
          <w:rtl/>
        </w:rPr>
        <w:t xml:space="preserve"> </w:t>
      </w:r>
      <w:r w:rsidRPr="00FD639F">
        <w:rPr>
          <w:rFonts w:hint="cs"/>
          <w:sz w:val="24"/>
          <w:szCs w:val="24"/>
          <w:rtl/>
        </w:rPr>
        <w:t>ביטל</w:t>
      </w:r>
      <w:r w:rsidRPr="00FD639F">
        <w:rPr>
          <w:sz w:val="24"/>
          <w:szCs w:val="24"/>
          <w:rtl/>
        </w:rPr>
        <w:t xml:space="preserve"> </w:t>
      </w:r>
      <w:r w:rsidRPr="00FD639F">
        <w:rPr>
          <w:rFonts w:hint="cs"/>
          <w:sz w:val="24"/>
          <w:szCs w:val="24"/>
          <w:rtl/>
        </w:rPr>
        <w:t>מצות</w:t>
      </w:r>
      <w:r w:rsidRPr="00FD639F">
        <w:rPr>
          <w:sz w:val="24"/>
          <w:szCs w:val="24"/>
          <w:rtl/>
        </w:rPr>
        <w:t xml:space="preserve"> </w:t>
      </w:r>
      <w:r w:rsidRPr="00FD639F">
        <w:rPr>
          <w:rFonts w:hint="cs"/>
          <w:sz w:val="24"/>
          <w:szCs w:val="24"/>
          <w:rtl/>
        </w:rPr>
        <w:t>עשה</w:t>
      </w:r>
      <w:r w:rsidRPr="00FD639F">
        <w:rPr>
          <w:sz w:val="24"/>
          <w:szCs w:val="24"/>
          <w:rtl/>
        </w:rPr>
        <w:t xml:space="preserve"> </w:t>
      </w:r>
      <w:r w:rsidRPr="00FD639F">
        <w:rPr>
          <w:rFonts w:hint="cs"/>
          <w:sz w:val="24"/>
          <w:szCs w:val="24"/>
          <w:rtl/>
        </w:rPr>
        <w:t>ועבר</w:t>
      </w:r>
      <w:r w:rsidRPr="00FD639F">
        <w:rPr>
          <w:sz w:val="24"/>
          <w:szCs w:val="24"/>
          <w:rtl/>
        </w:rPr>
        <w:t xml:space="preserve"> </w:t>
      </w:r>
      <w:r w:rsidRPr="00FD639F">
        <w:rPr>
          <w:rFonts w:hint="cs"/>
          <w:sz w:val="24"/>
          <w:szCs w:val="24"/>
          <w:rtl/>
        </w:rPr>
        <w:t>על</w:t>
      </w:r>
      <w:r w:rsidRPr="00FD639F">
        <w:rPr>
          <w:sz w:val="24"/>
          <w:szCs w:val="24"/>
          <w:rtl/>
        </w:rPr>
        <w:t xml:space="preserve"> </w:t>
      </w:r>
      <w:r w:rsidRPr="00FD639F">
        <w:rPr>
          <w:rFonts w:hint="cs"/>
          <w:sz w:val="24"/>
          <w:szCs w:val="24"/>
          <w:rtl/>
        </w:rPr>
        <w:t>לא</w:t>
      </w:r>
      <w:r w:rsidRPr="00FD639F">
        <w:rPr>
          <w:sz w:val="24"/>
          <w:szCs w:val="24"/>
          <w:rtl/>
        </w:rPr>
        <w:t xml:space="preserve"> </w:t>
      </w:r>
      <w:r w:rsidRPr="00FD639F">
        <w:rPr>
          <w:rFonts w:hint="cs"/>
          <w:sz w:val="24"/>
          <w:szCs w:val="24"/>
          <w:rtl/>
        </w:rPr>
        <w:t>תעשה</w:t>
      </w:r>
      <w:r w:rsidRPr="00FD639F">
        <w:rPr>
          <w:sz w:val="24"/>
          <w:szCs w:val="24"/>
          <w:rtl/>
        </w:rPr>
        <w:t xml:space="preserve"> </w:t>
      </w:r>
      <w:r w:rsidRPr="00FD639F">
        <w:rPr>
          <w:rFonts w:hint="cs"/>
          <w:sz w:val="24"/>
          <w:szCs w:val="24"/>
          <w:rtl/>
        </w:rPr>
        <w:t>שנאמר</w:t>
      </w:r>
      <w:r w:rsidRPr="00FD639F">
        <w:rPr>
          <w:sz w:val="24"/>
          <w:szCs w:val="24"/>
          <w:rtl/>
        </w:rPr>
        <w:t xml:space="preserve"> </w:t>
      </w:r>
      <w:r>
        <w:rPr>
          <w:rFonts w:hint="cs"/>
          <w:sz w:val="24"/>
          <w:szCs w:val="24"/>
          <w:rtl/>
        </w:rPr>
        <w:t>'</w:t>
      </w:r>
      <w:r w:rsidRPr="00FD639F">
        <w:rPr>
          <w:rFonts w:hint="cs"/>
          <w:sz w:val="24"/>
          <w:szCs w:val="24"/>
          <w:rtl/>
        </w:rPr>
        <w:t>כי</w:t>
      </w:r>
      <w:r w:rsidRPr="00FD639F">
        <w:rPr>
          <w:sz w:val="24"/>
          <w:szCs w:val="24"/>
          <w:rtl/>
        </w:rPr>
        <w:t xml:space="preserve"> </w:t>
      </w:r>
      <w:r w:rsidRPr="00FD639F">
        <w:rPr>
          <w:rFonts w:hint="cs"/>
          <w:sz w:val="24"/>
          <w:szCs w:val="24"/>
          <w:rtl/>
        </w:rPr>
        <w:t>כל</w:t>
      </w:r>
      <w:r w:rsidRPr="00FD639F">
        <w:rPr>
          <w:sz w:val="24"/>
          <w:szCs w:val="24"/>
          <w:rtl/>
        </w:rPr>
        <w:t xml:space="preserve"> </w:t>
      </w:r>
      <w:r w:rsidRPr="00FD639F">
        <w:rPr>
          <w:rFonts w:hint="cs"/>
          <w:sz w:val="24"/>
          <w:szCs w:val="24"/>
          <w:rtl/>
        </w:rPr>
        <w:t>הנפש</w:t>
      </w:r>
      <w:r w:rsidRPr="00FD639F">
        <w:rPr>
          <w:sz w:val="24"/>
          <w:szCs w:val="24"/>
          <w:rtl/>
        </w:rPr>
        <w:t xml:space="preserve"> </w:t>
      </w:r>
      <w:r w:rsidRPr="00FD639F">
        <w:rPr>
          <w:rFonts w:hint="cs"/>
          <w:sz w:val="24"/>
          <w:szCs w:val="24"/>
          <w:rtl/>
        </w:rPr>
        <w:t>אשר</w:t>
      </w:r>
      <w:r w:rsidRPr="00FD639F">
        <w:rPr>
          <w:sz w:val="24"/>
          <w:szCs w:val="24"/>
          <w:rtl/>
        </w:rPr>
        <w:t xml:space="preserve"> </w:t>
      </w:r>
      <w:r w:rsidRPr="00FD639F">
        <w:rPr>
          <w:rFonts w:hint="cs"/>
          <w:sz w:val="24"/>
          <w:szCs w:val="24"/>
          <w:rtl/>
        </w:rPr>
        <w:t>לא</w:t>
      </w:r>
      <w:r w:rsidRPr="00FD639F">
        <w:rPr>
          <w:sz w:val="24"/>
          <w:szCs w:val="24"/>
          <w:rtl/>
        </w:rPr>
        <w:t xml:space="preserve"> </w:t>
      </w:r>
      <w:r w:rsidRPr="00FD639F">
        <w:rPr>
          <w:rFonts w:hint="cs"/>
          <w:sz w:val="24"/>
          <w:szCs w:val="24"/>
          <w:rtl/>
        </w:rPr>
        <w:t>תענה</w:t>
      </w:r>
      <w:r w:rsidRPr="00FD639F">
        <w:rPr>
          <w:sz w:val="24"/>
          <w:szCs w:val="24"/>
          <w:rtl/>
        </w:rPr>
        <w:t xml:space="preserve"> </w:t>
      </w:r>
      <w:r w:rsidRPr="00FD639F">
        <w:rPr>
          <w:rFonts w:hint="cs"/>
          <w:sz w:val="24"/>
          <w:szCs w:val="24"/>
          <w:rtl/>
        </w:rPr>
        <w:t>בעצם</w:t>
      </w:r>
      <w:r w:rsidRPr="00FD639F">
        <w:rPr>
          <w:sz w:val="24"/>
          <w:szCs w:val="24"/>
          <w:rtl/>
        </w:rPr>
        <w:t xml:space="preserve"> </w:t>
      </w:r>
      <w:r w:rsidRPr="00FD639F">
        <w:rPr>
          <w:rFonts w:hint="cs"/>
          <w:sz w:val="24"/>
          <w:szCs w:val="24"/>
          <w:rtl/>
        </w:rPr>
        <w:t>היום</w:t>
      </w:r>
      <w:r w:rsidRPr="00FD639F">
        <w:rPr>
          <w:sz w:val="24"/>
          <w:szCs w:val="24"/>
          <w:rtl/>
        </w:rPr>
        <w:t xml:space="preserve"> </w:t>
      </w:r>
      <w:r w:rsidRPr="00FD639F">
        <w:rPr>
          <w:rFonts w:hint="cs"/>
          <w:sz w:val="24"/>
          <w:szCs w:val="24"/>
          <w:rtl/>
        </w:rPr>
        <w:t>הזה</w:t>
      </w:r>
      <w:r w:rsidRPr="00FD639F">
        <w:rPr>
          <w:sz w:val="24"/>
          <w:szCs w:val="24"/>
          <w:rtl/>
        </w:rPr>
        <w:t xml:space="preserve"> </w:t>
      </w:r>
      <w:r w:rsidRPr="00FD639F">
        <w:rPr>
          <w:rFonts w:hint="cs"/>
          <w:sz w:val="24"/>
          <w:szCs w:val="24"/>
          <w:rtl/>
        </w:rPr>
        <w:t>ונכרתה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[הל' שביתת עשור פ"א ה"ד]</w:t>
      </w:r>
    </w:p>
    <w:p w:rsidR="0010620B" w:rsidRPr="00FD639F" w:rsidRDefault="0010620B" w:rsidP="0010620B">
      <w:pPr>
        <w:spacing w:before="200" w:line="276" w:lineRule="exact"/>
        <w:ind w:firstLine="227"/>
        <w:rPr>
          <w:sz w:val="24"/>
          <w:szCs w:val="24"/>
          <w:rtl/>
        </w:rPr>
      </w:pPr>
      <w:r>
        <w:rPr>
          <w:rFonts w:hint="cs"/>
          <w:sz w:val="24"/>
          <w:szCs w:val="24"/>
          <w:rtl/>
        </w:rPr>
        <w:lastRenderedPageBreak/>
        <w:t>עם זאת, בהלכה הבאה הרמב"ם מציין שלמדנו 'מפי שמועה' על שאר האיסורים, והם נדרשים מהכתוב "שבתון":</w:t>
      </w:r>
    </w:p>
    <w:p w:rsidR="0010620B" w:rsidRPr="00AA39A3" w:rsidRDefault="0010620B" w:rsidP="0010620B">
      <w:pPr>
        <w:spacing w:before="200" w:line="276" w:lineRule="exact"/>
        <w:ind w:left="720"/>
        <w:rPr>
          <w:sz w:val="20"/>
          <w:szCs w:val="20"/>
          <w:rtl/>
        </w:rPr>
      </w:pPr>
      <w:r w:rsidRPr="00FD639F">
        <w:rPr>
          <w:rFonts w:hint="cs"/>
          <w:sz w:val="24"/>
          <w:szCs w:val="24"/>
          <w:rtl/>
        </w:rPr>
        <w:t>וכן</w:t>
      </w:r>
      <w:r w:rsidRPr="00FD639F">
        <w:rPr>
          <w:sz w:val="24"/>
          <w:szCs w:val="24"/>
          <w:rtl/>
        </w:rPr>
        <w:t xml:space="preserve"> </w:t>
      </w:r>
      <w:r w:rsidRPr="00FD639F">
        <w:rPr>
          <w:rFonts w:hint="cs"/>
          <w:sz w:val="24"/>
          <w:szCs w:val="24"/>
          <w:rtl/>
        </w:rPr>
        <w:t>למדנו</w:t>
      </w:r>
      <w:r w:rsidRPr="00FD639F">
        <w:rPr>
          <w:sz w:val="24"/>
          <w:szCs w:val="24"/>
          <w:rtl/>
        </w:rPr>
        <w:t xml:space="preserve"> </w:t>
      </w:r>
      <w:r w:rsidRPr="00FD639F">
        <w:rPr>
          <w:rFonts w:hint="cs"/>
          <w:sz w:val="24"/>
          <w:szCs w:val="24"/>
          <w:rtl/>
        </w:rPr>
        <w:t>מפי</w:t>
      </w:r>
      <w:r w:rsidRPr="00FD639F">
        <w:rPr>
          <w:sz w:val="24"/>
          <w:szCs w:val="24"/>
          <w:rtl/>
        </w:rPr>
        <w:t xml:space="preserve"> </w:t>
      </w:r>
      <w:r w:rsidRPr="00FD639F">
        <w:rPr>
          <w:rFonts w:hint="cs"/>
          <w:sz w:val="24"/>
          <w:szCs w:val="24"/>
          <w:rtl/>
        </w:rPr>
        <w:t>השמועה</w:t>
      </w:r>
      <w:r w:rsidRPr="00FD639F">
        <w:rPr>
          <w:sz w:val="24"/>
          <w:szCs w:val="24"/>
          <w:rtl/>
        </w:rPr>
        <w:t xml:space="preserve"> </w:t>
      </w:r>
      <w:r w:rsidRPr="00FD639F">
        <w:rPr>
          <w:rFonts w:hint="cs"/>
          <w:sz w:val="24"/>
          <w:szCs w:val="24"/>
          <w:rtl/>
        </w:rPr>
        <w:t>שאסור</w:t>
      </w:r>
      <w:r w:rsidRPr="00FD639F">
        <w:rPr>
          <w:sz w:val="24"/>
          <w:szCs w:val="24"/>
          <w:rtl/>
        </w:rPr>
        <w:t xml:space="preserve"> </w:t>
      </w:r>
      <w:r w:rsidRPr="00FD639F">
        <w:rPr>
          <w:rFonts w:hint="cs"/>
          <w:sz w:val="24"/>
          <w:szCs w:val="24"/>
          <w:rtl/>
        </w:rPr>
        <w:t>לרחוץ</w:t>
      </w:r>
      <w:r w:rsidRPr="00FD639F">
        <w:rPr>
          <w:sz w:val="24"/>
          <w:szCs w:val="24"/>
          <w:rtl/>
        </w:rPr>
        <w:t xml:space="preserve"> </w:t>
      </w:r>
      <w:r w:rsidRPr="00FD639F">
        <w:rPr>
          <w:rFonts w:hint="cs"/>
          <w:sz w:val="24"/>
          <w:szCs w:val="24"/>
          <w:rtl/>
        </w:rPr>
        <w:t>בו</w:t>
      </w:r>
      <w:r w:rsidRPr="00FD639F">
        <w:rPr>
          <w:sz w:val="24"/>
          <w:szCs w:val="24"/>
          <w:rtl/>
        </w:rPr>
        <w:t xml:space="preserve"> </w:t>
      </w:r>
      <w:r w:rsidRPr="00FD639F">
        <w:rPr>
          <w:rFonts w:hint="cs"/>
          <w:sz w:val="24"/>
          <w:szCs w:val="24"/>
          <w:rtl/>
        </w:rPr>
        <w:t>או</w:t>
      </w:r>
      <w:r w:rsidRPr="00FD639F">
        <w:rPr>
          <w:sz w:val="24"/>
          <w:szCs w:val="24"/>
          <w:rtl/>
        </w:rPr>
        <w:t xml:space="preserve"> </w:t>
      </w:r>
      <w:r w:rsidRPr="00FD639F">
        <w:rPr>
          <w:rFonts w:hint="cs"/>
          <w:sz w:val="24"/>
          <w:szCs w:val="24"/>
          <w:rtl/>
        </w:rPr>
        <w:t>לסוך</w:t>
      </w:r>
      <w:r w:rsidRPr="00FD639F">
        <w:rPr>
          <w:sz w:val="24"/>
          <w:szCs w:val="24"/>
          <w:rtl/>
        </w:rPr>
        <w:t xml:space="preserve"> </w:t>
      </w:r>
      <w:r w:rsidRPr="00FD639F">
        <w:rPr>
          <w:rFonts w:hint="cs"/>
          <w:sz w:val="24"/>
          <w:szCs w:val="24"/>
          <w:rtl/>
        </w:rPr>
        <w:t>או</w:t>
      </w:r>
      <w:r w:rsidRPr="00FD639F">
        <w:rPr>
          <w:sz w:val="24"/>
          <w:szCs w:val="24"/>
          <w:rtl/>
        </w:rPr>
        <w:t xml:space="preserve"> </w:t>
      </w:r>
      <w:r w:rsidRPr="00FD639F">
        <w:rPr>
          <w:rFonts w:hint="cs"/>
          <w:sz w:val="24"/>
          <w:szCs w:val="24"/>
          <w:rtl/>
        </w:rPr>
        <w:t>לנעול</w:t>
      </w:r>
      <w:r w:rsidRPr="00FD639F">
        <w:rPr>
          <w:sz w:val="24"/>
          <w:szCs w:val="24"/>
          <w:rtl/>
        </w:rPr>
        <w:t xml:space="preserve"> </w:t>
      </w:r>
      <w:r w:rsidRPr="00FD639F">
        <w:rPr>
          <w:rFonts w:hint="cs"/>
          <w:sz w:val="24"/>
          <w:szCs w:val="24"/>
          <w:rtl/>
        </w:rPr>
        <w:t>את</w:t>
      </w:r>
      <w:r w:rsidRPr="00FD639F">
        <w:rPr>
          <w:sz w:val="24"/>
          <w:szCs w:val="24"/>
          <w:rtl/>
        </w:rPr>
        <w:t xml:space="preserve"> </w:t>
      </w:r>
      <w:r w:rsidRPr="00FD639F">
        <w:rPr>
          <w:rFonts w:hint="cs"/>
          <w:sz w:val="24"/>
          <w:szCs w:val="24"/>
          <w:rtl/>
        </w:rPr>
        <w:t>הסנדל</w:t>
      </w:r>
      <w:r w:rsidRPr="00FD639F">
        <w:rPr>
          <w:sz w:val="24"/>
          <w:szCs w:val="24"/>
          <w:rtl/>
        </w:rPr>
        <w:t xml:space="preserve"> </w:t>
      </w:r>
      <w:r w:rsidRPr="00FD639F">
        <w:rPr>
          <w:rFonts w:hint="cs"/>
          <w:sz w:val="24"/>
          <w:szCs w:val="24"/>
          <w:rtl/>
        </w:rPr>
        <w:t>או</w:t>
      </w:r>
      <w:r w:rsidRPr="00FD639F">
        <w:rPr>
          <w:sz w:val="24"/>
          <w:szCs w:val="24"/>
          <w:rtl/>
        </w:rPr>
        <w:t xml:space="preserve"> </w:t>
      </w:r>
      <w:r w:rsidRPr="00FD639F">
        <w:rPr>
          <w:rFonts w:hint="cs"/>
          <w:sz w:val="24"/>
          <w:szCs w:val="24"/>
          <w:rtl/>
        </w:rPr>
        <w:t>לבעול</w:t>
      </w:r>
      <w:r w:rsidRPr="00FD639F">
        <w:rPr>
          <w:sz w:val="24"/>
          <w:szCs w:val="24"/>
          <w:rtl/>
        </w:rPr>
        <w:t xml:space="preserve">, </w:t>
      </w:r>
      <w:r w:rsidRPr="00FD639F">
        <w:rPr>
          <w:rFonts w:hint="cs"/>
          <w:sz w:val="24"/>
          <w:szCs w:val="24"/>
          <w:rtl/>
        </w:rPr>
        <w:t>ומצוה</w:t>
      </w:r>
      <w:r w:rsidRPr="00FD639F">
        <w:rPr>
          <w:sz w:val="24"/>
          <w:szCs w:val="24"/>
          <w:rtl/>
        </w:rPr>
        <w:t xml:space="preserve"> </w:t>
      </w:r>
      <w:r w:rsidRPr="00FD639F">
        <w:rPr>
          <w:rFonts w:hint="cs"/>
          <w:sz w:val="24"/>
          <w:szCs w:val="24"/>
          <w:rtl/>
        </w:rPr>
        <w:t>לשבות</w:t>
      </w:r>
      <w:r w:rsidRPr="00FD639F">
        <w:rPr>
          <w:sz w:val="24"/>
          <w:szCs w:val="24"/>
          <w:rtl/>
        </w:rPr>
        <w:t xml:space="preserve"> </w:t>
      </w:r>
      <w:r w:rsidRPr="00FD639F">
        <w:rPr>
          <w:rFonts w:hint="cs"/>
          <w:sz w:val="24"/>
          <w:szCs w:val="24"/>
          <w:rtl/>
        </w:rPr>
        <w:t>מכל</w:t>
      </w:r>
      <w:r w:rsidRPr="00FD639F">
        <w:rPr>
          <w:sz w:val="24"/>
          <w:szCs w:val="24"/>
          <w:rtl/>
        </w:rPr>
        <w:t xml:space="preserve"> </w:t>
      </w:r>
      <w:r w:rsidRPr="00FD639F">
        <w:rPr>
          <w:rFonts w:hint="cs"/>
          <w:sz w:val="24"/>
          <w:szCs w:val="24"/>
          <w:rtl/>
        </w:rPr>
        <w:t>אלו</w:t>
      </w:r>
      <w:r w:rsidRPr="00FD639F">
        <w:rPr>
          <w:sz w:val="24"/>
          <w:szCs w:val="24"/>
          <w:rtl/>
        </w:rPr>
        <w:t xml:space="preserve"> </w:t>
      </w:r>
      <w:r w:rsidRPr="00FD639F">
        <w:rPr>
          <w:rFonts w:hint="cs"/>
          <w:sz w:val="24"/>
          <w:szCs w:val="24"/>
          <w:rtl/>
        </w:rPr>
        <w:t>כדרך</w:t>
      </w:r>
      <w:r w:rsidRPr="00FD639F">
        <w:rPr>
          <w:sz w:val="24"/>
          <w:szCs w:val="24"/>
          <w:rtl/>
        </w:rPr>
        <w:t xml:space="preserve"> </w:t>
      </w:r>
      <w:r w:rsidRPr="00FD639F">
        <w:rPr>
          <w:rFonts w:hint="cs"/>
          <w:sz w:val="24"/>
          <w:szCs w:val="24"/>
          <w:rtl/>
        </w:rPr>
        <w:t>ששובת</w:t>
      </w:r>
      <w:r w:rsidRPr="00FD639F">
        <w:rPr>
          <w:sz w:val="24"/>
          <w:szCs w:val="24"/>
          <w:rtl/>
        </w:rPr>
        <w:t xml:space="preserve"> </w:t>
      </w:r>
      <w:r w:rsidRPr="00FD639F">
        <w:rPr>
          <w:rFonts w:hint="cs"/>
          <w:sz w:val="24"/>
          <w:szCs w:val="24"/>
          <w:rtl/>
        </w:rPr>
        <w:t>מאכילה</w:t>
      </w:r>
      <w:r w:rsidRPr="00FD639F">
        <w:rPr>
          <w:sz w:val="24"/>
          <w:szCs w:val="24"/>
          <w:rtl/>
        </w:rPr>
        <w:t xml:space="preserve"> </w:t>
      </w:r>
      <w:r w:rsidRPr="00FD639F">
        <w:rPr>
          <w:rFonts w:hint="cs"/>
          <w:sz w:val="24"/>
          <w:szCs w:val="24"/>
          <w:rtl/>
        </w:rPr>
        <w:t>ושתייה,</w:t>
      </w:r>
      <w:r w:rsidRPr="00FD639F">
        <w:rPr>
          <w:sz w:val="24"/>
          <w:szCs w:val="24"/>
          <w:rtl/>
        </w:rPr>
        <w:t xml:space="preserve"> </w:t>
      </w:r>
      <w:r w:rsidRPr="00FD639F">
        <w:rPr>
          <w:rFonts w:hint="cs"/>
          <w:sz w:val="24"/>
          <w:szCs w:val="24"/>
          <w:rtl/>
        </w:rPr>
        <w:t>שנאמר</w:t>
      </w:r>
      <w:r w:rsidRPr="00FD639F">
        <w:rPr>
          <w:sz w:val="24"/>
          <w:szCs w:val="24"/>
          <w:rtl/>
        </w:rPr>
        <w:t xml:space="preserve"> </w:t>
      </w:r>
      <w:r>
        <w:rPr>
          <w:rFonts w:hint="cs"/>
          <w:sz w:val="24"/>
          <w:szCs w:val="24"/>
          <w:rtl/>
        </w:rPr>
        <w:t>'</w:t>
      </w:r>
      <w:r w:rsidRPr="00FD639F">
        <w:rPr>
          <w:rFonts w:hint="cs"/>
          <w:sz w:val="24"/>
          <w:szCs w:val="24"/>
          <w:rtl/>
        </w:rPr>
        <w:t>שבת</w:t>
      </w:r>
      <w:r w:rsidRPr="00FD639F">
        <w:rPr>
          <w:sz w:val="24"/>
          <w:szCs w:val="24"/>
          <w:rtl/>
        </w:rPr>
        <w:t xml:space="preserve"> </w:t>
      </w:r>
      <w:r w:rsidRPr="00FD639F">
        <w:rPr>
          <w:rFonts w:hint="cs"/>
          <w:sz w:val="24"/>
          <w:szCs w:val="24"/>
          <w:rtl/>
        </w:rPr>
        <w:t>שבתון</w:t>
      </w:r>
      <w:r>
        <w:rPr>
          <w:rFonts w:hint="cs"/>
          <w:sz w:val="24"/>
          <w:szCs w:val="24"/>
          <w:rtl/>
        </w:rPr>
        <w:t xml:space="preserve">' </w:t>
      </w:r>
      <w:r>
        <w:rPr>
          <w:sz w:val="24"/>
          <w:szCs w:val="24"/>
          <w:rtl/>
        </w:rPr>
        <w:t>–</w:t>
      </w:r>
      <w:r w:rsidRPr="00FD639F">
        <w:rPr>
          <w:sz w:val="24"/>
          <w:szCs w:val="24"/>
          <w:rtl/>
        </w:rPr>
        <w:t xml:space="preserve"> </w:t>
      </w:r>
      <w:r w:rsidRPr="00FD639F">
        <w:rPr>
          <w:rFonts w:hint="cs"/>
          <w:sz w:val="24"/>
          <w:szCs w:val="24"/>
          <w:rtl/>
        </w:rPr>
        <w:t>שבת</w:t>
      </w:r>
      <w:r w:rsidRPr="00FD639F">
        <w:rPr>
          <w:sz w:val="24"/>
          <w:szCs w:val="24"/>
          <w:rtl/>
        </w:rPr>
        <w:t xml:space="preserve"> </w:t>
      </w:r>
      <w:r w:rsidRPr="00FD639F">
        <w:rPr>
          <w:rFonts w:hint="cs"/>
          <w:sz w:val="24"/>
          <w:szCs w:val="24"/>
          <w:rtl/>
        </w:rPr>
        <w:t>לענין</w:t>
      </w:r>
      <w:r w:rsidRPr="00FD639F">
        <w:rPr>
          <w:sz w:val="24"/>
          <w:szCs w:val="24"/>
          <w:rtl/>
        </w:rPr>
        <w:t xml:space="preserve"> </w:t>
      </w:r>
      <w:r w:rsidRPr="00FD639F">
        <w:rPr>
          <w:rFonts w:hint="cs"/>
          <w:sz w:val="24"/>
          <w:szCs w:val="24"/>
          <w:rtl/>
        </w:rPr>
        <w:t>אכילה</w:t>
      </w:r>
      <w:r w:rsidRPr="00FD639F">
        <w:rPr>
          <w:sz w:val="24"/>
          <w:szCs w:val="24"/>
          <w:rtl/>
        </w:rPr>
        <w:t xml:space="preserve"> </w:t>
      </w:r>
      <w:r w:rsidRPr="00FD639F">
        <w:rPr>
          <w:rFonts w:hint="cs"/>
          <w:sz w:val="24"/>
          <w:szCs w:val="24"/>
          <w:rtl/>
        </w:rPr>
        <w:t>ושבתון</w:t>
      </w:r>
      <w:r w:rsidRPr="00FD639F">
        <w:rPr>
          <w:sz w:val="24"/>
          <w:szCs w:val="24"/>
          <w:rtl/>
        </w:rPr>
        <w:t xml:space="preserve"> </w:t>
      </w:r>
      <w:r w:rsidRPr="00FD639F">
        <w:rPr>
          <w:rFonts w:hint="cs"/>
          <w:sz w:val="24"/>
          <w:szCs w:val="24"/>
          <w:rtl/>
        </w:rPr>
        <w:t>לענינים</w:t>
      </w:r>
      <w:r w:rsidRPr="00FD639F">
        <w:rPr>
          <w:sz w:val="24"/>
          <w:szCs w:val="24"/>
          <w:rtl/>
        </w:rPr>
        <w:t xml:space="preserve"> </w:t>
      </w:r>
      <w:r w:rsidRPr="00FD639F">
        <w:rPr>
          <w:rFonts w:hint="cs"/>
          <w:sz w:val="24"/>
          <w:szCs w:val="24"/>
          <w:rtl/>
        </w:rPr>
        <w:t>אלו</w:t>
      </w:r>
      <w:r>
        <w:rPr>
          <w:rFonts w:hint="cs"/>
          <w:sz w:val="24"/>
          <w:szCs w:val="24"/>
          <w:rtl/>
        </w:rPr>
        <w:t>.</w:t>
      </w:r>
      <w:r w:rsidRPr="00FD639F">
        <w:rPr>
          <w:sz w:val="24"/>
          <w:szCs w:val="24"/>
          <w:rtl/>
        </w:rPr>
        <w:t xml:space="preserve"> </w:t>
      </w:r>
      <w:r w:rsidRPr="00FD639F">
        <w:rPr>
          <w:rFonts w:hint="cs"/>
          <w:sz w:val="24"/>
          <w:szCs w:val="24"/>
          <w:rtl/>
        </w:rPr>
        <w:t>ואין</w:t>
      </w:r>
      <w:r w:rsidRPr="00FD639F">
        <w:rPr>
          <w:sz w:val="24"/>
          <w:szCs w:val="24"/>
          <w:rtl/>
        </w:rPr>
        <w:t xml:space="preserve"> </w:t>
      </w:r>
      <w:r w:rsidRPr="00FD639F">
        <w:rPr>
          <w:rFonts w:hint="cs"/>
          <w:sz w:val="24"/>
          <w:szCs w:val="24"/>
          <w:rtl/>
        </w:rPr>
        <w:t>חייבין</w:t>
      </w:r>
      <w:r w:rsidRPr="00FD639F">
        <w:rPr>
          <w:sz w:val="24"/>
          <w:szCs w:val="24"/>
          <w:rtl/>
        </w:rPr>
        <w:t xml:space="preserve"> </w:t>
      </w:r>
      <w:r w:rsidRPr="00FD639F">
        <w:rPr>
          <w:rFonts w:hint="cs"/>
          <w:sz w:val="24"/>
          <w:szCs w:val="24"/>
          <w:rtl/>
        </w:rPr>
        <w:t>כרת</w:t>
      </w:r>
      <w:r w:rsidRPr="00FD639F">
        <w:rPr>
          <w:sz w:val="24"/>
          <w:szCs w:val="24"/>
          <w:rtl/>
        </w:rPr>
        <w:t xml:space="preserve"> </w:t>
      </w:r>
      <w:r w:rsidRPr="00FD639F">
        <w:rPr>
          <w:rFonts w:hint="cs"/>
          <w:sz w:val="24"/>
          <w:szCs w:val="24"/>
          <w:rtl/>
        </w:rPr>
        <w:t>או</w:t>
      </w:r>
      <w:r w:rsidRPr="00FD639F">
        <w:rPr>
          <w:sz w:val="24"/>
          <w:szCs w:val="24"/>
          <w:rtl/>
        </w:rPr>
        <w:t xml:space="preserve"> </w:t>
      </w:r>
      <w:r w:rsidRPr="00FD639F">
        <w:rPr>
          <w:rFonts w:hint="cs"/>
          <w:sz w:val="24"/>
          <w:szCs w:val="24"/>
          <w:rtl/>
        </w:rPr>
        <w:t>קרבן</w:t>
      </w:r>
      <w:r w:rsidRPr="00FD639F">
        <w:rPr>
          <w:sz w:val="24"/>
          <w:szCs w:val="24"/>
          <w:rtl/>
        </w:rPr>
        <w:t xml:space="preserve"> </w:t>
      </w:r>
      <w:r w:rsidRPr="00FD639F">
        <w:rPr>
          <w:rFonts w:hint="cs"/>
          <w:sz w:val="24"/>
          <w:szCs w:val="24"/>
          <w:rtl/>
        </w:rPr>
        <w:t>אלא</w:t>
      </w:r>
      <w:r w:rsidRPr="00FD639F">
        <w:rPr>
          <w:sz w:val="24"/>
          <w:szCs w:val="24"/>
          <w:rtl/>
        </w:rPr>
        <w:t xml:space="preserve"> </w:t>
      </w:r>
      <w:r w:rsidRPr="00FD639F">
        <w:rPr>
          <w:rFonts w:hint="cs"/>
          <w:sz w:val="24"/>
          <w:szCs w:val="24"/>
          <w:rtl/>
        </w:rPr>
        <w:t>על</w:t>
      </w:r>
      <w:r w:rsidRPr="00FD639F">
        <w:rPr>
          <w:sz w:val="24"/>
          <w:szCs w:val="24"/>
          <w:rtl/>
        </w:rPr>
        <w:t xml:space="preserve"> </w:t>
      </w:r>
      <w:r w:rsidRPr="00FD639F">
        <w:rPr>
          <w:rFonts w:hint="cs"/>
          <w:sz w:val="24"/>
          <w:szCs w:val="24"/>
          <w:rtl/>
        </w:rPr>
        <w:t>אכילה</w:t>
      </w:r>
      <w:r w:rsidRPr="00FD639F">
        <w:rPr>
          <w:sz w:val="24"/>
          <w:szCs w:val="24"/>
          <w:rtl/>
        </w:rPr>
        <w:t xml:space="preserve"> </w:t>
      </w:r>
      <w:r w:rsidRPr="00FD639F">
        <w:rPr>
          <w:rFonts w:hint="cs"/>
          <w:sz w:val="24"/>
          <w:szCs w:val="24"/>
          <w:rtl/>
        </w:rPr>
        <w:t>ושתייה</w:t>
      </w:r>
      <w:r w:rsidRPr="00FD639F">
        <w:rPr>
          <w:sz w:val="24"/>
          <w:szCs w:val="24"/>
          <w:rtl/>
        </w:rPr>
        <w:t xml:space="preserve"> </w:t>
      </w:r>
      <w:r w:rsidRPr="00FD639F">
        <w:rPr>
          <w:rFonts w:hint="cs"/>
          <w:sz w:val="24"/>
          <w:szCs w:val="24"/>
          <w:rtl/>
        </w:rPr>
        <w:t>בלבד</w:t>
      </w:r>
      <w:r w:rsidRPr="00FD639F">
        <w:rPr>
          <w:sz w:val="24"/>
          <w:szCs w:val="24"/>
          <w:rtl/>
        </w:rPr>
        <w:t xml:space="preserve">, </w:t>
      </w:r>
      <w:r w:rsidRPr="00FD639F">
        <w:rPr>
          <w:rFonts w:hint="cs"/>
          <w:sz w:val="24"/>
          <w:szCs w:val="24"/>
          <w:rtl/>
        </w:rPr>
        <w:t>אבל</w:t>
      </w:r>
      <w:r w:rsidRPr="00FD639F">
        <w:rPr>
          <w:sz w:val="24"/>
          <w:szCs w:val="24"/>
          <w:rtl/>
        </w:rPr>
        <w:t xml:space="preserve"> </w:t>
      </w:r>
      <w:r w:rsidRPr="00FD639F">
        <w:rPr>
          <w:rFonts w:hint="cs"/>
          <w:sz w:val="24"/>
          <w:szCs w:val="24"/>
          <w:rtl/>
        </w:rPr>
        <w:t>אם</w:t>
      </w:r>
      <w:r w:rsidRPr="00FD639F">
        <w:rPr>
          <w:sz w:val="24"/>
          <w:szCs w:val="24"/>
          <w:rtl/>
        </w:rPr>
        <w:t xml:space="preserve"> </w:t>
      </w:r>
      <w:r w:rsidRPr="00FD639F">
        <w:rPr>
          <w:rFonts w:hint="cs"/>
          <w:sz w:val="24"/>
          <w:szCs w:val="24"/>
          <w:rtl/>
        </w:rPr>
        <w:t>רחץ</w:t>
      </w:r>
      <w:r w:rsidRPr="00FD639F">
        <w:rPr>
          <w:sz w:val="24"/>
          <w:szCs w:val="24"/>
          <w:rtl/>
        </w:rPr>
        <w:t xml:space="preserve"> </w:t>
      </w:r>
      <w:r w:rsidRPr="00FD639F">
        <w:rPr>
          <w:rFonts w:hint="cs"/>
          <w:sz w:val="24"/>
          <w:szCs w:val="24"/>
          <w:rtl/>
        </w:rPr>
        <w:t>או</w:t>
      </w:r>
      <w:r w:rsidRPr="00FD639F">
        <w:rPr>
          <w:sz w:val="24"/>
          <w:szCs w:val="24"/>
          <w:rtl/>
        </w:rPr>
        <w:t xml:space="preserve"> </w:t>
      </w:r>
      <w:r w:rsidRPr="00FD639F">
        <w:rPr>
          <w:rFonts w:hint="cs"/>
          <w:sz w:val="24"/>
          <w:szCs w:val="24"/>
          <w:rtl/>
        </w:rPr>
        <w:t>סך</w:t>
      </w:r>
      <w:r w:rsidRPr="00FD639F">
        <w:rPr>
          <w:sz w:val="24"/>
          <w:szCs w:val="24"/>
          <w:rtl/>
        </w:rPr>
        <w:t xml:space="preserve"> </w:t>
      </w:r>
      <w:r w:rsidRPr="00FD639F">
        <w:rPr>
          <w:rFonts w:hint="cs"/>
          <w:sz w:val="24"/>
          <w:szCs w:val="24"/>
          <w:rtl/>
        </w:rPr>
        <w:t>או</w:t>
      </w:r>
      <w:r w:rsidRPr="00FD639F">
        <w:rPr>
          <w:sz w:val="24"/>
          <w:szCs w:val="24"/>
          <w:rtl/>
        </w:rPr>
        <w:t xml:space="preserve"> </w:t>
      </w:r>
      <w:r w:rsidRPr="00FD639F">
        <w:rPr>
          <w:rFonts w:hint="cs"/>
          <w:sz w:val="24"/>
          <w:szCs w:val="24"/>
          <w:rtl/>
        </w:rPr>
        <w:t>נעל</w:t>
      </w:r>
      <w:r w:rsidRPr="00FD639F">
        <w:rPr>
          <w:sz w:val="24"/>
          <w:szCs w:val="24"/>
          <w:rtl/>
        </w:rPr>
        <w:t xml:space="preserve"> </w:t>
      </w:r>
      <w:r w:rsidRPr="00FD639F">
        <w:rPr>
          <w:rFonts w:hint="cs"/>
          <w:sz w:val="24"/>
          <w:szCs w:val="24"/>
          <w:rtl/>
        </w:rPr>
        <w:t>או</w:t>
      </w:r>
      <w:r w:rsidRPr="00FD639F">
        <w:rPr>
          <w:sz w:val="24"/>
          <w:szCs w:val="24"/>
          <w:rtl/>
        </w:rPr>
        <w:t xml:space="preserve"> </w:t>
      </w:r>
      <w:r w:rsidRPr="00FD639F">
        <w:rPr>
          <w:rFonts w:hint="cs"/>
          <w:sz w:val="24"/>
          <w:szCs w:val="24"/>
          <w:rtl/>
        </w:rPr>
        <w:t>בעל</w:t>
      </w:r>
      <w:r w:rsidRPr="00FD639F">
        <w:rPr>
          <w:sz w:val="24"/>
          <w:szCs w:val="24"/>
          <w:rtl/>
        </w:rPr>
        <w:t xml:space="preserve"> </w:t>
      </w:r>
      <w:r w:rsidRPr="00FD639F">
        <w:rPr>
          <w:rFonts w:hint="cs"/>
          <w:sz w:val="24"/>
          <w:szCs w:val="24"/>
          <w:rtl/>
        </w:rPr>
        <w:t>מכין</w:t>
      </w:r>
      <w:r w:rsidRPr="00FD639F">
        <w:rPr>
          <w:sz w:val="24"/>
          <w:szCs w:val="24"/>
          <w:rtl/>
        </w:rPr>
        <w:t xml:space="preserve"> </w:t>
      </w:r>
      <w:r w:rsidRPr="00FD639F">
        <w:rPr>
          <w:rFonts w:hint="cs"/>
          <w:sz w:val="24"/>
          <w:szCs w:val="24"/>
          <w:rtl/>
        </w:rPr>
        <w:t>אותו</w:t>
      </w:r>
      <w:r w:rsidRPr="00FD639F">
        <w:rPr>
          <w:sz w:val="24"/>
          <w:szCs w:val="24"/>
          <w:rtl/>
        </w:rPr>
        <w:t xml:space="preserve"> </w:t>
      </w:r>
      <w:r w:rsidRPr="00FD639F">
        <w:rPr>
          <w:rFonts w:hint="cs"/>
          <w:sz w:val="24"/>
          <w:szCs w:val="24"/>
          <w:rtl/>
        </w:rPr>
        <w:t>מכת</w:t>
      </w:r>
      <w:r w:rsidRPr="00FD639F">
        <w:rPr>
          <w:sz w:val="24"/>
          <w:szCs w:val="24"/>
          <w:rtl/>
        </w:rPr>
        <w:t xml:space="preserve"> </w:t>
      </w:r>
      <w:r w:rsidRPr="00FD639F">
        <w:rPr>
          <w:rFonts w:hint="cs"/>
          <w:sz w:val="24"/>
          <w:szCs w:val="24"/>
          <w:rtl/>
        </w:rPr>
        <w:t>מרדות</w:t>
      </w:r>
      <w:r w:rsidRPr="00FD639F">
        <w:rPr>
          <w:sz w:val="24"/>
          <w:szCs w:val="24"/>
          <w:rtl/>
        </w:rPr>
        <w:t>.</w:t>
      </w:r>
      <w:r>
        <w:rPr>
          <w:sz w:val="24"/>
          <w:szCs w:val="24"/>
          <w:rtl/>
        </w:rPr>
        <w:tab/>
      </w:r>
      <w:r>
        <w:rPr>
          <w:sz w:val="24"/>
          <w:szCs w:val="24"/>
          <w:rtl/>
        </w:rPr>
        <w:tab/>
      </w:r>
      <w:r>
        <w:rPr>
          <w:sz w:val="24"/>
          <w:szCs w:val="24"/>
          <w:rtl/>
        </w:rPr>
        <w:tab/>
      </w:r>
      <w:r>
        <w:rPr>
          <w:rFonts w:hint="cs"/>
          <w:sz w:val="24"/>
          <w:szCs w:val="24"/>
          <w:rtl/>
        </w:rPr>
        <w:t xml:space="preserve">      </w:t>
      </w:r>
      <w:r>
        <w:rPr>
          <w:sz w:val="24"/>
          <w:szCs w:val="24"/>
          <w:rtl/>
        </w:rPr>
        <w:tab/>
      </w:r>
      <w:r w:rsidR="00782FFD">
        <w:rPr>
          <w:rFonts w:hint="cs"/>
          <w:sz w:val="24"/>
          <w:szCs w:val="24"/>
          <w:rtl/>
        </w:rPr>
        <w:t xml:space="preserve">  </w:t>
      </w:r>
      <w:r>
        <w:rPr>
          <w:rFonts w:hint="cs"/>
          <w:sz w:val="24"/>
          <w:szCs w:val="24"/>
          <w:rtl/>
        </w:rPr>
        <w:t xml:space="preserve"> </w:t>
      </w:r>
      <w:r>
        <w:rPr>
          <w:rFonts w:hint="cs"/>
          <w:sz w:val="20"/>
          <w:szCs w:val="20"/>
          <w:rtl/>
        </w:rPr>
        <w:t>[שם, ה"ה]</w:t>
      </w:r>
      <w:r w:rsidRPr="00FD639F">
        <w:rPr>
          <w:sz w:val="24"/>
          <w:szCs w:val="24"/>
          <w:vertAlign w:val="superscript"/>
          <w:rtl/>
        </w:rPr>
        <w:footnoteReference w:id="201"/>
      </w:r>
    </w:p>
    <w:p w:rsidR="0010620B" w:rsidRDefault="0010620B" w:rsidP="0010620B">
      <w:pPr>
        <w:spacing w:before="200" w:line="276" w:lineRule="exact"/>
        <w:ind w:firstLine="227"/>
        <w:rPr>
          <w:sz w:val="24"/>
          <w:szCs w:val="24"/>
          <w:rtl/>
        </w:rPr>
      </w:pPr>
      <w:r>
        <w:rPr>
          <w:rFonts w:hint="cs"/>
          <w:sz w:val="24"/>
          <w:szCs w:val="24"/>
          <w:rtl/>
        </w:rPr>
        <w:t>לפי שיטת הרמב"ם, תמיהתנו דלעיל, על החילוק בין אכילה ושתייה לשאר האיסורים, מיושבת באופן פשוט. לדבריו, תוקף כל חמשת האיסורים הוא מן התורה, אך מקורם שונה: אכילה ושתייה נחשבים כעינוי, ולכן עליהם יש כרת; שאר האיסורים, לעומת זאת, הם הלכה 'מפי השמועה' הנדרשת מהכתוב "שבתון"</w:t>
      </w:r>
      <w:r>
        <w:rPr>
          <w:rStyle w:val="a7"/>
          <w:sz w:val="24"/>
          <w:szCs w:val="24"/>
          <w:rtl/>
        </w:rPr>
        <w:footnoteReference w:id="202"/>
      </w:r>
      <w:r>
        <w:rPr>
          <w:rFonts w:hint="cs"/>
          <w:sz w:val="24"/>
          <w:szCs w:val="24"/>
          <w:rtl/>
        </w:rPr>
        <w:t>, ועונש הכרת לא נאמר לגביהם.</w:t>
      </w:r>
    </w:p>
    <w:p w:rsidR="0010620B" w:rsidRDefault="0010620B" w:rsidP="0010620B">
      <w:pPr>
        <w:spacing w:before="200" w:line="276" w:lineRule="exact"/>
        <w:ind w:firstLine="227"/>
        <w:rPr>
          <w:sz w:val="24"/>
          <w:szCs w:val="24"/>
          <w:rtl/>
        </w:rPr>
      </w:pPr>
    </w:p>
    <w:p w:rsidR="0010620B" w:rsidRDefault="0010620B" w:rsidP="0010620B">
      <w:pPr>
        <w:spacing w:before="200" w:line="276" w:lineRule="exact"/>
        <w:rPr>
          <w:sz w:val="24"/>
          <w:szCs w:val="24"/>
          <w:rtl/>
        </w:rPr>
      </w:pPr>
      <w:r>
        <w:rPr>
          <w:rFonts w:hint="cs"/>
          <w:sz w:val="24"/>
          <w:szCs w:val="24"/>
          <w:rtl/>
        </w:rPr>
        <w:t>שיטות אלו משליכות על ביאור טעם ההיתרים המופיעים במשנה:</w:t>
      </w:r>
    </w:p>
    <w:p w:rsidR="0010620B" w:rsidRPr="00C51D80" w:rsidRDefault="0010620B" w:rsidP="0010620B">
      <w:pPr>
        <w:spacing w:before="200" w:line="276" w:lineRule="exact"/>
        <w:ind w:left="720"/>
        <w:rPr>
          <w:sz w:val="20"/>
          <w:szCs w:val="20"/>
          <w:rtl/>
        </w:rPr>
      </w:pPr>
      <w:r w:rsidRPr="00C51D80">
        <w:rPr>
          <w:sz w:val="24"/>
          <w:szCs w:val="24"/>
          <w:rtl/>
        </w:rPr>
        <w:t>והמלך והכלה ירחצו את פניהם</w:t>
      </w:r>
      <w:r>
        <w:rPr>
          <w:rFonts w:hint="cs"/>
          <w:sz w:val="24"/>
          <w:szCs w:val="24"/>
          <w:rtl/>
        </w:rPr>
        <w:t>,</w:t>
      </w:r>
      <w:r w:rsidRPr="00C51D80">
        <w:rPr>
          <w:sz w:val="24"/>
          <w:szCs w:val="24"/>
          <w:rtl/>
        </w:rPr>
        <w:t xml:space="preserve"> והחיה תנעול את הסנדל</w:t>
      </w:r>
      <w:r>
        <w:rPr>
          <w:rFonts w:hint="cs"/>
          <w:sz w:val="24"/>
          <w:szCs w:val="24"/>
          <w:rtl/>
        </w:rPr>
        <w:t>,</w:t>
      </w:r>
      <w:r w:rsidRPr="00C51D80">
        <w:rPr>
          <w:sz w:val="24"/>
          <w:szCs w:val="24"/>
          <w:rtl/>
        </w:rPr>
        <w:t xml:space="preserve"> דברי רבי אליעזר</w:t>
      </w:r>
      <w:r>
        <w:rPr>
          <w:rFonts w:hint="cs"/>
          <w:sz w:val="24"/>
          <w:szCs w:val="24"/>
          <w:rtl/>
        </w:rPr>
        <w:t>.</w:t>
      </w:r>
      <w:r w:rsidRPr="00C51D80">
        <w:rPr>
          <w:sz w:val="24"/>
          <w:szCs w:val="24"/>
          <w:rtl/>
        </w:rPr>
        <w:t xml:space="preserve"> וחכמים אוסרין</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[משנה עג:]</w:t>
      </w:r>
    </w:p>
    <w:p w:rsidR="0010620B" w:rsidRDefault="0010620B" w:rsidP="0010620B">
      <w:pPr>
        <w:spacing w:before="200" w:line="276" w:lineRule="exact"/>
        <w:ind w:firstLine="227"/>
        <w:rPr>
          <w:sz w:val="24"/>
          <w:szCs w:val="24"/>
          <w:rtl/>
        </w:rPr>
      </w:pPr>
      <w:r>
        <w:rPr>
          <w:rFonts w:hint="cs"/>
          <w:sz w:val="24"/>
          <w:szCs w:val="24"/>
          <w:rtl/>
        </w:rPr>
        <w:t>היראים, הסובר שכל האיסורים הם מן התורה, כותב:</w:t>
      </w:r>
    </w:p>
    <w:p w:rsidR="0010620B" w:rsidRDefault="0010620B" w:rsidP="0010620B">
      <w:pPr>
        <w:spacing w:before="200" w:line="276" w:lineRule="exact"/>
        <w:ind w:left="720"/>
        <w:rPr>
          <w:sz w:val="20"/>
          <w:szCs w:val="20"/>
          <w:rtl/>
        </w:rPr>
      </w:pPr>
      <w:r w:rsidRPr="00C51D80">
        <w:rPr>
          <w:sz w:val="24"/>
          <w:szCs w:val="24"/>
          <w:rtl/>
        </w:rPr>
        <w:t>למדנו דאפילו רחיצה צונן אסורה מדאורייתא</w:t>
      </w:r>
      <w:r>
        <w:rPr>
          <w:rFonts w:hint="cs"/>
          <w:sz w:val="24"/>
          <w:szCs w:val="24"/>
          <w:rtl/>
        </w:rPr>
        <w:t>...</w:t>
      </w:r>
      <w:r w:rsidRPr="00C51D80">
        <w:rPr>
          <w:sz w:val="24"/>
          <w:szCs w:val="24"/>
          <w:rtl/>
        </w:rPr>
        <w:t xml:space="preserve"> ודוקא רוב גופו ומתכוין ליהנות ברחיצה אסור מדאורייתא</w:t>
      </w:r>
      <w:r>
        <w:rPr>
          <w:rFonts w:hint="cs"/>
          <w:sz w:val="24"/>
          <w:szCs w:val="24"/>
          <w:rtl/>
        </w:rPr>
        <w:t>,</w:t>
      </w:r>
      <w:r w:rsidRPr="00C51D80">
        <w:rPr>
          <w:sz w:val="24"/>
          <w:szCs w:val="24"/>
          <w:rtl/>
        </w:rPr>
        <w:t xml:space="preserve"> אבל מיעוט גופו אפילו מתכוין ליהנות אינו אסור אלא מדרבנן</w:t>
      </w:r>
      <w:r>
        <w:rPr>
          <w:rFonts w:hint="cs"/>
          <w:sz w:val="24"/>
          <w:szCs w:val="24"/>
          <w:rtl/>
        </w:rPr>
        <w:t>,</w:t>
      </w:r>
      <w:r w:rsidRPr="00C51D80">
        <w:rPr>
          <w:sz w:val="24"/>
          <w:szCs w:val="24"/>
          <w:rtl/>
        </w:rPr>
        <w:t xml:space="preserve"> דתנן </w:t>
      </w:r>
      <w:r>
        <w:rPr>
          <w:rFonts w:hint="cs"/>
          <w:sz w:val="24"/>
          <w:szCs w:val="24"/>
          <w:rtl/>
        </w:rPr>
        <w:t>'</w:t>
      </w:r>
      <w:r w:rsidRPr="00C51D80">
        <w:rPr>
          <w:sz w:val="24"/>
          <w:szCs w:val="24"/>
          <w:rtl/>
        </w:rPr>
        <w:t>המלך והכלה ירחצו פניהם</w:t>
      </w:r>
      <w:r>
        <w:rPr>
          <w:rFonts w:hint="cs"/>
          <w:sz w:val="24"/>
          <w:szCs w:val="24"/>
          <w:rtl/>
        </w:rPr>
        <w:t>',</w:t>
      </w:r>
      <w:r w:rsidRPr="00C51D80">
        <w:rPr>
          <w:sz w:val="24"/>
          <w:szCs w:val="24"/>
          <w:rtl/>
        </w:rPr>
        <w:t xml:space="preserve"> ואי מדאורייתא אסורה לא שרינן ליה במלך וכלה</w:t>
      </w:r>
      <w:r>
        <w:rPr>
          <w:rFonts w:hint="cs"/>
          <w:sz w:val="24"/>
          <w:szCs w:val="24"/>
          <w:rtl/>
        </w:rPr>
        <w:t>.</w:t>
      </w:r>
      <w:r w:rsidRPr="00C51D80">
        <w:rPr>
          <w:sz w:val="24"/>
          <w:szCs w:val="24"/>
          <w:rtl/>
        </w:rPr>
        <w:t xml:space="preserve"> ואם אינו מתכוין</w:t>
      </w:r>
      <w:r>
        <w:rPr>
          <w:rFonts w:hint="cs"/>
          <w:sz w:val="24"/>
          <w:szCs w:val="24"/>
          <w:rtl/>
        </w:rPr>
        <w:t>,</w:t>
      </w:r>
      <w:r w:rsidRPr="00C51D80">
        <w:rPr>
          <w:sz w:val="24"/>
          <w:szCs w:val="24"/>
          <w:rtl/>
        </w:rPr>
        <w:t xml:space="preserve"> כגון הרוחץ בבקר ידיו משום רוח רעה או משום טינוף</w:t>
      </w:r>
      <w:r>
        <w:rPr>
          <w:rFonts w:hint="cs"/>
          <w:sz w:val="24"/>
          <w:szCs w:val="24"/>
          <w:rtl/>
        </w:rPr>
        <w:t>,</w:t>
      </w:r>
      <w:r w:rsidRPr="00C51D80">
        <w:rPr>
          <w:sz w:val="24"/>
          <w:szCs w:val="24"/>
          <w:rtl/>
        </w:rPr>
        <w:t xml:space="preserve"> שרי לכתחילה</w:t>
      </w:r>
      <w:r>
        <w:rPr>
          <w:rFonts w:hint="cs"/>
          <w:sz w:val="24"/>
          <w:szCs w:val="24"/>
          <w:rtl/>
        </w:rPr>
        <w:t xml:space="preserve">.   </w:t>
      </w:r>
      <w:r>
        <w:rPr>
          <w:rFonts w:hint="cs"/>
          <w:sz w:val="20"/>
          <w:szCs w:val="20"/>
          <w:rtl/>
        </w:rPr>
        <w:t>[יראים, שם]</w:t>
      </w:r>
    </w:p>
    <w:p w:rsidR="0010620B" w:rsidRDefault="0010620B" w:rsidP="0010620B">
      <w:pPr>
        <w:spacing w:before="200" w:line="276" w:lineRule="exact"/>
        <w:ind w:firstLine="227"/>
        <w:rPr>
          <w:sz w:val="24"/>
          <w:szCs w:val="24"/>
          <w:rtl/>
        </w:rPr>
      </w:pPr>
      <w:r>
        <w:rPr>
          <w:rFonts w:hint="cs"/>
          <w:sz w:val="24"/>
          <w:szCs w:val="24"/>
          <w:rtl/>
        </w:rPr>
        <w:t>היראים מוכיח מההיתר למלך ולכלה לרחוץ את פניהם שאיסור תורה קיים רק ברחיצת כל הגוף, אך רחיצת הפנים אסורה מדרבנן בלבד, ולכן התירו אותה למלך ולכלה.</w:t>
      </w:r>
    </w:p>
    <w:p w:rsidR="0010620B" w:rsidRDefault="0010620B" w:rsidP="0010620B">
      <w:pPr>
        <w:spacing w:before="200" w:line="276" w:lineRule="exact"/>
        <w:ind w:firstLine="227"/>
        <w:rPr>
          <w:sz w:val="24"/>
          <w:szCs w:val="24"/>
          <w:rtl/>
        </w:rPr>
      </w:pPr>
      <w:r>
        <w:rPr>
          <w:rFonts w:hint="cs"/>
          <w:sz w:val="24"/>
          <w:szCs w:val="24"/>
          <w:rtl/>
        </w:rPr>
        <w:t>תוספות ישנים מביא הצעה זו לביאור טעם דין המשנה וחולק עליה:</w:t>
      </w:r>
    </w:p>
    <w:p w:rsidR="0010620B" w:rsidRDefault="0010620B" w:rsidP="0010620B">
      <w:pPr>
        <w:spacing w:before="200" w:line="276" w:lineRule="exact"/>
        <w:ind w:left="720"/>
        <w:rPr>
          <w:sz w:val="24"/>
          <w:szCs w:val="24"/>
          <w:rtl/>
        </w:rPr>
      </w:pPr>
      <w:r w:rsidRPr="00C51D80">
        <w:rPr>
          <w:sz w:val="24"/>
          <w:szCs w:val="24"/>
          <w:rtl/>
        </w:rPr>
        <w:t xml:space="preserve">מדאמר הכא </w:t>
      </w:r>
      <w:r>
        <w:rPr>
          <w:rFonts w:hint="cs"/>
          <w:sz w:val="24"/>
          <w:szCs w:val="24"/>
          <w:rtl/>
        </w:rPr>
        <w:t>'</w:t>
      </w:r>
      <w:r w:rsidRPr="00C51D80">
        <w:rPr>
          <w:sz w:val="24"/>
          <w:szCs w:val="24"/>
          <w:rtl/>
        </w:rPr>
        <w:t>והחיה תנעול את הסנדל</w:t>
      </w:r>
      <w:r>
        <w:rPr>
          <w:rFonts w:hint="cs"/>
          <w:sz w:val="24"/>
          <w:szCs w:val="24"/>
          <w:rtl/>
        </w:rPr>
        <w:t>,</w:t>
      </w:r>
      <w:r>
        <w:rPr>
          <w:sz w:val="24"/>
          <w:szCs w:val="24"/>
          <w:rtl/>
        </w:rPr>
        <w:t xml:space="preserve"> דברי ר</w:t>
      </w:r>
      <w:r>
        <w:rPr>
          <w:rFonts w:hint="cs"/>
          <w:sz w:val="24"/>
          <w:szCs w:val="24"/>
          <w:rtl/>
        </w:rPr>
        <w:t>בי</w:t>
      </w:r>
      <w:r w:rsidRPr="00C51D80">
        <w:rPr>
          <w:sz w:val="24"/>
          <w:szCs w:val="24"/>
          <w:rtl/>
        </w:rPr>
        <w:t xml:space="preserve"> אליעזר</w:t>
      </w:r>
      <w:r>
        <w:rPr>
          <w:rFonts w:hint="cs"/>
          <w:sz w:val="24"/>
          <w:szCs w:val="24"/>
          <w:rtl/>
        </w:rPr>
        <w:t>,</w:t>
      </w:r>
      <w:r w:rsidRPr="00C51D80">
        <w:rPr>
          <w:sz w:val="24"/>
          <w:szCs w:val="24"/>
          <w:rtl/>
        </w:rPr>
        <w:t xml:space="preserve"> וחכמים אוסרין</w:t>
      </w:r>
      <w:r>
        <w:rPr>
          <w:rFonts w:hint="cs"/>
          <w:sz w:val="24"/>
          <w:szCs w:val="24"/>
          <w:rtl/>
        </w:rPr>
        <w:t>',</w:t>
      </w:r>
      <w:r w:rsidRPr="00C51D80">
        <w:rPr>
          <w:sz w:val="24"/>
          <w:szCs w:val="24"/>
          <w:rtl/>
        </w:rPr>
        <w:t xml:space="preserve"> על כורחין ליכא סכנה</w:t>
      </w:r>
      <w:r>
        <w:rPr>
          <w:rFonts w:hint="cs"/>
          <w:sz w:val="24"/>
          <w:szCs w:val="24"/>
          <w:rtl/>
        </w:rPr>
        <w:t>,</w:t>
      </w:r>
      <w:r w:rsidRPr="00C51D80">
        <w:rPr>
          <w:sz w:val="24"/>
          <w:szCs w:val="24"/>
          <w:rtl/>
        </w:rPr>
        <w:t xml:space="preserve"> מדאסרין רבנן</w:t>
      </w:r>
      <w:r>
        <w:rPr>
          <w:rFonts w:hint="cs"/>
          <w:sz w:val="24"/>
          <w:szCs w:val="24"/>
          <w:rtl/>
        </w:rPr>
        <w:t>,</w:t>
      </w:r>
      <w:r>
        <w:rPr>
          <w:sz w:val="24"/>
          <w:szCs w:val="24"/>
          <w:rtl/>
        </w:rPr>
        <w:t xml:space="preserve"> א</w:t>
      </w:r>
      <w:r>
        <w:rPr>
          <w:rFonts w:hint="cs"/>
          <w:sz w:val="24"/>
          <w:szCs w:val="24"/>
          <w:rtl/>
        </w:rPr>
        <w:t>ם כן</w:t>
      </w:r>
      <w:r>
        <w:rPr>
          <w:sz w:val="24"/>
          <w:szCs w:val="24"/>
          <w:rtl/>
        </w:rPr>
        <w:t xml:space="preserve"> היכי שרי ר</w:t>
      </w:r>
      <w:r>
        <w:rPr>
          <w:rFonts w:hint="cs"/>
          <w:sz w:val="24"/>
          <w:szCs w:val="24"/>
          <w:rtl/>
        </w:rPr>
        <w:t>בי</w:t>
      </w:r>
      <w:r w:rsidRPr="00C51D80">
        <w:rPr>
          <w:sz w:val="24"/>
          <w:szCs w:val="24"/>
          <w:rtl/>
        </w:rPr>
        <w:t xml:space="preserve"> אליעזר</w:t>
      </w:r>
      <w:r>
        <w:rPr>
          <w:rFonts w:hint="cs"/>
          <w:sz w:val="24"/>
          <w:szCs w:val="24"/>
          <w:rtl/>
        </w:rPr>
        <w:t>,</w:t>
      </w:r>
      <w:r w:rsidRPr="00C51D80">
        <w:rPr>
          <w:sz w:val="24"/>
          <w:szCs w:val="24"/>
          <w:rtl/>
        </w:rPr>
        <w:t xml:space="preserve"> כיון שנעילת הסנדל אסור מ</w:t>
      </w:r>
      <w:r>
        <w:rPr>
          <w:rFonts w:hint="cs"/>
          <w:sz w:val="24"/>
          <w:szCs w:val="24"/>
          <w:rtl/>
        </w:rPr>
        <w:t>ן התורה.</w:t>
      </w:r>
    </w:p>
    <w:p w:rsidR="0010620B" w:rsidRPr="00C51D80" w:rsidRDefault="0010620B" w:rsidP="0010620B">
      <w:pPr>
        <w:spacing w:before="200" w:line="276" w:lineRule="exact"/>
        <w:ind w:left="720"/>
        <w:jc w:val="right"/>
        <w:rPr>
          <w:sz w:val="20"/>
          <w:szCs w:val="20"/>
          <w:rtl/>
        </w:rPr>
      </w:pPr>
      <w:r>
        <w:rPr>
          <w:rFonts w:hint="cs"/>
          <w:sz w:val="20"/>
          <w:szCs w:val="20"/>
          <w:rtl/>
        </w:rPr>
        <w:t>[תוס' ישנים עג: ד"ה יום]</w:t>
      </w:r>
      <w:r w:rsidRPr="00F82E9A">
        <w:rPr>
          <w:rStyle w:val="a7"/>
          <w:sz w:val="24"/>
          <w:szCs w:val="24"/>
          <w:rtl/>
        </w:rPr>
        <w:footnoteReference w:id="203"/>
      </w:r>
    </w:p>
    <w:p w:rsidR="0010620B" w:rsidRDefault="0010620B" w:rsidP="0010620B">
      <w:pPr>
        <w:spacing w:before="200" w:line="276" w:lineRule="auto"/>
        <w:ind w:firstLine="227"/>
        <w:rPr>
          <w:sz w:val="24"/>
          <w:szCs w:val="24"/>
          <w:rtl/>
        </w:rPr>
      </w:pPr>
      <w:r>
        <w:rPr>
          <w:rFonts w:hint="cs"/>
          <w:sz w:val="24"/>
          <w:szCs w:val="24"/>
          <w:rtl/>
        </w:rPr>
        <w:t>תוספות ישנים טוען, כי ההסבר דלעיל אינו מבאר את טעם היתר נעילת הסנדל לחיה</w:t>
      </w:r>
      <w:r>
        <w:rPr>
          <w:rStyle w:val="a7"/>
          <w:sz w:val="24"/>
          <w:szCs w:val="24"/>
          <w:rtl/>
        </w:rPr>
        <w:footnoteReference w:id="204"/>
      </w:r>
      <w:r>
        <w:rPr>
          <w:rFonts w:hint="cs"/>
          <w:sz w:val="24"/>
          <w:szCs w:val="24"/>
          <w:rtl/>
        </w:rPr>
        <w:t>. התוספות ישנים עצמו מבאר את טעם ההיתרים באופן שונה:</w:t>
      </w:r>
    </w:p>
    <w:p w:rsidR="0010620B" w:rsidRPr="00F82E9A" w:rsidRDefault="0010620B" w:rsidP="0010620B">
      <w:pPr>
        <w:spacing w:line="276" w:lineRule="auto"/>
        <w:ind w:left="720"/>
        <w:rPr>
          <w:sz w:val="20"/>
          <w:szCs w:val="20"/>
          <w:rtl/>
        </w:rPr>
      </w:pPr>
      <w:r w:rsidRPr="00F82E9A">
        <w:rPr>
          <w:sz w:val="24"/>
          <w:szCs w:val="24"/>
          <w:rtl/>
        </w:rPr>
        <w:t>לכאורה משמע שכל אלו הענויים חוץ מאכילה ושתיה מדרבנן</w:t>
      </w:r>
      <w:r>
        <w:rPr>
          <w:rFonts w:hint="cs"/>
          <w:sz w:val="24"/>
          <w:szCs w:val="24"/>
          <w:rtl/>
        </w:rPr>
        <w:t>,</w:t>
      </w:r>
      <w:r w:rsidRPr="00F82E9A">
        <w:rPr>
          <w:sz w:val="24"/>
          <w:szCs w:val="24"/>
          <w:rtl/>
        </w:rPr>
        <w:t xml:space="preserve"> מדליכא בהו כרת</w:t>
      </w:r>
      <w:r>
        <w:rPr>
          <w:sz w:val="24"/>
          <w:szCs w:val="24"/>
          <w:rtl/>
        </w:rPr>
        <w:t xml:space="preserve"> רק באכילה ושתיה כדאמרינן בגמרא</w:t>
      </w:r>
      <w:r>
        <w:rPr>
          <w:rFonts w:hint="cs"/>
          <w:sz w:val="24"/>
          <w:szCs w:val="24"/>
          <w:rtl/>
        </w:rPr>
        <w:t xml:space="preserve">, </w:t>
      </w:r>
      <w:r w:rsidRPr="00F82E9A">
        <w:rPr>
          <w:sz w:val="24"/>
          <w:szCs w:val="24"/>
          <w:rtl/>
        </w:rPr>
        <w:t>וגם מדשרינן למלך וכלה לרחוץ ושיש חטטין בראשו סך כדרכו ואינו חושש ולמי שידיו מלוכלכות בטיט ובצואה לרחוץ</w:t>
      </w:r>
      <w:r>
        <w:rPr>
          <w:rFonts w:hint="cs"/>
          <w:sz w:val="24"/>
          <w:szCs w:val="24"/>
          <w:rtl/>
        </w:rPr>
        <w:t>.</w:t>
      </w:r>
      <w:r>
        <w:rPr>
          <w:sz w:val="24"/>
          <w:szCs w:val="24"/>
          <w:rtl/>
        </w:rPr>
        <w:tab/>
      </w:r>
      <w:r>
        <w:rPr>
          <w:sz w:val="24"/>
          <w:szCs w:val="24"/>
          <w:rtl/>
        </w:rPr>
        <w:tab/>
      </w:r>
      <w:r>
        <w:rPr>
          <w:sz w:val="24"/>
          <w:szCs w:val="24"/>
          <w:rtl/>
        </w:rPr>
        <w:tab/>
      </w:r>
      <w:r>
        <w:rPr>
          <w:rFonts w:hint="cs"/>
          <w:sz w:val="20"/>
          <w:szCs w:val="20"/>
          <w:rtl/>
        </w:rPr>
        <w:t>[שם]</w:t>
      </w:r>
    </w:p>
    <w:p w:rsidR="0010620B" w:rsidRDefault="0010620B" w:rsidP="0010620B">
      <w:pPr>
        <w:spacing w:before="200" w:line="276" w:lineRule="exact"/>
        <w:ind w:firstLine="227"/>
        <w:rPr>
          <w:sz w:val="24"/>
          <w:szCs w:val="24"/>
          <w:rtl/>
        </w:rPr>
      </w:pPr>
      <w:r>
        <w:rPr>
          <w:rFonts w:hint="cs"/>
          <w:sz w:val="24"/>
          <w:szCs w:val="24"/>
          <w:rtl/>
        </w:rPr>
        <w:lastRenderedPageBreak/>
        <w:t>לדבריו, טעם ההיתרים הוא שאיסורים אלו ביסודם הם מדרבנן בלבד, ולכן חכמים התירו אותם במקרים מסוימים</w:t>
      </w:r>
      <w:r>
        <w:rPr>
          <w:rStyle w:val="a7"/>
          <w:sz w:val="24"/>
          <w:szCs w:val="24"/>
          <w:rtl/>
        </w:rPr>
        <w:footnoteReference w:id="205"/>
      </w:r>
      <w:r>
        <w:rPr>
          <w:rFonts w:hint="cs"/>
          <w:sz w:val="24"/>
          <w:szCs w:val="24"/>
          <w:rtl/>
        </w:rPr>
        <w:t>.</w:t>
      </w:r>
    </w:p>
    <w:p w:rsidR="0010620B" w:rsidRDefault="0010620B" w:rsidP="0010620B">
      <w:pPr>
        <w:spacing w:before="200" w:line="276" w:lineRule="exact"/>
        <w:ind w:firstLine="227"/>
        <w:rPr>
          <w:sz w:val="24"/>
          <w:szCs w:val="24"/>
          <w:rtl/>
        </w:rPr>
      </w:pPr>
      <w:r>
        <w:rPr>
          <w:rFonts w:hint="cs"/>
          <w:sz w:val="24"/>
          <w:szCs w:val="24"/>
          <w:rtl/>
        </w:rPr>
        <w:t>הר"ן חולק על שיטה זו וטוען שאיסורים אלו אסורים מדאורייתא. על פי זה, הר"ן מבאר באופן אחר את טעם ההיתרים:</w:t>
      </w:r>
    </w:p>
    <w:p w:rsidR="0010620B" w:rsidRPr="0082310B" w:rsidRDefault="0010620B" w:rsidP="0010620B">
      <w:pPr>
        <w:spacing w:before="200" w:line="276" w:lineRule="exact"/>
        <w:ind w:left="720"/>
        <w:rPr>
          <w:sz w:val="20"/>
          <w:szCs w:val="20"/>
          <w:rtl/>
        </w:rPr>
      </w:pPr>
      <w:r w:rsidRPr="0004197A">
        <w:rPr>
          <w:sz w:val="24"/>
          <w:szCs w:val="24"/>
          <w:rtl/>
        </w:rPr>
        <w:t>לפיכך היה נראה לי דכולהו מדאורייתא נינהו</w:t>
      </w:r>
      <w:r>
        <w:rPr>
          <w:rFonts w:hint="cs"/>
          <w:sz w:val="24"/>
          <w:szCs w:val="24"/>
          <w:rtl/>
        </w:rPr>
        <w:t>,</w:t>
      </w:r>
      <w:r w:rsidRPr="0004197A">
        <w:rPr>
          <w:sz w:val="24"/>
          <w:szCs w:val="24"/>
          <w:rtl/>
        </w:rPr>
        <w:t xml:space="preserve"> אלא דכיון דלאו בכלל ענויי דכתיבי בקרא בהדיא באורייתא נינהו אלא מרבויא דשבתון אתו</w:t>
      </w:r>
      <w:r>
        <w:rPr>
          <w:rFonts w:hint="cs"/>
          <w:sz w:val="24"/>
          <w:szCs w:val="24"/>
          <w:rtl/>
        </w:rPr>
        <w:t>,</w:t>
      </w:r>
      <w:r w:rsidRPr="0004197A">
        <w:rPr>
          <w:sz w:val="24"/>
          <w:szCs w:val="24"/>
          <w:rtl/>
        </w:rPr>
        <w:t xml:space="preserve"> וכדאיתא בגמרא</w:t>
      </w:r>
      <w:r>
        <w:rPr>
          <w:rFonts w:hint="cs"/>
          <w:sz w:val="24"/>
          <w:szCs w:val="24"/>
          <w:rtl/>
        </w:rPr>
        <w:t>,</w:t>
      </w:r>
      <w:r w:rsidRPr="0004197A">
        <w:rPr>
          <w:sz w:val="24"/>
          <w:szCs w:val="24"/>
          <w:rtl/>
        </w:rPr>
        <w:t xml:space="preserve"> קילי טפי ומסרן הכתוב לחכמים</w:t>
      </w:r>
      <w:r>
        <w:rPr>
          <w:rFonts w:hint="cs"/>
          <w:sz w:val="24"/>
          <w:szCs w:val="24"/>
          <w:rtl/>
        </w:rPr>
        <w:t>,</w:t>
      </w:r>
      <w:r w:rsidRPr="0004197A">
        <w:rPr>
          <w:sz w:val="24"/>
          <w:szCs w:val="24"/>
          <w:rtl/>
        </w:rPr>
        <w:t xml:space="preserve"> והן הקלו בהן כפי מה שראו והתירו כל שאינו נעשה לתענוג</w:t>
      </w:r>
      <w:r>
        <w:rPr>
          <w:rFonts w:hint="cs"/>
          <w:sz w:val="24"/>
          <w:szCs w:val="24"/>
          <w:rtl/>
        </w:rPr>
        <w:t xml:space="preserve">. </w:t>
      </w:r>
      <w:r>
        <w:rPr>
          <w:rFonts w:hint="cs"/>
          <w:sz w:val="20"/>
          <w:szCs w:val="20"/>
          <w:rtl/>
        </w:rPr>
        <w:t>[ר"ן א. ד"ה יום הכפורים]</w:t>
      </w:r>
    </w:p>
    <w:p w:rsidR="0010620B" w:rsidRDefault="0010620B" w:rsidP="0010620B">
      <w:pPr>
        <w:spacing w:before="200" w:line="276" w:lineRule="exact"/>
        <w:ind w:firstLine="227"/>
        <w:rPr>
          <w:sz w:val="24"/>
          <w:szCs w:val="24"/>
          <w:rtl/>
        </w:rPr>
      </w:pPr>
      <w:r>
        <w:rPr>
          <w:rFonts w:hint="cs"/>
          <w:sz w:val="24"/>
          <w:szCs w:val="24"/>
          <w:rtl/>
        </w:rPr>
        <w:t xml:space="preserve">לפי הר"ן, אמנם תוקף האיסורים הוא מדאורייתא, אך גדר חמשת העינויים לא נאמר בתורה אלא 'מסרן הכתוב לחכמים', ולכן הם הקילו בהם במצבים מסוימים. </w:t>
      </w:r>
    </w:p>
    <w:p w:rsidR="0010620B" w:rsidRDefault="0010620B" w:rsidP="0010620B">
      <w:pPr>
        <w:spacing w:before="200" w:line="276" w:lineRule="exact"/>
        <w:ind w:firstLine="227"/>
        <w:rPr>
          <w:sz w:val="24"/>
          <w:szCs w:val="24"/>
          <w:rtl/>
        </w:rPr>
      </w:pPr>
      <w:r>
        <w:rPr>
          <w:rFonts w:hint="cs"/>
          <w:sz w:val="24"/>
          <w:szCs w:val="24"/>
          <w:rtl/>
        </w:rPr>
        <w:t>דברי הר"ן מבוססים על דרכו של הרמב"ם דלעיל, כי חמשת העינויים אינם כלולים במצות העינוי אלא מקורם ב"שבתון". הר"ן לומד מכך שאיסורים אלו "קילי טפי ומסרן הכתוב לחכמים". אמנם, על פי דרכו של הרמב"ם, ניתן לבאר את ההבדל בין אכילה ושתייה לשאר האיסורים באופן עקרוני יותר: מצות העינוי מלמדת על איסור אכילה ושתייה ביום הכיפורים, כך שיש איסור בעצם מעשה האכילה והשתייה</w:t>
      </w:r>
      <w:r>
        <w:rPr>
          <w:rStyle w:val="a7"/>
          <w:sz w:val="24"/>
          <w:szCs w:val="24"/>
          <w:rtl/>
        </w:rPr>
        <w:footnoteReference w:id="206"/>
      </w:r>
      <w:r>
        <w:rPr>
          <w:rFonts w:hint="cs"/>
          <w:sz w:val="24"/>
          <w:szCs w:val="24"/>
          <w:rtl/>
        </w:rPr>
        <w:t xml:space="preserve">. בנוסף לכך קיימת מצות 'שביתה' המחייבת הימנעות מעינוג הגוף בכל דרך שהיא, ומחמתה קיים איסור גם בהנאות הגוף האחרות: רחיצה, סיכה, נעילת הסנדל ותשמיש המיטה. אמנם, תורף האיסור אינו עצם עשיית מעשים אלו אלא התענוג הקיים בהם, ולכן כאשר מעשים אלו נעשים שלא לשם תענוג </w:t>
      </w:r>
      <w:r>
        <w:rPr>
          <w:sz w:val="24"/>
          <w:szCs w:val="24"/>
          <w:rtl/>
        </w:rPr>
        <w:t>–</w:t>
      </w:r>
      <w:r>
        <w:rPr>
          <w:rFonts w:hint="cs"/>
          <w:sz w:val="24"/>
          <w:szCs w:val="24"/>
          <w:rtl/>
        </w:rPr>
        <w:t xml:space="preserve"> אין בהם איסור. </w:t>
      </w:r>
    </w:p>
    <w:p w:rsidR="0010620B" w:rsidRDefault="0010620B" w:rsidP="0010620B">
      <w:pPr>
        <w:spacing w:before="200" w:line="276" w:lineRule="exact"/>
        <w:ind w:firstLine="227"/>
        <w:rPr>
          <w:sz w:val="24"/>
          <w:szCs w:val="24"/>
          <w:rtl/>
        </w:rPr>
      </w:pPr>
      <w:r>
        <w:rPr>
          <w:rFonts w:hint="cs"/>
          <w:sz w:val="24"/>
          <w:szCs w:val="24"/>
          <w:rtl/>
        </w:rPr>
        <w:t>נראה להעמיק הבחנה זו. איסור האכילה והשתייה ביום הכיפורים מהווה גם איסור פורמאלי על מעשה האכילה והשתייה, אך הוא גם נובע מעיקרון רחב יותר: יום הכיפורים הוא יום של שביתה מוחלטת מכל הנאות הגוף</w:t>
      </w:r>
      <w:r>
        <w:rPr>
          <w:rStyle w:val="a7"/>
          <w:sz w:val="24"/>
          <w:szCs w:val="24"/>
          <w:rtl/>
        </w:rPr>
        <w:footnoteReference w:id="207"/>
      </w:r>
      <w:r>
        <w:rPr>
          <w:rFonts w:hint="cs"/>
          <w:sz w:val="24"/>
          <w:szCs w:val="24"/>
          <w:rtl/>
        </w:rPr>
        <w:t>. בשל כך, אמנם האיסור הפורמאלי המפורש בתורה אמור רק לגבי אכילה ושתייה, אך יש ללמוד ממנו על איסור נרחב וכללי האוסר את כל הנאות הגוף. בהתאם לכך, אכילה ושתייה אסורות בכל מצב, ואילו שאר המעשים אסורים רק כאשר הם באים לשם הנאת הגוף</w:t>
      </w:r>
      <w:r>
        <w:rPr>
          <w:rStyle w:val="a7"/>
          <w:sz w:val="24"/>
          <w:szCs w:val="24"/>
          <w:rtl/>
        </w:rPr>
        <w:footnoteReference w:id="208"/>
      </w:r>
      <w:r>
        <w:rPr>
          <w:rFonts w:hint="cs"/>
          <w:sz w:val="24"/>
          <w:szCs w:val="24"/>
          <w:rtl/>
        </w:rPr>
        <w:t xml:space="preserve">. </w:t>
      </w:r>
    </w:p>
    <w:p w:rsidR="0010620B" w:rsidRDefault="0010620B" w:rsidP="0010620B">
      <w:pPr>
        <w:spacing w:before="200" w:line="276" w:lineRule="exact"/>
        <w:ind w:firstLine="227"/>
        <w:rPr>
          <w:sz w:val="24"/>
          <w:szCs w:val="24"/>
          <w:rtl/>
        </w:rPr>
      </w:pPr>
    </w:p>
    <w:p w:rsidR="0010620B" w:rsidRDefault="0010620B" w:rsidP="0010620B">
      <w:pPr>
        <w:spacing w:before="200" w:line="276" w:lineRule="exact"/>
        <w:ind w:firstLine="227"/>
        <w:rPr>
          <w:sz w:val="24"/>
          <w:szCs w:val="24"/>
          <w:rtl/>
        </w:rPr>
      </w:pPr>
      <w:r>
        <w:rPr>
          <w:rFonts w:hint="cs"/>
          <w:sz w:val="24"/>
          <w:szCs w:val="24"/>
          <w:rtl/>
        </w:rPr>
        <w:t>הבחנה זו בין אכילה ושתייה לשאר האיסורים, מיישבת את קושיית הר"ן על שיטתו:</w:t>
      </w:r>
    </w:p>
    <w:p w:rsidR="0010620B" w:rsidRDefault="0010620B" w:rsidP="0010620B">
      <w:pPr>
        <w:spacing w:before="200" w:line="276" w:lineRule="exact"/>
        <w:ind w:left="720"/>
        <w:rPr>
          <w:sz w:val="24"/>
          <w:szCs w:val="24"/>
          <w:rtl/>
        </w:rPr>
      </w:pPr>
      <w:r w:rsidRPr="00EF54A5">
        <w:rPr>
          <w:sz w:val="24"/>
          <w:szCs w:val="24"/>
          <w:rtl/>
        </w:rPr>
        <w:t>אלא דלא מיח</w:t>
      </w:r>
      <w:r>
        <w:rPr>
          <w:sz w:val="24"/>
          <w:szCs w:val="24"/>
          <w:rtl/>
        </w:rPr>
        <w:t xml:space="preserve">וורא לי הא דתניא לקמן </w:t>
      </w:r>
      <w:r>
        <w:rPr>
          <w:rFonts w:hint="cs"/>
          <w:sz w:val="24"/>
          <w:szCs w:val="24"/>
          <w:rtl/>
        </w:rPr>
        <w:t>'</w:t>
      </w:r>
      <w:r w:rsidRPr="00EF54A5">
        <w:rPr>
          <w:sz w:val="24"/>
          <w:szCs w:val="24"/>
          <w:rtl/>
        </w:rPr>
        <w:t>התינוקות מותרין בכולן חוץ מנעילת הסנדל</w:t>
      </w:r>
      <w:r>
        <w:rPr>
          <w:rFonts w:hint="cs"/>
          <w:sz w:val="24"/>
          <w:szCs w:val="24"/>
          <w:rtl/>
        </w:rPr>
        <w:t>',</w:t>
      </w:r>
      <w:r>
        <w:rPr>
          <w:sz w:val="24"/>
          <w:szCs w:val="24"/>
          <w:rtl/>
        </w:rPr>
        <w:t xml:space="preserve"> ומוכח בגמ</w:t>
      </w:r>
      <w:r>
        <w:rPr>
          <w:rFonts w:hint="cs"/>
          <w:sz w:val="24"/>
          <w:szCs w:val="24"/>
          <w:rtl/>
        </w:rPr>
        <w:t xml:space="preserve">רא </w:t>
      </w:r>
      <w:r w:rsidRPr="00EF54A5">
        <w:rPr>
          <w:sz w:val="24"/>
          <w:szCs w:val="24"/>
          <w:rtl/>
        </w:rPr>
        <w:t>דמותרין בכולן דקאמר היינו דמותר לגדולים לרוחצן ולסוכן</w:t>
      </w:r>
      <w:r>
        <w:rPr>
          <w:rFonts w:hint="cs"/>
          <w:sz w:val="24"/>
          <w:szCs w:val="24"/>
          <w:rtl/>
        </w:rPr>
        <w:t>...</w:t>
      </w:r>
      <w:r w:rsidRPr="00EF54A5">
        <w:rPr>
          <w:sz w:val="24"/>
          <w:szCs w:val="24"/>
          <w:rtl/>
        </w:rPr>
        <w:t xml:space="preserve"> והא הני ודאי לתענוג עבדי להו</w:t>
      </w:r>
      <w:r>
        <w:rPr>
          <w:rFonts w:hint="cs"/>
          <w:sz w:val="24"/>
          <w:szCs w:val="24"/>
          <w:rtl/>
        </w:rPr>
        <w:t>,</w:t>
      </w:r>
      <w:r w:rsidRPr="00EF54A5">
        <w:rPr>
          <w:sz w:val="24"/>
          <w:szCs w:val="24"/>
          <w:rtl/>
        </w:rPr>
        <w:t xml:space="preserve"> ואי מנעין הני מנייהו חד יומא לא מסתכני</w:t>
      </w:r>
      <w:r>
        <w:rPr>
          <w:rFonts w:hint="cs"/>
          <w:sz w:val="24"/>
          <w:szCs w:val="24"/>
          <w:rtl/>
        </w:rPr>
        <w:t>,</w:t>
      </w:r>
      <w:r w:rsidRPr="00EF54A5">
        <w:rPr>
          <w:sz w:val="24"/>
          <w:szCs w:val="24"/>
          <w:rtl/>
        </w:rPr>
        <w:t xml:space="preserve"> ואי מדאורייתא היכי שרי</w:t>
      </w:r>
      <w:r>
        <w:rPr>
          <w:rFonts w:hint="cs"/>
          <w:sz w:val="24"/>
          <w:szCs w:val="24"/>
          <w:rtl/>
        </w:rPr>
        <w:t>,</w:t>
      </w:r>
      <w:r w:rsidRPr="00EF54A5">
        <w:rPr>
          <w:sz w:val="24"/>
          <w:szCs w:val="24"/>
          <w:rtl/>
        </w:rPr>
        <w:t xml:space="preserve"> והא כתיב </w:t>
      </w:r>
      <w:r>
        <w:rPr>
          <w:rFonts w:hint="cs"/>
          <w:sz w:val="24"/>
          <w:szCs w:val="24"/>
          <w:rtl/>
        </w:rPr>
        <w:t>'</w:t>
      </w:r>
      <w:r w:rsidRPr="00EF54A5">
        <w:rPr>
          <w:sz w:val="24"/>
          <w:szCs w:val="24"/>
          <w:rtl/>
        </w:rPr>
        <w:t>לא תאכלום</w:t>
      </w:r>
      <w:r>
        <w:rPr>
          <w:rFonts w:hint="cs"/>
          <w:sz w:val="24"/>
          <w:szCs w:val="24"/>
          <w:rtl/>
        </w:rPr>
        <w:t>'</w:t>
      </w:r>
      <w:r w:rsidRPr="00EF54A5">
        <w:rPr>
          <w:sz w:val="24"/>
          <w:szCs w:val="24"/>
          <w:rtl/>
        </w:rPr>
        <w:t xml:space="preserve"> וקרי ביה </w:t>
      </w:r>
      <w:r>
        <w:rPr>
          <w:rFonts w:hint="cs"/>
          <w:sz w:val="24"/>
          <w:szCs w:val="24"/>
          <w:rtl/>
        </w:rPr>
        <w:t>'</w:t>
      </w:r>
      <w:r w:rsidRPr="00EF54A5">
        <w:rPr>
          <w:sz w:val="24"/>
          <w:szCs w:val="24"/>
          <w:rtl/>
        </w:rPr>
        <w:t>לא תאכילום</w:t>
      </w:r>
      <w:r>
        <w:rPr>
          <w:rFonts w:hint="cs"/>
          <w:sz w:val="24"/>
          <w:szCs w:val="24"/>
          <w:rtl/>
        </w:rPr>
        <w:t>'</w:t>
      </w:r>
      <w:r w:rsidRPr="00EF54A5">
        <w:rPr>
          <w:sz w:val="24"/>
          <w:szCs w:val="24"/>
          <w:rtl/>
        </w:rPr>
        <w:t xml:space="preserve"> להזהיר גדולים על הקטנים</w:t>
      </w:r>
      <w:r>
        <w:rPr>
          <w:rFonts w:hint="cs"/>
          <w:sz w:val="24"/>
          <w:szCs w:val="24"/>
          <w:rtl/>
        </w:rPr>
        <w:t>.</w:t>
      </w:r>
      <w:r>
        <w:rPr>
          <w:sz w:val="20"/>
          <w:szCs w:val="20"/>
          <w:rtl/>
        </w:rPr>
        <w:tab/>
      </w:r>
      <w:r>
        <w:rPr>
          <w:sz w:val="20"/>
          <w:szCs w:val="20"/>
          <w:rtl/>
        </w:rPr>
        <w:tab/>
      </w:r>
      <w:r>
        <w:rPr>
          <w:rFonts w:hint="cs"/>
          <w:sz w:val="20"/>
          <w:szCs w:val="20"/>
          <w:rtl/>
        </w:rPr>
        <w:t xml:space="preserve">        [ר"ן, שם]</w:t>
      </w:r>
    </w:p>
    <w:p w:rsidR="0010620B" w:rsidRDefault="0010620B" w:rsidP="0010620B">
      <w:pPr>
        <w:spacing w:before="200" w:line="276" w:lineRule="exact"/>
        <w:ind w:firstLine="227"/>
        <w:rPr>
          <w:sz w:val="24"/>
          <w:szCs w:val="24"/>
          <w:rtl/>
        </w:rPr>
      </w:pPr>
      <w:r>
        <w:rPr>
          <w:rFonts w:hint="cs"/>
          <w:sz w:val="24"/>
          <w:szCs w:val="24"/>
          <w:rtl/>
        </w:rPr>
        <w:t xml:space="preserve">הר"ן מקשה, אם שאר האיסורים אסורים מדאורייתא, כיצד מותר לסוך ולרחוץ קטנים, והרי אסור לספות </w:t>
      </w:r>
      <w:r w:rsidRPr="00A209FE">
        <w:rPr>
          <w:rFonts w:hint="cs"/>
          <w:sz w:val="20"/>
          <w:szCs w:val="20"/>
          <w:rtl/>
        </w:rPr>
        <w:t>(=להאכיל)</w:t>
      </w:r>
      <w:r>
        <w:rPr>
          <w:rFonts w:hint="cs"/>
          <w:sz w:val="24"/>
          <w:szCs w:val="24"/>
          <w:rtl/>
        </w:rPr>
        <w:t xml:space="preserve"> איסור לקטן בידיים. </w:t>
      </w:r>
    </w:p>
    <w:p w:rsidR="0010620B" w:rsidRDefault="0010620B" w:rsidP="0010620B">
      <w:pPr>
        <w:spacing w:before="200" w:line="276" w:lineRule="exact"/>
        <w:ind w:firstLine="227"/>
        <w:rPr>
          <w:sz w:val="24"/>
          <w:szCs w:val="24"/>
          <w:rtl/>
        </w:rPr>
      </w:pPr>
      <w:r>
        <w:rPr>
          <w:rFonts w:hint="cs"/>
          <w:sz w:val="24"/>
          <w:szCs w:val="24"/>
          <w:rtl/>
        </w:rPr>
        <w:t>האבי עזרי מיישב קושיה זו:</w:t>
      </w:r>
    </w:p>
    <w:p w:rsidR="0010620B" w:rsidRDefault="0010620B" w:rsidP="0010620B">
      <w:pPr>
        <w:spacing w:before="200" w:line="276" w:lineRule="exact"/>
        <w:ind w:left="720"/>
        <w:rPr>
          <w:sz w:val="24"/>
          <w:szCs w:val="24"/>
          <w:rtl/>
        </w:rPr>
      </w:pPr>
      <w:r>
        <w:rPr>
          <w:rFonts w:hint="cs"/>
          <w:sz w:val="24"/>
          <w:szCs w:val="24"/>
          <w:rtl/>
        </w:rPr>
        <w:lastRenderedPageBreak/>
        <w:t xml:space="preserve">דהלא בכולהו אין כרת ואין אזהרה בהו, ורק שמצוה לשבות מכולהו, והוא 'מפי השמועה'. אם כן הוא רק מצות שבתון, ומי שעבר על זה מבטל מצות עשה זו. בכגון זה אין הדין ד'לא תאכילום', שרק באיסורין נלמד מ'לא תאכילום' ולא בביטול מצוה. </w:t>
      </w:r>
    </w:p>
    <w:p w:rsidR="0010620B" w:rsidRDefault="0010620B" w:rsidP="0010620B">
      <w:pPr>
        <w:spacing w:before="200" w:line="276" w:lineRule="exact"/>
        <w:ind w:left="720"/>
        <w:jc w:val="right"/>
        <w:rPr>
          <w:sz w:val="24"/>
          <w:szCs w:val="24"/>
          <w:rtl/>
        </w:rPr>
      </w:pPr>
      <w:r>
        <w:rPr>
          <w:rFonts w:hint="cs"/>
          <w:sz w:val="20"/>
          <w:szCs w:val="20"/>
          <w:rtl/>
        </w:rPr>
        <w:t>[אבי עזרי הל' מאכלות אסורות פי"ז הכ"ז]</w:t>
      </w:r>
    </w:p>
    <w:p w:rsidR="0010620B" w:rsidRDefault="0010620B" w:rsidP="0010620B">
      <w:pPr>
        <w:spacing w:before="200" w:line="276" w:lineRule="exact"/>
        <w:ind w:firstLine="227"/>
        <w:rPr>
          <w:sz w:val="24"/>
          <w:szCs w:val="24"/>
          <w:rtl/>
        </w:rPr>
      </w:pPr>
      <w:r>
        <w:rPr>
          <w:rFonts w:hint="cs"/>
          <w:sz w:val="24"/>
          <w:szCs w:val="24"/>
          <w:rtl/>
        </w:rPr>
        <w:t>האבי עזרי מבאר, כי שאר האיסורים אינם כלולים באזהרה מפני ביטול העינוי, אלא מקורם במצות השביתה. בשל כך, האיסור לספות איסור לקטן בידיים אינו אמור לגביהם.</w:t>
      </w:r>
    </w:p>
    <w:p w:rsidR="0010620B" w:rsidRDefault="0010620B" w:rsidP="0010620B">
      <w:pPr>
        <w:spacing w:before="200" w:line="276" w:lineRule="exact"/>
        <w:ind w:firstLine="227"/>
        <w:rPr>
          <w:sz w:val="24"/>
          <w:szCs w:val="24"/>
          <w:rtl/>
        </w:rPr>
      </w:pPr>
      <w:r>
        <w:rPr>
          <w:rFonts w:hint="cs"/>
          <w:sz w:val="24"/>
          <w:szCs w:val="24"/>
          <w:rtl/>
        </w:rPr>
        <w:t>יש להמתיק דברים אלו על פי ההבחנה דלעיל בין אכילה ושתייה לשאר האיסורים: אכילה ושתייה הן 'חפצא של איסור'; שאר האיסורים, לעומת זאת, פוגעים במצות השביתה ביום הכיפורים מהנאות הגוף, אך כל מעשה אינו 'חפצא של איסור', ולכן הם אינם אסורים משום ספיית איסור לקטן.</w:t>
      </w:r>
    </w:p>
    <w:p w:rsidR="0010620B" w:rsidRDefault="0010620B" w:rsidP="0010620B">
      <w:pPr>
        <w:spacing w:before="200" w:line="276" w:lineRule="exact"/>
        <w:ind w:firstLine="227"/>
        <w:rPr>
          <w:sz w:val="24"/>
          <w:szCs w:val="24"/>
          <w:rtl/>
        </w:rPr>
      </w:pPr>
    </w:p>
    <w:p w:rsidR="0010620B" w:rsidRDefault="0010620B" w:rsidP="0010620B">
      <w:pPr>
        <w:spacing w:before="200" w:line="276" w:lineRule="exact"/>
        <w:ind w:firstLine="227"/>
        <w:rPr>
          <w:sz w:val="24"/>
          <w:szCs w:val="24"/>
          <w:rtl/>
        </w:rPr>
      </w:pPr>
      <w:r>
        <w:rPr>
          <w:rFonts w:hint="cs"/>
          <w:sz w:val="24"/>
          <w:szCs w:val="24"/>
          <w:rtl/>
        </w:rPr>
        <w:t>בשולי הדברים נעיר כי לנצי"ב חילוק נוסף בין אכילה ושתייה לשאר האיסורים:</w:t>
      </w:r>
    </w:p>
    <w:p w:rsidR="0010620B" w:rsidRDefault="0010620B" w:rsidP="0010620B">
      <w:pPr>
        <w:spacing w:before="200" w:line="276" w:lineRule="exact"/>
        <w:ind w:left="720"/>
        <w:rPr>
          <w:sz w:val="24"/>
          <w:szCs w:val="24"/>
          <w:rtl/>
        </w:rPr>
      </w:pPr>
      <w:r>
        <w:rPr>
          <w:sz w:val="24"/>
          <w:szCs w:val="24"/>
          <w:rtl/>
        </w:rPr>
        <w:t>דמ</w:t>
      </w:r>
      <w:r>
        <w:rPr>
          <w:rFonts w:hint="cs"/>
          <w:sz w:val="24"/>
          <w:szCs w:val="24"/>
          <w:rtl/>
        </w:rPr>
        <w:t>ן התורה</w:t>
      </w:r>
      <w:r w:rsidRPr="0017446A">
        <w:rPr>
          <w:sz w:val="24"/>
          <w:szCs w:val="24"/>
          <w:rtl/>
        </w:rPr>
        <w:t xml:space="preserve"> לא אסור אלא העושה לשום תענוג</w:t>
      </w:r>
      <w:r>
        <w:rPr>
          <w:rFonts w:hint="cs"/>
          <w:sz w:val="24"/>
          <w:szCs w:val="24"/>
          <w:rtl/>
        </w:rPr>
        <w:t>...</w:t>
      </w:r>
      <w:r>
        <w:rPr>
          <w:sz w:val="24"/>
          <w:szCs w:val="24"/>
          <w:rtl/>
        </w:rPr>
        <w:t xml:space="preserve"> ומשו</w:t>
      </w:r>
      <w:r>
        <w:rPr>
          <w:rFonts w:hint="cs"/>
          <w:sz w:val="24"/>
          <w:szCs w:val="24"/>
          <w:rtl/>
        </w:rPr>
        <w:t>ם הכי</w:t>
      </w:r>
      <w:r w:rsidRPr="0017446A">
        <w:rPr>
          <w:sz w:val="24"/>
          <w:szCs w:val="24"/>
          <w:rtl/>
        </w:rPr>
        <w:t xml:space="preserve"> התירו במלך וכלה</w:t>
      </w:r>
      <w:r>
        <w:rPr>
          <w:rFonts w:hint="cs"/>
          <w:sz w:val="24"/>
          <w:szCs w:val="24"/>
          <w:rtl/>
        </w:rPr>
        <w:t>,</w:t>
      </w:r>
      <w:r>
        <w:rPr>
          <w:sz w:val="24"/>
          <w:szCs w:val="24"/>
          <w:rtl/>
        </w:rPr>
        <w:t xml:space="preserve"> דלא עבדו לשום תענוג ושרו מ</w:t>
      </w:r>
      <w:r>
        <w:rPr>
          <w:rFonts w:hint="cs"/>
          <w:sz w:val="24"/>
          <w:szCs w:val="24"/>
          <w:rtl/>
        </w:rPr>
        <w:t>ן התורה. מה שאין כן</w:t>
      </w:r>
      <w:r>
        <w:rPr>
          <w:sz w:val="24"/>
          <w:szCs w:val="24"/>
          <w:rtl/>
        </w:rPr>
        <w:t xml:space="preserve"> אכילה ושתי</w:t>
      </w:r>
      <w:r>
        <w:rPr>
          <w:rFonts w:hint="cs"/>
          <w:sz w:val="24"/>
          <w:szCs w:val="24"/>
          <w:rtl/>
        </w:rPr>
        <w:t>ה</w:t>
      </w:r>
      <w:r w:rsidRPr="0017446A">
        <w:rPr>
          <w:sz w:val="24"/>
          <w:szCs w:val="24"/>
          <w:rtl/>
        </w:rPr>
        <w:t xml:space="preserve"> אסור בכל ענין שמ</w:t>
      </w:r>
      <w:r>
        <w:rPr>
          <w:sz w:val="24"/>
          <w:szCs w:val="24"/>
          <w:rtl/>
        </w:rPr>
        <w:t>שבר הרעבון בדרך אכילה, משום דנ</w:t>
      </w:r>
      <w:r>
        <w:rPr>
          <w:rFonts w:hint="cs"/>
          <w:sz w:val="24"/>
          <w:szCs w:val="24"/>
          <w:rtl/>
        </w:rPr>
        <w:t>פקא לן</w:t>
      </w:r>
      <w:r w:rsidRPr="0017446A">
        <w:rPr>
          <w:sz w:val="24"/>
          <w:szCs w:val="24"/>
          <w:rtl/>
        </w:rPr>
        <w:t xml:space="preserve"> מ</w:t>
      </w:r>
      <w:r>
        <w:rPr>
          <w:rFonts w:hint="cs"/>
          <w:sz w:val="24"/>
          <w:szCs w:val="24"/>
          <w:rtl/>
        </w:rPr>
        <w:t>'</w:t>
      </w:r>
      <w:r w:rsidRPr="0017446A">
        <w:rPr>
          <w:sz w:val="24"/>
          <w:szCs w:val="24"/>
          <w:rtl/>
        </w:rPr>
        <w:t>והאבדתי את הנפש</w:t>
      </w:r>
      <w:r>
        <w:rPr>
          <w:rFonts w:hint="cs"/>
          <w:sz w:val="24"/>
          <w:szCs w:val="24"/>
          <w:rtl/>
        </w:rPr>
        <w:t xml:space="preserve">' </w:t>
      </w:r>
      <w:r>
        <w:rPr>
          <w:sz w:val="24"/>
          <w:szCs w:val="24"/>
          <w:rtl/>
        </w:rPr>
        <w:t>– שיש בו אבידת הנפש, או בג</w:t>
      </w:r>
      <w:r>
        <w:rPr>
          <w:rFonts w:hint="cs"/>
          <w:sz w:val="24"/>
          <w:szCs w:val="24"/>
          <w:rtl/>
        </w:rPr>
        <w:t>זירה שווה</w:t>
      </w:r>
      <w:r w:rsidRPr="0017446A">
        <w:rPr>
          <w:sz w:val="24"/>
          <w:szCs w:val="24"/>
          <w:rtl/>
        </w:rPr>
        <w:t xml:space="preserve"> דע</w:t>
      </w:r>
      <w:r>
        <w:rPr>
          <w:rFonts w:hint="cs"/>
          <w:sz w:val="24"/>
          <w:szCs w:val="24"/>
          <w:rtl/>
        </w:rPr>
        <w:t>י</w:t>
      </w:r>
      <w:r w:rsidRPr="0017446A">
        <w:rPr>
          <w:sz w:val="24"/>
          <w:szCs w:val="24"/>
          <w:rtl/>
        </w:rPr>
        <w:t>נוי ע</w:t>
      </w:r>
      <w:r>
        <w:rPr>
          <w:rFonts w:hint="cs"/>
          <w:sz w:val="24"/>
          <w:szCs w:val="24"/>
          <w:rtl/>
        </w:rPr>
        <w:t>י</w:t>
      </w:r>
      <w:r w:rsidRPr="0017446A">
        <w:rPr>
          <w:sz w:val="24"/>
          <w:szCs w:val="24"/>
          <w:rtl/>
        </w:rPr>
        <w:t>נוי מ</w:t>
      </w:r>
      <w:r>
        <w:rPr>
          <w:rFonts w:hint="cs"/>
          <w:sz w:val="24"/>
          <w:szCs w:val="24"/>
          <w:rtl/>
        </w:rPr>
        <w:t>'</w:t>
      </w:r>
      <w:r w:rsidRPr="0017446A">
        <w:rPr>
          <w:sz w:val="24"/>
          <w:szCs w:val="24"/>
          <w:rtl/>
        </w:rPr>
        <w:t>ויענך וירעבך</w:t>
      </w:r>
      <w:r>
        <w:rPr>
          <w:rFonts w:hint="cs"/>
          <w:sz w:val="24"/>
          <w:szCs w:val="24"/>
          <w:rtl/>
        </w:rPr>
        <w:t>'</w:t>
      </w:r>
      <w:r w:rsidRPr="0017446A">
        <w:rPr>
          <w:sz w:val="24"/>
          <w:szCs w:val="24"/>
          <w:rtl/>
        </w:rPr>
        <w:t>, אלמא דבעינן שיהא באותו יום באבידת הנפש</w:t>
      </w:r>
      <w:r>
        <w:rPr>
          <w:rFonts w:hint="cs"/>
          <w:sz w:val="24"/>
          <w:szCs w:val="24"/>
          <w:rtl/>
        </w:rPr>
        <w:t>,</w:t>
      </w:r>
      <w:r w:rsidRPr="0017446A">
        <w:rPr>
          <w:sz w:val="24"/>
          <w:szCs w:val="24"/>
          <w:rtl/>
        </w:rPr>
        <w:t xml:space="preserve"> שהוא מיעוט חלב וד</w:t>
      </w:r>
      <w:r>
        <w:rPr>
          <w:sz w:val="24"/>
          <w:szCs w:val="24"/>
          <w:rtl/>
        </w:rPr>
        <w:t>ם או שיהא ברעבון, וכל האוכל אפי</w:t>
      </w:r>
      <w:r>
        <w:rPr>
          <w:rFonts w:hint="cs"/>
          <w:sz w:val="24"/>
          <w:szCs w:val="24"/>
          <w:rtl/>
        </w:rPr>
        <w:t>לו</w:t>
      </w:r>
      <w:r w:rsidRPr="0017446A">
        <w:rPr>
          <w:sz w:val="24"/>
          <w:szCs w:val="24"/>
          <w:rtl/>
        </w:rPr>
        <w:t xml:space="preserve"> שלא לתענ</w:t>
      </w:r>
      <w:r>
        <w:rPr>
          <w:sz w:val="24"/>
          <w:szCs w:val="24"/>
          <w:rtl/>
        </w:rPr>
        <w:t>וג הרי אינו רעב ואין נפשו אובדת</w:t>
      </w:r>
      <w:r>
        <w:rPr>
          <w:rFonts w:hint="cs"/>
          <w:sz w:val="24"/>
          <w:szCs w:val="24"/>
          <w:rtl/>
        </w:rPr>
        <w:t>.</w:t>
      </w:r>
      <w:r w:rsidRPr="0017446A">
        <w:rPr>
          <w:sz w:val="24"/>
          <w:szCs w:val="24"/>
          <w:rtl/>
        </w:rPr>
        <w:t xml:space="preserve"> אבל לשון </w:t>
      </w:r>
      <w:r>
        <w:rPr>
          <w:rFonts w:hint="cs"/>
          <w:sz w:val="24"/>
          <w:szCs w:val="24"/>
          <w:rtl/>
        </w:rPr>
        <w:t>'</w:t>
      </w:r>
      <w:r w:rsidRPr="0017446A">
        <w:rPr>
          <w:sz w:val="24"/>
          <w:szCs w:val="24"/>
          <w:rtl/>
        </w:rPr>
        <w:t>ועיניתם</w:t>
      </w:r>
      <w:r>
        <w:rPr>
          <w:rFonts w:hint="cs"/>
          <w:sz w:val="24"/>
          <w:szCs w:val="24"/>
          <w:rtl/>
        </w:rPr>
        <w:t>'</w:t>
      </w:r>
      <w:r w:rsidRPr="0017446A">
        <w:rPr>
          <w:sz w:val="24"/>
          <w:szCs w:val="24"/>
          <w:rtl/>
        </w:rPr>
        <w:t xml:space="preserve"> דכתיב בחמש עינוים לא אסרה תורה אלא התענוג שבהעדרם מיקרי ענוי</w:t>
      </w:r>
      <w:r>
        <w:rPr>
          <w:rFonts w:hint="cs"/>
          <w:sz w:val="24"/>
          <w:szCs w:val="24"/>
          <w:rtl/>
        </w:rPr>
        <w:t>,</w:t>
      </w:r>
      <w:r>
        <w:rPr>
          <w:sz w:val="24"/>
          <w:szCs w:val="24"/>
          <w:rtl/>
        </w:rPr>
        <w:t xml:space="preserve"> וכל שאינו עוסק בתענוג ה</w:t>
      </w:r>
      <w:r>
        <w:rPr>
          <w:rFonts w:hint="cs"/>
          <w:sz w:val="24"/>
          <w:szCs w:val="24"/>
          <w:rtl/>
        </w:rPr>
        <w:t>רי זה</w:t>
      </w:r>
      <w:r w:rsidRPr="0017446A">
        <w:rPr>
          <w:sz w:val="24"/>
          <w:szCs w:val="24"/>
          <w:rtl/>
        </w:rPr>
        <w:t xml:space="preserve"> בכלל מענה נפשו, שהרי אינו מתענג</w:t>
      </w:r>
      <w:r>
        <w:rPr>
          <w:rFonts w:hint="cs"/>
          <w:sz w:val="24"/>
          <w:szCs w:val="24"/>
          <w:rtl/>
        </w:rPr>
        <w:t xml:space="preserve">. </w:t>
      </w:r>
    </w:p>
    <w:p w:rsidR="0010620B" w:rsidRDefault="0010620B" w:rsidP="0010620B">
      <w:pPr>
        <w:spacing w:before="200" w:line="276" w:lineRule="exact"/>
        <w:ind w:left="720"/>
        <w:jc w:val="right"/>
        <w:rPr>
          <w:sz w:val="24"/>
          <w:szCs w:val="24"/>
          <w:rtl/>
        </w:rPr>
      </w:pPr>
      <w:r>
        <w:rPr>
          <w:rFonts w:hint="cs"/>
          <w:sz w:val="20"/>
          <w:szCs w:val="20"/>
          <w:rtl/>
        </w:rPr>
        <w:t>[העמק שאלה קסז, א]</w:t>
      </w:r>
    </w:p>
    <w:p w:rsidR="0010620B" w:rsidRDefault="0010620B" w:rsidP="0010620B">
      <w:pPr>
        <w:spacing w:before="200" w:line="276" w:lineRule="exact"/>
        <w:ind w:firstLine="227"/>
        <w:rPr>
          <w:color w:val="FF0000"/>
          <w:sz w:val="24"/>
          <w:szCs w:val="24"/>
          <w:rtl/>
        </w:rPr>
      </w:pPr>
      <w:r>
        <w:rPr>
          <w:rFonts w:hint="cs"/>
          <w:sz w:val="24"/>
          <w:szCs w:val="24"/>
          <w:rtl/>
        </w:rPr>
        <w:t xml:space="preserve">הנצי"ב סבור כי גם אכילה ושתייה וגם שאר האיסורים אסורים מחמת מצות העינוי, ואף על פי כן גדר העינוי שבהם שונה. העינוי שבהימנעות מאכילה ושתייה הוא מחמת איבוד הנפש הכרוך בכך, ואילו העינוי שבשאר האיסורים הוא מחמת מניעת התענוג שבאי עשייתם. לפי זה, הנצי"ב סבור </w:t>
      </w:r>
      <w:r>
        <w:rPr>
          <w:sz w:val="24"/>
          <w:szCs w:val="24"/>
          <w:rtl/>
        </w:rPr>
        <w:t>–</w:t>
      </w:r>
      <w:r>
        <w:rPr>
          <w:rFonts w:hint="cs"/>
          <w:sz w:val="24"/>
          <w:szCs w:val="24"/>
          <w:rtl/>
        </w:rPr>
        <w:t xml:space="preserve"> כפי שהתבאר לעיל בשיטת הרמב"ם </w:t>
      </w:r>
      <w:r>
        <w:rPr>
          <w:sz w:val="24"/>
          <w:szCs w:val="24"/>
          <w:rtl/>
        </w:rPr>
        <w:t>–</w:t>
      </w:r>
      <w:r>
        <w:rPr>
          <w:rFonts w:hint="cs"/>
          <w:sz w:val="24"/>
          <w:szCs w:val="24"/>
          <w:rtl/>
        </w:rPr>
        <w:t xml:space="preserve"> שההיתרים הקיימים בשאר האיסורים נובעים מכך שהאיסור אינו בעצם עשיית מעשים אלו אלא בהתענגות, ולכן אין איסור תורה כאשר מעשים אלו נעשים שלא לשם תענוג. אולם, לדבריו, היתרים אלו אינם קיימים באכילה ובשתייה, הואיל ובכל אכילה ושתייה, גם כאשר אין בה הנאה, האדם מקיים את עצמו ומונע את איבוד נפשו.</w:t>
      </w:r>
      <w:r>
        <w:rPr>
          <w:color w:val="FF0000"/>
          <w:sz w:val="24"/>
          <w:szCs w:val="24"/>
          <w:rtl/>
        </w:rPr>
        <w:t xml:space="preserve"> </w:t>
      </w:r>
    </w:p>
    <w:p w:rsidR="0010620B" w:rsidRPr="000925BF" w:rsidRDefault="0010620B" w:rsidP="0010620B">
      <w:pPr>
        <w:spacing w:before="200" w:line="276" w:lineRule="auto"/>
        <w:ind w:firstLine="227"/>
        <w:rPr>
          <w:color w:val="FF0000"/>
          <w:sz w:val="24"/>
          <w:szCs w:val="24"/>
          <w:rtl/>
        </w:rPr>
      </w:pPr>
    </w:p>
    <w:p w:rsidR="0010620B" w:rsidRPr="008519AE" w:rsidRDefault="0010620B" w:rsidP="0010620B">
      <w:pPr>
        <w:spacing w:after="0" w:line="276" w:lineRule="auto"/>
        <w:ind w:firstLine="227"/>
        <w:jc w:val="right"/>
        <w:rPr>
          <w:sz w:val="24"/>
          <w:szCs w:val="24"/>
        </w:rPr>
      </w:pPr>
      <w:r w:rsidRPr="008519AE">
        <w:rPr>
          <w:rFonts w:hint="cs"/>
          <w:sz w:val="24"/>
          <w:szCs w:val="24"/>
          <w:u w:val="single"/>
          <w:rtl/>
        </w:rPr>
        <w:t>להערות ולתגובות</w:t>
      </w:r>
      <w:r w:rsidRPr="008519AE">
        <w:rPr>
          <w:rFonts w:hint="cs"/>
          <w:sz w:val="24"/>
          <w:szCs w:val="24"/>
          <w:rtl/>
        </w:rPr>
        <w:t>: שלמה ליפשיץ</w:t>
      </w:r>
    </w:p>
    <w:p w:rsidR="0010620B" w:rsidRPr="008519AE" w:rsidRDefault="0010620B" w:rsidP="0010620B">
      <w:pPr>
        <w:spacing w:after="0" w:line="276" w:lineRule="auto"/>
        <w:ind w:firstLine="227"/>
        <w:jc w:val="right"/>
        <w:rPr>
          <w:sz w:val="24"/>
          <w:szCs w:val="24"/>
          <w:rtl/>
        </w:rPr>
      </w:pPr>
      <w:hyperlink r:id="rId32" w:history="1">
        <w:r w:rsidRPr="008519AE">
          <w:rPr>
            <w:rStyle w:val="Hyperlink"/>
            <w:sz w:val="24"/>
            <w:szCs w:val="24"/>
          </w:rPr>
          <w:t>lshlomo26@gmail.com</w:t>
        </w:r>
      </w:hyperlink>
    </w:p>
    <w:p w:rsidR="0010620B" w:rsidRPr="008519AE" w:rsidRDefault="0010620B" w:rsidP="0010620B">
      <w:pPr>
        <w:spacing w:before="160" w:after="0" w:line="240" w:lineRule="auto"/>
        <w:jc w:val="center"/>
        <w:rPr>
          <w:rFonts w:hint="cs"/>
          <w:color w:val="525252" w:themeColor="accent3" w:themeShade="80"/>
          <w:rtl/>
        </w:rPr>
      </w:pPr>
    </w:p>
    <w:p w:rsidR="0010620B" w:rsidRPr="00782FFD" w:rsidRDefault="0010620B" w:rsidP="00782FFD">
      <w:pPr>
        <w:spacing w:after="0" w:line="240" w:lineRule="auto"/>
        <w:rPr>
          <w:color w:val="525252" w:themeColor="accent3" w:themeShade="80"/>
          <w:sz w:val="28"/>
          <w:szCs w:val="28"/>
          <w:rtl/>
        </w:rPr>
      </w:pPr>
      <w:r>
        <w:rPr>
          <w:color w:val="525252" w:themeColor="accent3" w:themeShade="80"/>
          <w:sz w:val="28"/>
          <w:szCs w:val="28"/>
          <w:rtl/>
        </w:rPr>
        <w:br w:type="page"/>
      </w:r>
    </w:p>
    <w:p w:rsidR="0010620B" w:rsidRPr="00992F96" w:rsidRDefault="0010620B" w:rsidP="0010620B">
      <w:pPr>
        <w:keepNext/>
        <w:keepLines/>
        <w:spacing w:before="240" w:after="0" w:line="276" w:lineRule="exact"/>
        <w:jc w:val="center"/>
        <w:outlineLvl w:val="0"/>
        <w:rPr>
          <w:rFonts w:asciiTheme="majorHAnsi" w:eastAsiaTheme="majorEastAsia" w:hAnsiTheme="majorHAnsi"/>
          <w:bCs/>
          <w:sz w:val="36"/>
          <w:szCs w:val="36"/>
          <w:rtl/>
        </w:rPr>
      </w:pPr>
      <w:bookmarkStart w:id="123" w:name="_Toc76719216"/>
      <w:r w:rsidRPr="00992F96">
        <w:rPr>
          <w:rFonts w:asciiTheme="majorHAnsi" w:eastAsiaTheme="majorEastAsia" w:hAnsiTheme="majorHAnsi" w:hint="cs"/>
          <w:bCs/>
          <w:sz w:val="40"/>
          <w:szCs w:val="40"/>
          <w:rtl/>
        </w:rPr>
        <w:lastRenderedPageBreak/>
        <w:t>יסודות יומא</w:t>
      </w:r>
      <w:bookmarkEnd w:id="123"/>
    </w:p>
    <w:p w:rsidR="0010620B" w:rsidRPr="00992F96" w:rsidRDefault="0010620B" w:rsidP="0010620B">
      <w:pPr>
        <w:keepNext/>
        <w:keepLines/>
        <w:spacing w:before="240" w:after="0" w:line="276" w:lineRule="exact"/>
        <w:jc w:val="center"/>
        <w:outlineLvl w:val="0"/>
        <w:rPr>
          <w:rFonts w:asciiTheme="majorHAnsi" w:eastAsiaTheme="majorEastAsia" w:hAnsiTheme="majorHAnsi"/>
          <w:b/>
          <w:sz w:val="32"/>
          <w:szCs w:val="32"/>
          <w:rtl/>
        </w:rPr>
      </w:pPr>
      <w:bookmarkStart w:id="124" w:name="_Toc76719217"/>
      <w:r w:rsidRPr="00992F96">
        <w:rPr>
          <w:rFonts w:asciiTheme="majorHAnsi" w:eastAsiaTheme="majorEastAsia" w:hAnsiTheme="majorHAnsi" w:hint="cs"/>
          <w:b/>
          <w:sz w:val="32"/>
          <w:szCs w:val="32"/>
          <w:rtl/>
        </w:rPr>
        <w:t>שיעור עשרים וחמישה</w:t>
      </w:r>
      <w:bookmarkEnd w:id="124"/>
    </w:p>
    <w:p w:rsidR="0010620B" w:rsidRPr="00992F96" w:rsidRDefault="0010620B" w:rsidP="00782FFD">
      <w:pPr>
        <w:keepNext/>
        <w:keepLines/>
        <w:spacing w:before="240" w:after="0" w:line="276" w:lineRule="exact"/>
        <w:jc w:val="center"/>
        <w:outlineLvl w:val="0"/>
        <w:rPr>
          <w:rFonts w:asciiTheme="majorHAnsi" w:eastAsiaTheme="majorEastAsia" w:hAnsiTheme="majorHAnsi"/>
          <w:bCs/>
          <w:sz w:val="32"/>
          <w:szCs w:val="32"/>
          <w:rtl/>
        </w:rPr>
      </w:pPr>
      <w:bookmarkStart w:id="125" w:name="_Toc76719218"/>
      <w:r w:rsidRPr="00992F96">
        <w:rPr>
          <w:rFonts w:asciiTheme="majorHAnsi" w:eastAsiaTheme="majorEastAsia" w:hAnsiTheme="majorHAnsi" w:hint="cs"/>
          <w:bCs/>
          <w:sz w:val="36"/>
          <w:szCs w:val="36"/>
          <w:rtl/>
        </w:rPr>
        <w:t xml:space="preserve">איסור </w:t>
      </w:r>
      <w:r w:rsidR="00782FFD">
        <w:rPr>
          <w:rFonts w:asciiTheme="majorHAnsi" w:eastAsiaTheme="majorEastAsia" w:hAnsiTheme="majorHAnsi" w:hint="cs"/>
          <w:bCs/>
          <w:sz w:val="36"/>
          <w:szCs w:val="36"/>
          <w:rtl/>
        </w:rPr>
        <w:t>רחיצה, סיכה</w:t>
      </w:r>
      <w:r w:rsidRPr="00992F96">
        <w:rPr>
          <w:rFonts w:asciiTheme="majorHAnsi" w:eastAsiaTheme="majorEastAsia" w:hAnsiTheme="majorHAnsi" w:hint="cs"/>
          <w:bCs/>
          <w:sz w:val="36"/>
          <w:szCs w:val="36"/>
          <w:rtl/>
        </w:rPr>
        <w:t xml:space="preserve"> ונעילת הסנדל</w:t>
      </w:r>
      <w:bookmarkEnd w:id="125"/>
    </w:p>
    <w:p w:rsidR="0010620B" w:rsidRPr="00756AC8" w:rsidRDefault="0010620B" w:rsidP="0010620B">
      <w:pPr>
        <w:spacing w:line="276" w:lineRule="exact"/>
        <w:rPr>
          <w:highlight w:val="green"/>
          <w:rtl/>
        </w:rPr>
      </w:pPr>
      <w:r w:rsidRPr="00756AC8">
        <w:rPr>
          <w:noProof/>
          <w:highlight w:val="green"/>
          <w:rtl/>
        </w:rPr>
        <mc:AlternateContent>
          <mc:Choice Requires="wps">
            <w:drawing>
              <wp:anchor distT="0" distB="0" distL="114300" distR="114300" simplePos="0" relativeHeight="251724800" behindDoc="1" locked="0" layoutInCell="1" allowOverlap="1" wp14:anchorId="4475139F" wp14:editId="5A7E85B0">
                <wp:simplePos x="0" y="0"/>
                <wp:positionH relativeFrom="margin">
                  <wp:align>center</wp:align>
                </wp:positionH>
                <wp:positionV relativeFrom="paragraph">
                  <wp:posOffset>228600</wp:posOffset>
                </wp:positionV>
                <wp:extent cx="5765800" cy="7566660"/>
                <wp:effectExtent l="0" t="0" r="25400" b="15240"/>
                <wp:wrapNone/>
                <wp:docPr id="42" name="מלבן 42"/>
                <wp:cNvGraphicFramePr/>
                <a:graphic xmlns:a="http://schemas.openxmlformats.org/drawingml/2006/main">
                  <a:graphicData uri="http://schemas.microsoft.com/office/word/2010/wordprocessingShape">
                    <wps:wsp>
                      <wps:cNvSpPr/>
                      <wps:spPr>
                        <a:xfrm>
                          <a:off x="0" y="0"/>
                          <a:ext cx="5765800" cy="756666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AA5BC" id="מלבן 42" o:spid="_x0000_s1026" style="position:absolute;left:0;text-align:left;margin-left:0;margin-top:18pt;width:454pt;height:595.8pt;z-index:-251591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pwhwIAAAMFAAAOAAAAZHJzL2Uyb0RvYy54bWysVEtu2zAQ3RfoHQjuG9mGHSdC5MBw4KJA&#10;kARIiqxpirIE8FeStuzeovuiPZav00dKcT7NqigX1AxnOJ/HN7q43ClJtsL5xuiCDk8GlAjNTdno&#10;dUG/Piw/nVHiA9Mlk0aLgu6Fp5ezjx8uWpuLkamNLIUjCKJ93tqC1iHYPMs8r4Vi/sRYoWGsjFMs&#10;QHXrrHSsRXQls9FgcJq1xpXWGS68x+lVZ6SzFL+qBA+3VeVFILKgqC2k3aV9FfdsdsHytWO2bnhf&#10;BvuHKhRrNJIeQ12xwMjGNX+FUg13xpsqnHCjMlNVDRepB3QzHLzp5r5mVqReAI63R5j8/wvLb7Z3&#10;jjRlQccjSjRTeKPDr8PPw4/Db4Ij4NNan8Pt3t65XvMQY7O7yqn4RRtklzDdHzEVu0A4DifT08nZ&#10;ANBz2KaTU6yEevZ83TofPgujSBQK6vBoCUu2vfYBKeH65BKzeSObctlImZS9X0hHtgzvC1qUpqVE&#10;Mh9wWNBlWrEHhHh1TWrSgq7ng0msjIF4lWQBorKAwus1JUyuwWgeXKrl1W3v1qtj1vF4OlqM30sS&#10;i75ivu6qSxGiG8tVE0B62aiCAhqs/rbU0SoSbfvWI/gd3FFamXKP53Km47G3fNkgyTUavmMOxEU3&#10;GMZwi62SBi2aXqKkNu77e+fRH3yClZIWg4D2v22YE8DxiwbTzofjcZycpIwn0xEU99KyemnRG7Uw&#10;eIshxt7yJEb/IJ9OK2fUI2Z2HrPCxDRH7g7oXlmEbkAx9VzM58kN02JZuNb3lsfgEacI78PukTnb&#10;EyeAczfmaWhY/oY/nW+8qc18E0zVJHI94wqaRAWTlgjT/xXiKL/Uk9fzv2v2BwAA//8DAFBLAwQU&#10;AAYACAAAACEATxChdt0AAAAIAQAADwAAAGRycy9kb3ducmV2LnhtbEyPQU/DMAyF70j8h8hI3Fiy&#10;IpVRmk4MCQEHJjamnbPGtBWJU5psLf8ec4KTbb2n5++Vy8k7ccIhdoE0zGcKBFIdbEeNht3749UC&#10;REyGrHGBUMM3RlhW52elKWwYaYOnbWoEh1AsjIY2pb6QMtYtehNnoUdi7SMM3iQ+h0bawYwc7p3M&#10;lMqlNx3xh9b0+NBi/bk9eg0vq+Zr/9zMN7l3b+OKntT6NSitLy+m+zsQCaf0Z4ZffEaHipkO4Ug2&#10;CqeBiyQN1zlPVm/VgpcD27LsJgdZlfJ/geoHAAD//wMAUEsBAi0AFAAGAAgAAAAhALaDOJL+AAAA&#10;4QEAABMAAAAAAAAAAAAAAAAAAAAAAFtDb250ZW50X1R5cGVzXS54bWxQSwECLQAUAAYACAAAACEA&#10;OP0h/9YAAACUAQAACwAAAAAAAAAAAAAAAAAvAQAAX3JlbHMvLnJlbHNQSwECLQAUAAYACAAAACEA&#10;Szh6cIcCAAADBQAADgAAAAAAAAAAAAAAAAAuAgAAZHJzL2Uyb0RvYy54bWxQSwECLQAUAAYACAAA&#10;ACEATxChdt0AAAAIAQAADwAAAAAAAAAAAAAAAADhBAAAZHJzL2Rvd25yZXYueG1sUEsFBgAAAAAE&#10;AAQA8wAAAOsFAAAAAA==&#10;" fillcolor="window" strokecolor="#4472c4" strokeweight="1.5pt">
                <w10:wrap anchorx="margin"/>
              </v:rect>
            </w:pict>
          </mc:Fallback>
        </mc:AlternateContent>
      </w:r>
    </w:p>
    <w:p w:rsidR="0010620B" w:rsidRPr="00CB7BB7" w:rsidRDefault="0010620B" w:rsidP="0010620B">
      <w:pPr>
        <w:spacing w:line="276" w:lineRule="exact"/>
        <w:jc w:val="center"/>
        <w:rPr>
          <w:b/>
          <w:bCs/>
          <w:sz w:val="24"/>
          <w:szCs w:val="24"/>
          <w:rtl/>
        </w:rPr>
      </w:pPr>
      <w:r w:rsidRPr="00CB7BB7">
        <w:rPr>
          <w:rFonts w:hint="cs"/>
          <w:b/>
          <w:bCs/>
          <w:sz w:val="24"/>
          <w:szCs w:val="24"/>
          <w:rtl/>
        </w:rPr>
        <w:t>מקורות</w:t>
      </w:r>
    </w:p>
    <w:p w:rsidR="0010620B" w:rsidRPr="001065B4" w:rsidRDefault="0010620B" w:rsidP="0010620B">
      <w:pPr>
        <w:spacing w:line="276" w:lineRule="exact"/>
        <w:rPr>
          <w:sz w:val="24"/>
          <w:szCs w:val="24"/>
          <w:u w:val="single"/>
          <w:rtl/>
        </w:rPr>
      </w:pPr>
      <w:r>
        <w:rPr>
          <w:rFonts w:hint="cs"/>
          <w:sz w:val="24"/>
          <w:szCs w:val="24"/>
          <w:u w:val="single"/>
          <w:rtl/>
        </w:rPr>
        <w:t>איסור רחיצה וסיכה</w:t>
      </w:r>
    </w:p>
    <w:p w:rsidR="0010620B" w:rsidRDefault="0010620B" w:rsidP="0010620B">
      <w:pPr>
        <w:spacing w:line="276" w:lineRule="exact"/>
        <w:rPr>
          <w:sz w:val="24"/>
          <w:szCs w:val="24"/>
          <w:rtl/>
        </w:rPr>
      </w:pPr>
      <w:r w:rsidRPr="001065B4">
        <w:rPr>
          <w:rFonts w:hint="cs"/>
          <w:sz w:val="24"/>
          <w:szCs w:val="24"/>
          <w:rtl/>
        </w:rPr>
        <w:t xml:space="preserve">א. גמ' יומא </w:t>
      </w:r>
      <w:r w:rsidRPr="001065B4">
        <w:rPr>
          <w:sz w:val="24"/>
          <w:szCs w:val="24"/>
          <w:rtl/>
        </w:rPr>
        <w:t>עז:</w:t>
      </w:r>
      <w:r>
        <w:rPr>
          <w:rFonts w:hint="cs"/>
          <w:sz w:val="24"/>
          <w:szCs w:val="24"/>
          <w:rtl/>
        </w:rPr>
        <w:t>-עח.</w:t>
      </w:r>
      <w:r>
        <w:rPr>
          <w:sz w:val="24"/>
          <w:szCs w:val="24"/>
          <w:rtl/>
        </w:rPr>
        <w:t xml:space="preserve"> "ת"ר אסור לרחוץ</w:t>
      </w:r>
      <w:r>
        <w:rPr>
          <w:rFonts w:hint="cs"/>
          <w:sz w:val="24"/>
          <w:szCs w:val="24"/>
          <w:rtl/>
        </w:rPr>
        <w:t xml:space="preserve">... </w:t>
      </w:r>
      <w:r w:rsidRPr="001065B4">
        <w:rPr>
          <w:sz w:val="24"/>
          <w:szCs w:val="24"/>
          <w:rtl/>
        </w:rPr>
        <w:t>ואותבינך סחיטה"</w:t>
      </w:r>
    </w:p>
    <w:p w:rsidR="0010620B" w:rsidRDefault="0010620B" w:rsidP="0010620B">
      <w:pPr>
        <w:spacing w:line="276" w:lineRule="exact"/>
        <w:rPr>
          <w:sz w:val="24"/>
          <w:szCs w:val="24"/>
          <w:rtl/>
        </w:rPr>
      </w:pPr>
      <w:r>
        <w:rPr>
          <w:rFonts w:hint="cs"/>
          <w:sz w:val="24"/>
          <w:szCs w:val="24"/>
          <w:rtl/>
        </w:rPr>
        <w:t>ב. תוס' עז. ד"ה מניין</w:t>
      </w:r>
    </w:p>
    <w:p w:rsidR="0010620B" w:rsidRDefault="0010620B" w:rsidP="0010620B">
      <w:pPr>
        <w:spacing w:line="276" w:lineRule="exact"/>
        <w:rPr>
          <w:sz w:val="24"/>
          <w:szCs w:val="24"/>
          <w:rtl/>
        </w:rPr>
      </w:pPr>
      <w:r>
        <w:rPr>
          <w:rFonts w:hint="cs"/>
          <w:sz w:val="24"/>
          <w:szCs w:val="24"/>
          <w:rtl/>
        </w:rPr>
        <w:t>ג. ר"ן א: ד"ה ואם היה</w:t>
      </w:r>
    </w:p>
    <w:p w:rsidR="0010620B" w:rsidRDefault="0010620B" w:rsidP="0010620B">
      <w:pPr>
        <w:spacing w:line="276" w:lineRule="exact"/>
        <w:rPr>
          <w:sz w:val="24"/>
          <w:szCs w:val="24"/>
          <w:rtl/>
        </w:rPr>
      </w:pPr>
      <w:r>
        <w:rPr>
          <w:rFonts w:hint="cs"/>
          <w:sz w:val="24"/>
          <w:szCs w:val="24"/>
          <w:rtl/>
        </w:rPr>
        <w:t>ד. טור או"ח סי' תריג "רחיצה... של תענוג"; סי' תריד "סיכה... הזוהמא אסור"</w:t>
      </w:r>
    </w:p>
    <w:p w:rsidR="0010620B" w:rsidRDefault="0010620B" w:rsidP="0010620B">
      <w:pPr>
        <w:spacing w:line="276" w:lineRule="exact"/>
        <w:rPr>
          <w:sz w:val="24"/>
          <w:szCs w:val="24"/>
          <w:rtl/>
        </w:rPr>
      </w:pPr>
      <w:r>
        <w:rPr>
          <w:rFonts w:hint="cs"/>
          <w:sz w:val="24"/>
          <w:szCs w:val="24"/>
          <w:rtl/>
        </w:rPr>
        <w:t>ה. ב"ח סי' תריג ד"ה ומ"ש שלא אסרו; מגן אברהם סי' תריד ס"ק א</w:t>
      </w:r>
    </w:p>
    <w:p w:rsidR="0010620B" w:rsidRDefault="0010620B" w:rsidP="0010620B">
      <w:pPr>
        <w:spacing w:line="276" w:lineRule="exact"/>
        <w:rPr>
          <w:sz w:val="24"/>
          <w:szCs w:val="24"/>
          <w:u w:val="single"/>
          <w:rtl/>
        </w:rPr>
      </w:pPr>
      <w:r>
        <w:rPr>
          <w:rFonts w:hint="cs"/>
          <w:sz w:val="24"/>
          <w:szCs w:val="24"/>
          <w:u w:val="single"/>
          <w:rtl/>
        </w:rPr>
        <w:t>איסור נעילת הסנדל</w:t>
      </w:r>
    </w:p>
    <w:p w:rsidR="0010620B" w:rsidRDefault="0010620B" w:rsidP="0010620B">
      <w:pPr>
        <w:spacing w:line="276" w:lineRule="exact"/>
        <w:rPr>
          <w:sz w:val="24"/>
          <w:szCs w:val="24"/>
          <w:rtl/>
        </w:rPr>
      </w:pPr>
      <w:r>
        <w:rPr>
          <w:rFonts w:hint="cs"/>
          <w:sz w:val="24"/>
          <w:szCs w:val="24"/>
          <w:rtl/>
        </w:rPr>
        <w:t>ו. גמ' עח.-: "ותו קא מיבעיא להו... ומר סבר לא גזרינן"</w:t>
      </w:r>
    </w:p>
    <w:p w:rsidR="0010620B" w:rsidRDefault="0010620B" w:rsidP="0010620B">
      <w:pPr>
        <w:spacing w:line="276" w:lineRule="exact"/>
        <w:rPr>
          <w:sz w:val="24"/>
          <w:szCs w:val="24"/>
          <w:rtl/>
        </w:rPr>
      </w:pPr>
      <w:r>
        <w:rPr>
          <w:rFonts w:hint="cs"/>
          <w:sz w:val="24"/>
          <w:szCs w:val="24"/>
          <w:rtl/>
        </w:rPr>
        <w:t>ז. קובץ הערות סי' עג אות ג</w:t>
      </w:r>
    </w:p>
    <w:p w:rsidR="0010620B" w:rsidRDefault="0010620B" w:rsidP="0010620B">
      <w:pPr>
        <w:spacing w:line="276" w:lineRule="exact"/>
        <w:rPr>
          <w:sz w:val="24"/>
          <w:szCs w:val="24"/>
          <w:rtl/>
        </w:rPr>
      </w:pPr>
      <w:r>
        <w:rPr>
          <w:rFonts w:hint="cs"/>
          <w:sz w:val="24"/>
          <w:szCs w:val="24"/>
          <w:rtl/>
        </w:rPr>
        <w:t xml:space="preserve">ח. רי"ף ב.-: </w:t>
      </w:r>
      <w:r w:rsidRPr="001065B4">
        <w:rPr>
          <w:sz w:val="24"/>
          <w:szCs w:val="24"/>
          <w:rtl/>
        </w:rPr>
        <w:t>"איבעיא להו מהו לצאת בסנדל... אכרעיה ונפיק"</w:t>
      </w:r>
      <w:r>
        <w:rPr>
          <w:rFonts w:hint="cs"/>
          <w:sz w:val="24"/>
          <w:szCs w:val="24"/>
          <w:rtl/>
        </w:rPr>
        <w:t>; ר"ן שם, ד"ה הלכך; [מלחמות ה' שם, "אמר הכותב והרי כריסה... אלא מנעל וסנדל"]</w:t>
      </w:r>
    </w:p>
    <w:p w:rsidR="0010620B" w:rsidRDefault="0010620B" w:rsidP="0010620B">
      <w:pPr>
        <w:spacing w:line="276" w:lineRule="exact"/>
        <w:rPr>
          <w:sz w:val="24"/>
          <w:szCs w:val="24"/>
          <w:rtl/>
        </w:rPr>
      </w:pPr>
      <w:r>
        <w:rPr>
          <w:rFonts w:hint="cs"/>
          <w:sz w:val="24"/>
          <w:szCs w:val="24"/>
          <w:rtl/>
        </w:rPr>
        <w:t>ט. רמב"ם הל' שביתת עשור פ"ג ה"ז</w:t>
      </w:r>
    </w:p>
    <w:p w:rsidR="0010620B" w:rsidRDefault="0010620B" w:rsidP="0010620B">
      <w:pPr>
        <w:spacing w:line="276" w:lineRule="exact"/>
        <w:rPr>
          <w:sz w:val="24"/>
          <w:szCs w:val="24"/>
          <w:rtl/>
        </w:rPr>
      </w:pPr>
      <w:r>
        <w:rPr>
          <w:rFonts w:hint="cs"/>
          <w:sz w:val="24"/>
          <w:szCs w:val="24"/>
          <w:rtl/>
        </w:rPr>
        <w:t xml:space="preserve">י. שיטת ריב"ב (על הרי"ף) ב. ד"ה שעם </w:t>
      </w:r>
    </w:p>
    <w:p w:rsidR="0010620B" w:rsidRDefault="0010620B" w:rsidP="0010620B">
      <w:pPr>
        <w:spacing w:line="276" w:lineRule="exact"/>
        <w:rPr>
          <w:sz w:val="24"/>
          <w:szCs w:val="24"/>
          <w:rtl/>
        </w:rPr>
      </w:pPr>
      <w:r>
        <w:rPr>
          <w:rFonts w:hint="cs"/>
          <w:sz w:val="24"/>
          <w:szCs w:val="24"/>
          <w:rtl/>
        </w:rPr>
        <w:t>יא. ערוך השולחן סי' תריד סעי' ב-ד</w:t>
      </w:r>
    </w:p>
    <w:p w:rsidR="0010620B" w:rsidRDefault="0010620B" w:rsidP="0010620B">
      <w:pPr>
        <w:spacing w:line="276" w:lineRule="exact"/>
        <w:rPr>
          <w:sz w:val="24"/>
          <w:szCs w:val="24"/>
          <w:rtl/>
        </w:rPr>
      </w:pPr>
    </w:p>
    <w:p w:rsidR="0010620B" w:rsidRPr="001065B4" w:rsidRDefault="0010620B" w:rsidP="0010620B">
      <w:pPr>
        <w:spacing w:after="120" w:line="276" w:lineRule="exact"/>
        <w:rPr>
          <w:rFonts w:ascii="FrankRuehl" w:hAnsi="FrankRuehl" w:cs="FrankRuehl"/>
          <w:b/>
          <w:bCs/>
          <w:sz w:val="24"/>
          <w:szCs w:val="24"/>
          <w:rtl/>
        </w:rPr>
      </w:pPr>
      <w:r w:rsidRPr="001065B4">
        <w:rPr>
          <w:rFonts w:ascii="FrankRuehl" w:hAnsi="FrankRuehl" w:cs="FrankRuehl" w:hint="cs"/>
          <w:b/>
          <w:bCs/>
          <w:sz w:val="24"/>
          <w:szCs w:val="24"/>
          <w:rtl/>
        </w:rPr>
        <w:t>טור אורח חיים סי' תריג</w:t>
      </w:r>
    </w:p>
    <w:p w:rsidR="0010620B" w:rsidRPr="001065B4" w:rsidRDefault="0010620B" w:rsidP="0010620B">
      <w:pPr>
        <w:spacing w:after="120" w:line="276" w:lineRule="exact"/>
        <w:rPr>
          <w:rFonts w:ascii="FrankRuehl" w:hAnsi="FrankRuehl" w:cs="FrankRuehl"/>
          <w:sz w:val="24"/>
          <w:szCs w:val="24"/>
          <w:rtl/>
        </w:rPr>
      </w:pPr>
      <w:r w:rsidRPr="001065B4">
        <w:rPr>
          <w:rFonts w:ascii="FrankRuehl" w:hAnsi="FrankRuehl" w:cs="FrankRuehl"/>
          <w:sz w:val="24"/>
          <w:szCs w:val="24"/>
          <w:rtl/>
        </w:rPr>
        <w:t>רחיצה</w:t>
      </w:r>
      <w:r>
        <w:rPr>
          <w:rFonts w:ascii="FrankRuehl" w:hAnsi="FrankRuehl" w:cs="FrankRuehl" w:hint="cs"/>
          <w:sz w:val="24"/>
          <w:szCs w:val="24"/>
          <w:rtl/>
        </w:rPr>
        <w:t>,</w:t>
      </w:r>
      <w:r w:rsidRPr="001065B4">
        <w:rPr>
          <w:rFonts w:ascii="FrankRuehl" w:hAnsi="FrankRuehl" w:cs="FrankRuehl"/>
          <w:sz w:val="24"/>
          <w:szCs w:val="24"/>
          <w:rtl/>
        </w:rPr>
        <w:t xml:space="preserve"> דתניא</w:t>
      </w:r>
      <w:r>
        <w:rPr>
          <w:rFonts w:ascii="FrankRuehl" w:hAnsi="FrankRuehl" w:cs="FrankRuehl" w:hint="cs"/>
          <w:sz w:val="24"/>
          <w:szCs w:val="24"/>
          <w:rtl/>
        </w:rPr>
        <w:t>,</w:t>
      </w:r>
      <w:r w:rsidRPr="001065B4">
        <w:rPr>
          <w:rFonts w:ascii="FrankRuehl" w:hAnsi="FrankRuehl" w:cs="FrankRuehl"/>
          <w:sz w:val="24"/>
          <w:szCs w:val="24"/>
          <w:rtl/>
        </w:rPr>
        <w:t xml:space="preserve"> אסור לרחוץ ביה"כ מקצת גופו ככל גופו</w:t>
      </w:r>
      <w:r>
        <w:rPr>
          <w:rFonts w:ascii="FrankRuehl" w:hAnsi="FrankRuehl" w:cs="FrankRuehl" w:hint="cs"/>
          <w:sz w:val="24"/>
          <w:szCs w:val="24"/>
          <w:rtl/>
        </w:rPr>
        <w:t>,</w:t>
      </w:r>
      <w:r w:rsidRPr="001065B4">
        <w:rPr>
          <w:rFonts w:ascii="FrankRuehl" w:hAnsi="FrankRuehl" w:cs="FrankRuehl"/>
          <w:sz w:val="24"/>
          <w:szCs w:val="24"/>
          <w:rtl/>
        </w:rPr>
        <w:t xml:space="preserve"> ואפי' להושיט אצבע</w:t>
      </w:r>
      <w:r>
        <w:rPr>
          <w:rFonts w:ascii="FrankRuehl" w:hAnsi="FrankRuehl" w:cs="FrankRuehl"/>
          <w:sz w:val="24"/>
          <w:szCs w:val="24"/>
          <w:rtl/>
        </w:rPr>
        <w:t>ו במים אסור בין בחמין בין בצונן</w:t>
      </w:r>
      <w:r>
        <w:rPr>
          <w:rFonts w:ascii="FrankRuehl" w:hAnsi="FrankRuehl" w:cs="FrankRuehl" w:hint="cs"/>
          <w:sz w:val="24"/>
          <w:szCs w:val="24"/>
          <w:rtl/>
        </w:rPr>
        <w:t xml:space="preserve">. </w:t>
      </w:r>
      <w:r w:rsidRPr="001065B4">
        <w:rPr>
          <w:rFonts w:ascii="FrankRuehl" w:hAnsi="FrankRuehl" w:cs="FrankRuehl"/>
          <w:sz w:val="24"/>
          <w:szCs w:val="24"/>
          <w:rtl/>
        </w:rPr>
        <w:t>ואם היו ידיו מלוכלכות בטיט וצואה מותר לרוחצן</w:t>
      </w:r>
      <w:r>
        <w:rPr>
          <w:rFonts w:ascii="FrankRuehl" w:hAnsi="FrankRuehl" w:cs="FrankRuehl" w:hint="cs"/>
          <w:sz w:val="24"/>
          <w:szCs w:val="24"/>
          <w:rtl/>
        </w:rPr>
        <w:t xml:space="preserve">, </w:t>
      </w:r>
      <w:r w:rsidRPr="001065B4">
        <w:rPr>
          <w:rFonts w:ascii="FrankRuehl" w:hAnsi="FrankRuehl" w:cs="FrankRuehl"/>
          <w:sz w:val="24"/>
          <w:szCs w:val="24"/>
          <w:rtl/>
        </w:rPr>
        <w:t>שלא אסרו אלא רחיצה של תענוג.</w:t>
      </w:r>
    </w:p>
    <w:p w:rsidR="0010620B" w:rsidRPr="001065B4" w:rsidRDefault="0010620B" w:rsidP="0010620B">
      <w:pPr>
        <w:spacing w:after="120" w:line="276" w:lineRule="exact"/>
        <w:rPr>
          <w:rFonts w:ascii="FrankRuehl" w:hAnsi="FrankRuehl" w:cs="FrankRuehl"/>
          <w:sz w:val="24"/>
          <w:szCs w:val="24"/>
          <w:rtl/>
        </w:rPr>
      </w:pPr>
    </w:p>
    <w:p w:rsidR="0010620B" w:rsidRPr="001065B4" w:rsidRDefault="0010620B" w:rsidP="0010620B">
      <w:pPr>
        <w:spacing w:after="120" w:line="276" w:lineRule="exact"/>
        <w:rPr>
          <w:rFonts w:ascii="FrankRuehl" w:hAnsi="FrankRuehl" w:cs="FrankRuehl"/>
          <w:b/>
          <w:bCs/>
          <w:sz w:val="24"/>
          <w:szCs w:val="24"/>
          <w:rtl/>
        </w:rPr>
      </w:pPr>
      <w:r w:rsidRPr="001065B4">
        <w:rPr>
          <w:rFonts w:ascii="FrankRuehl" w:hAnsi="FrankRuehl" w:cs="FrankRuehl"/>
          <w:b/>
          <w:bCs/>
          <w:sz w:val="24"/>
          <w:szCs w:val="24"/>
          <w:rtl/>
        </w:rPr>
        <w:t>טור אורח חיים סי' תריד</w:t>
      </w:r>
    </w:p>
    <w:p w:rsidR="0010620B" w:rsidRDefault="0010620B" w:rsidP="0010620B">
      <w:pPr>
        <w:spacing w:after="120" w:line="276" w:lineRule="exact"/>
        <w:rPr>
          <w:rFonts w:ascii="FrankRuehl" w:hAnsi="FrankRuehl" w:cs="FrankRuehl"/>
          <w:sz w:val="24"/>
          <w:szCs w:val="24"/>
          <w:rtl/>
        </w:rPr>
      </w:pPr>
      <w:r w:rsidRPr="001065B4">
        <w:rPr>
          <w:rFonts w:ascii="FrankRuehl" w:hAnsi="FrankRuehl" w:cs="FrankRuehl"/>
          <w:sz w:val="24"/>
          <w:szCs w:val="24"/>
          <w:rtl/>
        </w:rPr>
        <w:t>סיכה, דתניא, אסור לסוך מקצת גופו ככל גופו, ואם הוא חולה, אפילו אין בו סכנה, או שיש לו חטטין בראשו סך כדרכו ואינו חושש, אבל בלא חולי, אפילו אם אינו סך לתענוג אלא להעביר הזוהמא אסור.</w:t>
      </w:r>
    </w:p>
    <w:p w:rsidR="0010620B" w:rsidRDefault="0010620B" w:rsidP="0010620B">
      <w:pPr>
        <w:spacing w:after="120" w:line="276" w:lineRule="exact"/>
        <w:rPr>
          <w:rFonts w:ascii="FrankRuehl" w:hAnsi="FrankRuehl" w:cs="FrankRuehl"/>
          <w:sz w:val="24"/>
          <w:szCs w:val="24"/>
          <w:rtl/>
        </w:rPr>
      </w:pPr>
    </w:p>
    <w:p w:rsidR="0010620B" w:rsidRDefault="0010620B" w:rsidP="0010620B">
      <w:pPr>
        <w:spacing w:after="120" w:line="276" w:lineRule="exact"/>
        <w:rPr>
          <w:rFonts w:ascii="FrankRuehl" w:hAnsi="FrankRuehl" w:cs="FrankRuehl"/>
          <w:b/>
          <w:bCs/>
          <w:sz w:val="24"/>
          <w:szCs w:val="24"/>
          <w:rtl/>
        </w:rPr>
      </w:pPr>
      <w:r>
        <w:rPr>
          <w:rFonts w:ascii="FrankRuehl" w:hAnsi="FrankRuehl" w:cs="FrankRuehl" w:hint="cs"/>
          <w:b/>
          <w:bCs/>
          <w:sz w:val="24"/>
          <w:szCs w:val="24"/>
          <w:rtl/>
        </w:rPr>
        <w:t>ב"ח סי' תריג ד"ה ומ"ש שלא אסרו</w:t>
      </w:r>
    </w:p>
    <w:p w:rsidR="0010620B" w:rsidRDefault="0010620B" w:rsidP="0010620B">
      <w:pPr>
        <w:spacing w:after="120" w:line="276" w:lineRule="exact"/>
        <w:rPr>
          <w:rFonts w:ascii="FrankRuehl" w:hAnsi="FrankRuehl" w:cs="FrankRuehl"/>
          <w:sz w:val="24"/>
          <w:szCs w:val="24"/>
          <w:rtl/>
        </w:rPr>
      </w:pPr>
      <w:r w:rsidRPr="001065B4">
        <w:rPr>
          <w:rFonts w:ascii="FrankRuehl" w:hAnsi="FrankRuehl" w:cs="FrankRuehl"/>
          <w:sz w:val="24"/>
          <w:szCs w:val="24"/>
          <w:rtl/>
        </w:rPr>
        <w:t>ומ"ש שלא אסרו אלא רחיצה של תענוג. זה אינו מפורש לשם, אלא שרבינו סובר כן, מדהתירו לרחוץ הלכלוך, אלמא שלא אסרו אלא של תענוג, וכן כתבו שאר מחברים. ומכל מקום יראה דלאו דוקא דשל תענוג, אלא אפילו אינה של תענוג כגון להעביר הזוהמא נמי אסור, ולא שרי אלא כשהוא מלוכלך, שזה דומה לדין חטטין דשרינן בסיכה אף על פי שאינו של סכנה, אבל סיכה להעביר הזוהמא אסור, כמ"ש בסימן תרי"ד, והוא הדין ברחיצה, דרחיצה וסיכה שוין</w:t>
      </w:r>
      <w:r>
        <w:rPr>
          <w:rFonts w:ascii="FrankRuehl" w:hAnsi="FrankRuehl" w:cs="FrankRuehl" w:hint="cs"/>
          <w:sz w:val="24"/>
          <w:szCs w:val="24"/>
          <w:rtl/>
        </w:rPr>
        <w:t>.</w:t>
      </w:r>
    </w:p>
    <w:p w:rsidR="0010620B" w:rsidRDefault="0010620B" w:rsidP="0010620B">
      <w:pPr>
        <w:spacing w:after="120" w:line="276" w:lineRule="exact"/>
        <w:rPr>
          <w:rFonts w:ascii="FrankRuehl" w:hAnsi="FrankRuehl" w:cs="FrankRuehl"/>
          <w:sz w:val="24"/>
          <w:szCs w:val="24"/>
          <w:rtl/>
        </w:rPr>
      </w:pPr>
    </w:p>
    <w:p w:rsidR="0010620B" w:rsidRPr="001065B4" w:rsidRDefault="00C84762" w:rsidP="0010620B">
      <w:pPr>
        <w:spacing w:after="120" w:line="276" w:lineRule="exact"/>
        <w:rPr>
          <w:rFonts w:ascii="FrankRuehl" w:hAnsi="FrankRuehl" w:cs="FrankRuehl"/>
          <w:b/>
          <w:bCs/>
          <w:sz w:val="24"/>
          <w:szCs w:val="24"/>
          <w:rtl/>
        </w:rPr>
      </w:pPr>
      <w:r w:rsidRPr="001065B4">
        <w:rPr>
          <w:noProof/>
          <w:highlight w:val="green"/>
          <w:rtl/>
        </w:rPr>
        <w:lastRenderedPageBreak/>
        <mc:AlternateContent>
          <mc:Choice Requires="wps">
            <w:drawing>
              <wp:anchor distT="0" distB="0" distL="114300" distR="114300" simplePos="0" relativeHeight="251757568" behindDoc="1" locked="0" layoutInCell="1" allowOverlap="1" wp14:anchorId="777A6D23" wp14:editId="2EB9CB55">
                <wp:simplePos x="0" y="0"/>
                <wp:positionH relativeFrom="margin">
                  <wp:posOffset>-251460</wp:posOffset>
                </wp:positionH>
                <wp:positionV relativeFrom="paragraph">
                  <wp:posOffset>-167640</wp:posOffset>
                </wp:positionV>
                <wp:extent cx="5765800" cy="8801100"/>
                <wp:effectExtent l="0" t="0" r="25400" b="19050"/>
                <wp:wrapNone/>
                <wp:docPr id="43" name="מלבן 43"/>
                <wp:cNvGraphicFramePr/>
                <a:graphic xmlns:a="http://schemas.openxmlformats.org/drawingml/2006/main">
                  <a:graphicData uri="http://schemas.microsoft.com/office/word/2010/wordprocessingShape">
                    <wps:wsp>
                      <wps:cNvSpPr/>
                      <wps:spPr>
                        <a:xfrm>
                          <a:off x="0" y="0"/>
                          <a:ext cx="5765800" cy="880110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3C52A" id="מלבן 43" o:spid="_x0000_s1026" style="position:absolute;left:0;text-align:left;margin-left:-19.8pt;margin-top:-13.2pt;width:454pt;height:693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NhQIAAAMFAAAOAAAAZHJzL2Uyb0RvYy54bWysVMtuGjEU3VfqP1jeNzNQSAjKECEiqkpR&#10;GimpsjYeDzOSX7UNA/2L7qv2s/idHnsm5NGsqrIw9+X7OD53Li53SpKtcL4xuqCDk5wSobkpG70u&#10;6Nf75YcJJT4wXTJptCjoXnh6OXv/7qK1UzE0tZGlcARJtJ+2tqB1CHaaZZ7XQjF/YqzQcFbGKRag&#10;unVWOtYiu5LZMM9Ps9a40jrDhfewXnVOOkv5q0rw8KWqvAhEFhS9hXS6dK7imc0u2HTtmK0b3rfB&#10;/qELxRqNosdUVywwsnHNX6lUw53xpgon3KjMVFXDRZoB0wzyV9Pc1cyKNAvA8fYIk/9/afnN9taR&#10;pizo6CMlmim80eHX4efhx+E3gQn4tNZPEXZnb12veYhx2F3lVPzHGGSXMN0fMRW7QDiM47PT8SQH&#10;9By+ySQfDKAgT/Z03TofPgmjSBQK6vBoCUu2vfahC30MidW8kU25bKRMyt4vpCNbhvcFLUrTUiKZ&#10;DzAWdJl+fbUX16QmLeh6no9jZwzEqyQLEJUFFF6vKWFyDUbz4FIvL257t14dq45GZ8PF6K0isekr&#10;5uuuu5QhhrGpagJILxsFRPL4629LHb0i0bYfPYLfwR2llSn3eC5nOh57y5cNilxj4FvmQFxMg2UM&#10;X3BU0mBE00uU1MZ9f8se48EneClpsQgY/9uGOQEcP2sw7XwwGsXNScpofDaE4p57Vs89eqMWBm8x&#10;wNpbnsQYH+SjtXJGPWBn57EqXExz1O6A7pVF6BYUW8/FfJ7CsC2WhWt9Z3lMHnGK8N7vHpizPXEC&#10;OHdjHpeGTV/xp4uNN7WZb4KpmkSuJ1xByqhg0xI9+69CXOXneop6+nbN/gAAAP//AwBQSwMEFAAG&#10;AAgAAAAhACZkI3PfAAAADAEAAA8AAABkcnMvZG93bnJldi54bWxMj8FOwzAQRO9I/IO1SNxauy1Y&#10;IcSpKBICDiBaEGc3Nk6EvQ6x24S/ZznBbVbzNDtTrafg2dEOqYuoYDEXwCw20XToFLy93s0KYClr&#10;NNpHtAq+bYJ1fXpS6dLEEbf2uMuOUQimUitoc+5LzlPT2qDTPPYWyfuIQ9CZzsFxM+iRwoPnSyEk&#10;D7pD+tDq3t62tvncHYKCx437en9wi60M/mXc4L14fopCqfOz6eYaWLZT/oPhtz5Vh5o67eMBTWJe&#10;wWx1JQklsZQXwIgoZEFiT+jqkjxeV/z/iPoHAAD//wMAUEsBAi0AFAAGAAgAAAAhALaDOJL+AAAA&#10;4QEAABMAAAAAAAAAAAAAAAAAAAAAAFtDb250ZW50X1R5cGVzXS54bWxQSwECLQAUAAYACAAAACEA&#10;OP0h/9YAAACUAQAACwAAAAAAAAAAAAAAAAAvAQAAX3JlbHMvLnJlbHNQSwECLQAUAAYACAAAACEA&#10;IeSvzYUCAAADBQAADgAAAAAAAAAAAAAAAAAuAgAAZHJzL2Uyb0RvYy54bWxQSwECLQAUAAYACAAA&#10;ACEAJmQjc98AAAAMAQAADwAAAAAAAAAAAAAAAADfBAAAZHJzL2Rvd25yZXYueG1sUEsFBgAAAAAE&#10;AAQA8wAAAOsFAAAAAA==&#10;" fillcolor="window" strokecolor="#4472c4" strokeweight="1.5pt">
                <w10:wrap anchorx="margin"/>
              </v:rect>
            </w:pict>
          </mc:Fallback>
        </mc:AlternateContent>
      </w:r>
      <w:r w:rsidR="0010620B">
        <w:rPr>
          <w:rFonts w:ascii="FrankRuehl" w:hAnsi="FrankRuehl" w:cs="FrankRuehl" w:hint="cs"/>
          <w:b/>
          <w:bCs/>
          <w:sz w:val="24"/>
          <w:szCs w:val="24"/>
          <w:rtl/>
        </w:rPr>
        <w:t>מגן אברהם סי' תריד ס"ק א</w:t>
      </w:r>
    </w:p>
    <w:p w:rsidR="0010620B" w:rsidRDefault="0010620B" w:rsidP="0010620B">
      <w:pPr>
        <w:spacing w:after="120" w:line="276" w:lineRule="exact"/>
        <w:rPr>
          <w:rFonts w:ascii="FrankRuehl" w:hAnsi="FrankRuehl" w:cs="FrankRuehl"/>
          <w:sz w:val="24"/>
          <w:szCs w:val="24"/>
          <w:rtl/>
        </w:rPr>
      </w:pPr>
      <w:r w:rsidRPr="001065B4">
        <w:rPr>
          <w:rFonts w:ascii="FrankRuehl" w:hAnsi="FrankRuehl" w:cs="FrankRuehl"/>
          <w:sz w:val="24"/>
          <w:szCs w:val="24"/>
          <w:rtl/>
        </w:rPr>
        <w:t>ואפי' אינו - צ"ע מאי שנא מרחיצה דשרי להעביר הזוהמא. וי"ל, דסיכה הוי תענוג טפי</w:t>
      </w:r>
      <w:r>
        <w:rPr>
          <w:rFonts w:ascii="FrankRuehl" w:hAnsi="FrankRuehl" w:cs="FrankRuehl" w:hint="cs"/>
          <w:sz w:val="24"/>
          <w:szCs w:val="24"/>
          <w:rtl/>
        </w:rPr>
        <w:t>.</w:t>
      </w:r>
    </w:p>
    <w:p w:rsidR="0010620B" w:rsidRDefault="0010620B" w:rsidP="0010620B">
      <w:pPr>
        <w:spacing w:after="120" w:line="276" w:lineRule="exact"/>
        <w:rPr>
          <w:rFonts w:ascii="FrankRuehl" w:hAnsi="FrankRuehl" w:cs="FrankRuehl"/>
          <w:sz w:val="24"/>
          <w:szCs w:val="24"/>
          <w:rtl/>
        </w:rPr>
      </w:pPr>
    </w:p>
    <w:p w:rsidR="0010620B" w:rsidRDefault="0010620B" w:rsidP="0010620B">
      <w:pPr>
        <w:spacing w:after="120" w:line="276" w:lineRule="exact"/>
        <w:rPr>
          <w:rFonts w:ascii="FrankRuehl" w:hAnsi="FrankRuehl" w:cs="FrankRuehl"/>
          <w:b/>
          <w:bCs/>
          <w:sz w:val="24"/>
          <w:szCs w:val="24"/>
          <w:rtl/>
        </w:rPr>
      </w:pPr>
      <w:r>
        <w:rPr>
          <w:rFonts w:ascii="FrankRuehl" w:hAnsi="FrankRuehl" w:cs="FrankRuehl" w:hint="cs"/>
          <w:b/>
          <w:bCs/>
          <w:sz w:val="24"/>
          <w:szCs w:val="24"/>
          <w:rtl/>
        </w:rPr>
        <w:t>קובץ הערות סי' עג אות ג</w:t>
      </w:r>
    </w:p>
    <w:p w:rsidR="0010620B" w:rsidRDefault="0010620B" w:rsidP="0010620B">
      <w:pPr>
        <w:spacing w:after="120" w:line="276" w:lineRule="exact"/>
        <w:rPr>
          <w:rFonts w:ascii="FrankRuehl" w:hAnsi="FrankRuehl" w:cs="FrankRuehl"/>
          <w:sz w:val="24"/>
          <w:szCs w:val="24"/>
          <w:rtl/>
        </w:rPr>
      </w:pPr>
      <w:r w:rsidRPr="00FF6465">
        <w:rPr>
          <w:rFonts w:ascii="FrankRuehl" w:hAnsi="FrankRuehl" w:cs="FrankRuehl"/>
          <w:sz w:val="24"/>
          <w:szCs w:val="24"/>
          <w:rtl/>
        </w:rPr>
        <w:t>פרק מצות חליצה [ק"ב ע"ב] אמר אביי דאית ביה כתיתי ומשום תענוג, א"ל רבא ותענוג ביוהכ"פ מי אסירא וכו'. והנה כל חמשת הדברים דאסורין ביוהכ"פ, ילפינן [יומא ע"ו ע"א] מקרא דתענו את נפשותיכם. ויש לפרשו בשני אופנים: א) דביטול העינוי הוא גוף האיסור. ולדוגמא, מה שאסור לאכול ביוכ"פ, אין האיסור על האכילה מצד עצמה, אלא מפני שע"י האכילה הוא מבטל את העינוי, ואילו משכחת אכילה שלא תבטל עינויו, היתה מותרת. ולהיפוך, ביטול עינוי, אסור גם בלא אכילה. ב) יש לפרש, דקרא דתענו, אינו אלא הילפותא אשר מזה נלמוד לאסור חמשת הדברים ביו"כ, אבל איסורן הוא מצד עצמן, דאכילה אסורה מצד עצמה, ולא מפני ביטול עינוי, וכן נעילת סנדל וכו'. ונראה שבזה נחלקו אביי ורבא, דאביי ס"ל כפירוש הראשון, דנעילת הסנדל אסורה מפני ביטול העינוי, ומשו"ה ס"ל דה"ה אנפיליא דאית בה כתיתין ג"כ אסורה, דיש בזה ג"כ ביטול עינוי כמו מנעילת סנדל. ורבא פריך, אטו תענוג ביו"כ מי אסירא, דס"ל כפירוש הב', דאין האיסור על ביטול העינוי מצד עצמו, אלא דמזה ילפינן לאסור נעילת הסנדל, וכיון דאנפיליא דאית בה כתיתין אינה בכלל נעילת הסנדל, אינה אסורה</w:t>
      </w:r>
      <w:r>
        <w:rPr>
          <w:rFonts w:ascii="FrankRuehl" w:hAnsi="FrankRuehl" w:cs="FrankRuehl" w:hint="cs"/>
          <w:sz w:val="24"/>
          <w:szCs w:val="24"/>
          <w:rtl/>
        </w:rPr>
        <w:t>.</w:t>
      </w:r>
    </w:p>
    <w:p w:rsidR="0010620B" w:rsidRDefault="0010620B" w:rsidP="0010620B">
      <w:pPr>
        <w:spacing w:after="120" w:line="276" w:lineRule="exact"/>
        <w:rPr>
          <w:rFonts w:ascii="FrankRuehl" w:hAnsi="FrankRuehl" w:cs="FrankRuehl"/>
          <w:sz w:val="24"/>
          <w:szCs w:val="24"/>
          <w:rtl/>
        </w:rPr>
      </w:pPr>
    </w:p>
    <w:p w:rsidR="0010620B" w:rsidRDefault="0010620B" w:rsidP="0010620B">
      <w:pPr>
        <w:spacing w:after="120" w:line="276" w:lineRule="exact"/>
        <w:rPr>
          <w:rFonts w:ascii="FrankRuehl" w:hAnsi="FrankRuehl" w:cs="FrankRuehl"/>
          <w:b/>
          <w:bCs/>
          <w:sz w:val="24"/>
          <w:szCs w:val="24"/>
          <w:rtl/>
        </w:rPr>
      </w:pPr>
      <w:r>
        <w:rPr>
          <w:rFonts w:ascii="FrankRuehl" w:hAnsi="FrankRuehl" w:cs="FrankRuehl" w:hint="cs"/>
          <w:b/>
          <w:bCs/>
          <w:sz w:val="24"/>
          <w:szCs w:val="24"/>
          <w:rtl/>
        </w:rPr>
        <w:t>שיטת ריב"ב ב. ד"ה שעם</w:t>
      </w:r>
    </w:p>
    <w:p w:rsidR="0010620B" w:rsidRDefault="0010620B" w:rsidP="0010620B">
      <w:pPr>
        <w:spacing w:after="120" w:line="276" w:lineRule="exact"/>
        <w:rPr>
          <w:rFonts w:ascii="FrankRuehl" w:hAnsi="FrankRuehl" w:cs="FrankRuehl"/>
          <w:sz w:val="24"/>
          <w:szCs w:val="24"/>
          <w:rtl/>
        </w:rPr>
      </w:pPr>
      <w:r>
        <w:rPr>
          <w:rFonts w:ascii="FrankRuehl" w:hAnsi="FrankRuehl" w:cs="FrankRuehl" w:hint="cs"/>
          <w:sz w:val="24"/>
          <w:szCs w:val="24"/>
          <w:rtl/>
        </w:rPr>
        <w:t>אלו דברי הרב דודי ז"ל, וקשיא לי הכותב הא דאמרינן בגמ' רב יהודה נפיק ברהיטני אביי נפיק בדהוצי רבה נפיק בדבלי, וקיימא לן בכל דוכתא דמעשה רב, והיכי שבקינן כל הני אמוראי משום רבא לחודיה דסבירא ליה מנעל הוא, והא דאותיב רמא בר חמא בגמרא הקיטע יוצא בקב שלו איכא לשנויי כדשני אביי וסוגיין בעלמא כותיה, דר' מאיר ור' יוסי במנעל ולא מנעל פליגי, ואפילו אסור לצאת בו ביום הכפורים משום תענוג, ואע"ג דאתקיף ליה רבא תענוג דלאו מנעל ביום הכפורים מי אסיר, והא רבה בר רב הונא כריך סודרא אכרעיה ונפיק, איכא למימר לא דמי תענוג הכתיתין העומדין על הקבב לכריכת הסודר הנוגע בקרקע. והא דאקשי ליה נמי מדקתני סיפא 'אם יש בו בית קיבול כתיתין טמא', מכלל דרישא בדלית ליה כתיתין עסקינן, איכא למימר לעולם רישא נמי בדאית ליה כתיתין עסיקינן, וסיפא בדאית ביה נקב בית קיבול ורישא בדלית ליה בית בית קיבול, והאי דלא אהדר ליה אביי לרבא, לאו משום דקיבלה אלא משום דלא חש לה.</w:t>
      </w:r>
    </w:p>
    <w:p w:rsidR="0010620B" w:rsidRDefault="0010620B" w:rsidP="0010620B">
      <w:pPr>
        <w:spacing w:after="120" w:line="276" w:lineRule="exact"/>
        <w:rPr>
          <w:rFonts w:ascii="FrankRuehl" w:hAnsi="FrankRuehl" w:cs="FrankRuehl"/>
          <w:sz w:val="24"/>
          <w:szCs w:val="24"/>
          <w:rtl/>
        </w:rPr>
      </w:pPr>
    </w:p>
    <w:p w:rsidR="0010620B" w:rsidRPr="00EA798D" w:rsidRDefault="0010620B" w:rsidP="0010620B">
      <w:pPr>
        <w:spacing w:after="120" w:line="276" w:lineRule="exact"/>
        <w:rPr>
          <w:rFonts w:ascii="FrankRuehl" w:hAnsi="FrankRuehl" w:cs="FrankRuehl"/>
          <w:b/>
          <w:bCs/>
          <w:sz w:val="24"/>
          <w:szCs w:val="24"/>
          <w:rtl/>
        </w:rPr>
      </w:pPr>
      <w:r>
        <w:rPr>
          <w:rFonts w:ascii="FrankRuehl" w:hAnsi="FrankRuehl" w:cs="FrankRuehl" w:hint="cs"/>
          <w:b/>
          <w:bCs/>
          <w:sz w:val="24"/>
          <w:szCs w:val="24"/>
          <w:rtl/>
        </w:rPr>
        <w:t>ערוך השולחן סי' תריד סעי' ב-ד</w:t>
      </w:r>
    </w:p>
    <w:p w:rsidR="0010620B" w:rsidRPr="00EA798D" w:rsidRDefault="0010620B" w:rsidP="0010620B">
      <w:pPr>
        <w:spacing w:after="120" w:line="276" w:lineRule="exact"/>
        <w:rPr>
          <w:rFonts w:ascii="FrankRuehl" w:hAnsi="FrankRuehl" w:cs="FrankRuehl"/>
          <w:sz w:val="24"/>
          <w:szCs w:val="24"/>
          <w:rtl/>
        </w:rPr>
      </w:pPr>
      <w:r w:rsidRPr="00EA798D">
        <w:rPr>
          <w:rFonts w:ascii="FrankRuehl" w:hAnsi="FrankRuehl" w:cs="FrankRuehl"/>
          <w:sz w:val="24"/>
          <w:szCs w:val="24"/>
          <w:rtl/>
        </w:rPr>
        <w:t>נעילת הסנדל מקרי עינוי כ</w:t>
      </w:r>
      <w:r>
        <w:rPr>
          <w:rFonts w:ascii="FrankRuehl" w:hAnsi="FrankRuehl" w:cs="FrankRuehl"/>
          <w:sz w:val="24"/>
          <w:szCs w:val="24"/>
          <w:rtl/>
        </w:rPr>
        <w:t>שאין הולכין בו ולכן אסור ביוה"כ</w:t>
      </w:r>
      <w:r>
        <w:rPr>
          <w:rFonts w:ascii="FrankRuehl" w:hAnsi="FrankRuehl" w:cs="FrankRuehl" w:hint="cs"/>
          <w:sz w:val="24"/>
          <w:szCs w:val="24"/>
          <w:rtl/>
        </w:rPr>
        <w:t xml:space="preserve">... </w:t>
      </w:r>
      <w:r w:rsidRPr="00EA798D">
        <w:rPr>
          <w:rFonts w:ascii="FrankRuehl" w:hAnsi="FrankRuehl" w:cs="FrankRuehl"/>
          <w:sz w:val="24"/>
          <w:szCs w:val="24"/>
          <w:rtl/>
        </w:rPr>
        <w:t>ויש בעניין זה ג' שיטות</w:t>
      </w:r>
      <w:r>
        <w:rPr>
          <w:rFonts w:ascii="FrankRuehl" w:hAnsi="FrankRuehl" w:cs="FrankRuehl" w:hint="cs"/>
          <w:sz w:val="24"/>
          <w:szCs w:val="24"/>
          <w:rtl/>
        </w:rPr>
        <w:t>:</w:t>
      </w:r>
      <w:r w:rsidRPr="00EA798D">
        <w:rPr>
          <w:rFonts w:ascii="FrankRuehl" w:hAnsi="FrankRuehl" w:cs="FrankRuehl"/>
          <w:sz w:val="24"/>
          <w:szCs w:val="24"/>
          <w:rtl/>
        </w:rPr>
        <w:t xml:space="preserve"> שיטת הטור והש"ע סעיף ב' דכל של</w:t>
      </w:r>
      <w:r>
        <w:rPr>
          <w:rFonts w:ascii="FrankRuehl" w:hAnsi="FrankRuehl" w:cs="FrankRuehl"/>
          <w:sz w:val="24"/>
          <w:szCs w:val="24"/>
          <w:rtl/>
        </w:rPr>
        <w:t xml:space="preserve"> עור אסור וכל שאינו של עור מותר</w:t>
      </w:r>
      <w:r>
        <w:rPr>
          <w:rFonts w:ascii="FrankRuehl" w:hAnsi="FrankRuehl" w:cs="FrankRuehl" w:hint="cs"/>
          <w:sz w:val="24"/>
          <w:szCs w:val="24"/>
          <w:rtl/>
        </w:rPr>
        <w:t>...</w:t>
      </w:r>
      <w:r>
        <w:rPr>
          <w:rFonts w:ascii="FrankRuehl" w:hAnsi="FrankRuehl" w:cs="FrankRuehl"/>
          <w:sz w:val="24"/>
          <w:szCs w:val="24"/>
          <w:rtl/>
        </w:rPr>
        <w:t xml:space="preserve"> וזהו דעת הרי"ף והרא"ש</w:t>
      </w:r>
      <w:r>
        <w:rPr>
          <w:rFonts w:ascii="FrankRuehl" w:hAnsi="FrankRuehl" w:cs="FrankRuehl" w:hint="cs"/>
          <w:sz w:val="24"/>
          <w:szCs w:val="24"/>
          <w:rtl/>
        </w:rPr>
        <w:t>.</w:t>
      </w:r>
    </w:p>
    <w:p w:rsidR="0010620B" w:rsidRDefault="0010620B" w:rsidP="0010620B">
      <w:pPr>
        <w:spacing w:after="120" w:line="276" w:lineRule="exact"/>
        <w:rPr>
          <w:rFonts w:ascii="FrankRuehl" w:hAnsi="FrankRuehl" w:cs="FrankRuehl"/>
          <w:sz w:val="24"/>
          <w:szCs w:val="24"/>
          <w:rtl/>
        </w:rPr>
      </w:pPr>
      <w:r w:rsidRPr="00EA798D">
        <w:rPr>
          <w:rFonts w:ascii="FrankRuehl" w:hAnsi="FrankRuehl" w:cs="FrankRuehl"/>
          <w:sz w:val="24"/>
          <w:szCs w:val="24"/>
          <w:rtl/>
        </w:rPr>
        <w:t>אבל שיטת רש"י דמנעל של עץ אסור וכן נראה מדברי התוס' בסוגיא דיומא</w:t>
      </w:r>
      <w:r>
        <w:rPr>
          <w:rFonts w:ascii="FrankRuehl" w:hAnsi="FrankRuehl" w:cs="FrankRuehl" w:hint="cs"/>
          <w:sz w:val="24"/>
          <w:szCs w:val="24"/>
          <w:rtl/>
        </w:rPr>
        <w:t>...</w:t>
      </w:r>
      <w:r w:rsidRPr="00EA798D">
        <w:rPr>
          <w:rFonts w:ascii="FrankRuehl" w:hAnsi="FrankRuehl" w:cs="FrankRuehl"/>
          <w:sz w:val="24"/>
          <w:szCs w:val="24"/>
          <w:rtl/>
        </w:rPr>
        <w:t xml:space="preserve"> אבל של גמי ושל שעם וקש ובגד ושארי מינים מותר ושיטת בעל המאור דלמסקנא דרבא כל המינים אסורים כשעשויים כעין מנעל והנה שיטה זו דחאה הרמב"ן ע"ש אבל שיטת רש"י ותוס' מוכחת להדיא בסוגיא שם</w:t>
      </w:r>
      <w:r>
        <w:rPr>
          <w:rFonts w:ascii="FrankRuehl" w:hAnsi="FrankRuehl" w:cs="FrankRuehl" w:hint="cs"/>
          <w:sz w:val="24"/>
          <w:szCs w:val="24"/>
          <w:rtl/>
        </w:rPr>
        <w:t>,</w:t>
      </w:r>
      <w:r w:rsidRPr="00EA798D">
        <w:rPr>
          <w:rFonts w:ascii="FrankRuehl" w:hAnsi="FrankRuehl" w:cs="FrankRuehl"/>
          <w:sz w:val="24"/>
          <w:szCs w:val="24"/>
          <w:rtl/>
        </w:rPr>
        <w:t xml:space="preserve"> אך באמת סוגיא דשבת [ס"ו:] וביבמות שם סותרת סוגיא דיומא דבשם מוכח להדיא דלרבנן לא מקרי מנעל דקיטע שהוא של עץ מנעל וצ"ל כמ"ש הרמב"ן שם דביומא הוי רק לר"מ ולר' יוסי ולא לרבנן והלכה כרבנן ע"ש ולכן הרי"ף לא הביא זה כלל</w:t>
      </w:r>
      <w:r>
        <w:rPr>
          <w:rFonts w:ascii="FrankRuehl" w:hAnsi="FrankRuehl" w:cs="FrankRuehl" w:hint="cs"/>
          <w:sz w:val="24"/>
          <w:szCs w:val="24"/>
          <w:rtl/>
        </w:rPr>
        <w:t>...</w:t>
      </w:r>
    </w:p>
    <w:p w:rsidR="0010620B" w:rsidRDefault="0010620B" w:rsidP="0010620B">
      <w:pPr>
        <w:spacing w:line="276" w:lineRule="exact"/>
        <w:rPr>
          <w:sz w:val="24"/>
          <w:szCs w:val="24"/>
          <w:highlight w:val="green"/>
          <w:rtl/>
        </w:rPr>
      </w:pPr>
      <w:r w:rsidRPr="00EA798D">
        <w:rPr>
          <w:rFonts w:ascii="FrankRuehl" w:hAnsi="FrankRuehl" w:cs="FrankRuehl"/>
          <w:sz w:val="24"/>
          <w:szCs w:val="24"/>
          <w:rtl/>
        </w:rPr>
        <w:t>ובדברי הרמב"ם פ"ג דין ז' יש מקום עיון והמפרשים תפסו שהוא עומד בשיטת הרי"ף והרא"ש דכל שאינו של עור מותר אפילו בשל עץ ולענ"ד לא משמע כן מלשונו שכתב אסור לנעול מנעל וסנדל אפילו ברגלו אחד ומותר לצאת בסנדל של שעם ושל גמי וכיוצא בהן וכורך אדם בגד על רגליו ויוצא בו שהרי קושי הארץ מגיע לרגליו ומרגיש שהוא יחף עכ"ל הרי שהצריך שהרגל תרגיש ביחיפתה ושל עץ פשיטא שלא תרגיש ואסור ונ"ל בטעמו דלאו משום דשל עץ מקרי מנעל שהרי לעניין חליצה פסק בעצמו בפ"ד מיבום [הי"ח] דשל עץ פסול אלא טעמו נ"ל דכיון דיוה"כ הוי טעמא משום עינוי לכן כל שאינו מתענה ואינו מרגיש שהולך יחף אסור דבכל הדברים כמו שעם וגמי ובגד הרגל מרגיש מפני שהן רכין ולא כן בשל עץ ולפ"ז נלע"ד דאין לצאת במנעל של עץ ביוה"כ כיון</w:t>
      </w:r>
      <w:r>
        <w:rPr>
          <w:rFonts w:ascii="FrankRuehl" w:hAnsi="FrankRuehl" w:cs="FrankRuehl"/>
          <w:sz w:val="24"/>
          <w:szCs w:val="24"/>
          <w:rtl/>
        </w:rPr>
        <w:t xml:space="preserve"> שכן הוא דעת רש"י ותוס' ורמב"ם</w:t>
      </w:r>
      <w:r>
        <w:rPr>
          <w:rFonts w:ascii="FrankRuehl" w:hAnsi="FrankRuehl" w:cs="FrankRuehl" w:hint="cs"/>
          <w:sz w:val="24"/>
          <w:szCs w:val="24"/>
          <w:rtl/>
        </w:rPr>
        <w:t>.</w:t>
      </w:r>
    </w:p>
    <w:p w:rsidR="0010620B" w:rsidRPr="00756AC8" w:rsidRDefault="0010620B" w:rsidP="0010620B">
      <w:pPr>
        <w:spacing w:line="276" w:lineRule="exact"/>
        <w:rPr>
          <w:rFonts w:ascii="FrankRuehl" w:hAnsi="FrankRuehl" w:cs="FrankRuehl"/>
          <w:sz w:val="24"/>
          <w:szCs w:val="24"/>
          <w:highlight w:val="green"/>
          <w:rtl/>
        </w:rPr>
      </w:pPr>
    </w:p>
    <w:p w:rsidR="0010620B" w:rsidRDefault="0010620B" w:rsidP="0010620B">
      <w:pPr>
        <w:spacing w:before="200" w:line="276" w:lineRule="exact"/>
        <w:ind w:firstLine="227"/>
        <w:rPr>
          <w:sz w:val="24"/>
          <w:szCs w:val="24"/>
          <w:rtl/>
        </w:rPr>
      </w:pPr>
      <w:r w:rsidRPr="00756AC8">
        <w:rPr>
          <w:rFonts w:hint="cs"/>
          <w:sz w:val="24"/>
          <w:szCs w:val="24"/>
          <w:rtl/>
        </w:rPr>
        <w:lastRenderedPageBreak/>
        <w:t>ב</w:t>
      </w:r>
      <w:r>
        <w:rPr>
          <w:rFonts w:hint="cs"/>
          <w:sz w:val="24"/>
          <w:szCs w:val="24"/>
          <w:rtl/>
        </w:rPr>
        <w:t>שיעור הקודם עסקנו בחמשת העינויים, ודנו בתוקף האיסורים ובגדרם: האם איסורים אלו הם מדאורייתא או מדרבנן, והאם האיסור הוא בעצם עשיית כל אחד ממעשים אלו או שיש דין כללי על שביתה מהנאות הגוף. בשיעור זה נעסוק באופן מפורט יותר באיסורים השונים, ונעיין בגדרי האיסורים לאור הדיונים העקרוניים שנידונו בשיעור הקודם.</w:t>
      </w:r>
    </w:p>
    <w:p w:rsidR="0010620B" w:rsidRDefault="0010620B" w:rsidP="0010620B">
      <w:pPr>
        <w:spacing w:before="200" w:line="276" w:lineRule="exact"/>
        <w:ind w:firstLine="227"/>
        <w:rPr>
          <w:sz w:val="24"/>
          <w:szCs w:val="24"/>
          <w:rtl/>
        </w:rPr>
      </w:pPr>
      <w:r>
        <w:rPr>
          <w:rFonts w:hint="cs"/>
          <w:sz w:val="24"/>
          <w:szCs w:val="24"/>
          <w:rtl/>
        </w:rPr>
        <w:t>הגמרא דנה בגדרי איסור נעילת הסנדל ביום הכיפורים:</w:t>
      </w:r>
    </w:p>
    <w:p w:rsidR="0010620B" w:rsidRDefault="0010620B" w:rsidP="0010620B">
      <w:pPr>
        <w:spacing w:before="200" w:line="276" w:lineRule="exact"/>
        <w:ind w:left="720"/>
        <w:rPr>
          <w:sz w:val="24"/>
          <w:szCs w:val="24"/>
          <w:rtl/>
        </w:rPr>
      </w:pPr>
      <w:r w:rsidRPr="00950D4D">
        <w:rPr>
          <w:sz w:val="24"/>
          <w:szCs w:val="24"/>
          <w:rtl/>
        </w:rPr>
        <w:t>ותו קא מבעיא להו מהו</w:t>
      </w:r>
      <w:r>
        <w:rPr>
          <w:rFonts w:hint="cs"/>
          <w:sz w:val="24"/>
          <w:szCs w:val="24"/>
          <w:rtl/>
        </w:rPr>
        <w:t>,</w:t>
      </w:r>
      <w:r w:rsidRPr="00950D4D">
        <w:rPr>
          <w:sz w:val="24"/>
          <w:szCs w:val="24"/>
          <w:rtl/>
        </w:rPr>
        <w:t xml:space="preserve"> לצאת בסנדל של</w:t>
      </w:r>
      <w:r>
        <w:rPr>
          <w:rFonts w:hint="cs"/>
          <w:sz w:val="24"/>
          <w:szCs w:val="24"/>
          <w:rtl/>
        </w:rPr>
        <w:t xml:space="preserve"> </w:t>
      </w:r>
      <w:r w:rsidRPr="00950D4D">
        <w:rPr>
          <w:sz w:val="24"/>
          <w:szCs w:val="24"/>
          <w:rtl/>
        </w:rPr>
        <w:t>שעם ביום הכפורים</w:t>
      </w:r>
      <w:r>
        <w:rPr>
          <w:rFonts w:hint="cs"/>
          <w:sz w:val="24"/>
          <w:szCs w:val="24"/>
          <w:rtl/>
        </w:rPr>
        <w:t>?</w:t>
      </w:r>
      <w:r w:rsidRPr="00950D4D">
        <w:rPr>
          <w:sz w:val="24"/>
          <w:szCs w:val="24"/>
          <w:rtl/>
        </w:rPr>
        <w:t xml:space="preserve"> עמד רבי יצחק בר נחמני על רגליו ואמר</w:t>
      </w:r>
      <w:r>
        <w:rPr>
          <w:rFonts w:hint="cs"/>
          <w:sz w:val="24"/>
          <w:szCs w:val="24"/>
          <w:rtl/>
        </w:rPr>
        <w:t>:</w:t>
      </w:r>
      <w:r w:rsidRPr="00950D4D">
        <w:rPr>
          <w:sz w:val="24"/>
          <w:szCs w:val="24"/>
          <w:rtl/>
        </w:rPr>
        <w:t xml:space="preserve"> אני ראיתי את רבי יהושע בן לוי שיצא בסנדל של שעם ביום הכפורים</w:t>
      </w:r>
      <w:r>
        <w:rPr>
          <w:rFonts w:hint="cs"/>
          <w:sz w:val="24"/>
          <w:szCs w:val="24"/>
          <w:rtl/>
        </w:rPr>
        <w:t>.</w:t>
      </w:r>
      <w:r w:rsidRPr="00950D4D">
        <w:rPr>
          <w:sz w:val="24"/>
          <w:szCs w:val="24"/>
          <w:rtl/>
        </w:rPr>
        <w:t xml:space="preserve"> ואמינא ליה</w:t>
      </w:r>
      <w:r>
        <w:rPr>
          <w:rFonts w:hint="cs"/>
          <w:sz w:val="24"/>
          <w:szCs w:val="24"/>
          <w:rtl/>
        </w:rPr>
        <w:t>:</w:t>
      </w:r>
      <w:r w:rsidRPr="00950D4D">
        <w:rPr>
          <w:sz w:val="24"/>
          <w:szCs w:val="24"/>
          <w:rtl/>
        </w:rPr>
        <w:t xml:space="preserve"> בתענית צבור מאי</w:t>
      </w:r>
      <w:r>
        <w:rPr>
          <w:rFonts w:hint="cs"/>
          <w:sz w:val="24"/>
          <w:szCs w:val="24"/>
          <w:rtl/>
        </w:rPr>
        <w:t>?</w:t>
      </w:r>
      <w:r w:rsidRPr="00950D4D">
        <w:rPr>
          <w:sz w:val="24"/>
          <w:szCs w:val="24"/>
          <w:rtl/>
        </w:rPr>
        <w:t xml:space="preserve"> אמר לי</w:t>
      </w:r>
      <w:r>
        <w:rPr>
          <w:rFonts w:hint="cs"/>
          <w:sz w:val="24"/>
          <w:szCs w:val="24"/>
          <w:rtl/>
        </w:rPr>
        <w:t>:</w:t>
      </w:r>
      <w:r w:rsidRPr="00950D4D">
        <w:rPr>
          <w:sz w:val="24"/>
          <w:szCs w:val="24"/>
          <w:rtl/>
        </w:rPr>
        <w:t xml:space="preserve"> לא שנא</w:t>
      </w:r>
      <w:r>
        <w:rPr>
          <w:rFonts w:hint="cs"/>
          <w:sz w:val="24"/>
          <w:szCs w:val="24"/>
          <w:rtl/>
        </w:rPr>
        <w:t>.</w:t>
      </w:r>
      <w:r w:rsidRPr="00950D4D">
        <w:rPr>
          <w:sz w:val="24"/>
          <w:szCs w:val="24"/>
          <w:rtl/>
        </w:rPr>
        <w:t xml:space="preserve"> אמר רבה בר בר חנה</w:t>
      </w:r>
      <w:r>
        <w:rPr>
          <w:rFonts w:hint="cs"/>
          <w:sz w:val="24"/>
          <w:szCs w:val="24"/>
          <w:rtl/>
        </w:rPr>
        <w:t>:</w:t>
      </w:r>
      <w:r w:rsidRPr="00950D4D">
        <w:rPr>
          <w:sz w:val="24"/>
          <w:szCs w:val="24"/>
          <w:rtl/>
        </w:rPr>
        <w:t xml:space="preserve"> אני ראיתי את רבי אלעזר דמן ננוה שיצא בסנדל של שעם בתענית צבור</w:t>
      </w:r>
      <w:r>
        <w:rPr>
          <w:rFonts w:hint="cs"/>
          <w:sz w:val="24"/>
          <w:szCs w:val="24"/>
          <w:rtl/>
        </w:rPr>
        <w:t>.</w:t>
      </w:r>
      <w:r w:rsidRPr="00950D4D">
        <w:rPr>
          <w:sz w:val="24"/>
          <w:szCs w:val="24"/>
          <w:rtl/>
        </w:rPr>
        <w:t xml:space="preserve"> ואמינא ליה</w:t>
      </w:r>
      <w:r>
        <w:rPr>
          <w:rFonts w:hint="cs"/>
          <w:sz w:val="24"/>
          <w:szCs w:val="24"/>
          <w:rtl/>
        </w:rPr>
        <w:t>:</w:t>
      </w:r>
      <w:r w:rsidRPr="00950D4D">
        <w:rPr>
          <w:sz w:val="24"/>
          <w:szCs w:val="24"/>
          <w:rtl/>
        </w:rPr>
        <w:t xml:space="preserve"> ביום הכפורים מאי</w:t>
      </w:r>
      <w:r>
        <w:rPr>
          <w:rFonts w:hint="cs"/>
          <w:sz w:val="24"/>
          <w:szCs w:val="24"/>
          <w:rtl/>
        </w:rPr>
        <w:t>?</w:t>
      </w:r>
      <w:r w:rsidRPr="00950D4D">
        <w:rPr>
          <w:sz w:val="24"/>
          <w:szCs w:val="24"/>
          <w:rtl/>
        </w:rPr>
        <w:t xml:space="preserve"> אמר לי</w:t>
      </w:r>
      <w:r>
        <w:rPr>
          <w:rFonts w:hint="cs"/>
          <w:sz w:val="24"/>
          <w:szCs w:val="24"/>
          <w:rtl/>
        </w:rPr>
        <w:t>:</w:t>
      </w:r>
      <w:r w:rsidRPr="00950D4D">
        <w:rPr>
          <w:sz w:val="24"/>
          <w:szCs w:val="24"/>
          <w:rtl/>
        </w:rPr>
        <w:t xml:space="preserve"> לא שנא</w:t>
      </w:r>
      <w:r>
        <w:rPr>
          <w:rFonts w:hint="cs"/>
          <w:sz w:val="24"/>
          <w:szCs w:val="24"/>
          <w:rtl/>
        </w:rPr>
        <w:t xml:space="preserve">. </w:t>
      </w:r>
      <w:r w:rsidRPr="00950D4D">
        <w:rPr>
          <w:sz w:val="24"/>
          <w:szCs w:val="24"/>
          <w:rtl/>
        </w:rPr>
        <w:t>רב יהודה נפיק בדהיטני</w:t>
      </w:r>
      <w:r>
        <w:rPr>
          <w:rFonts w:hint="cs"/>
          <w:sz w:val="24"/>
          <w:szCs w:val="24"/>
          <w:rtl/>
        </w:rPr>
        <w:t>,</w:t>
      </w:r>
      <w:r w:rsidRPr="00950D4D">
        <w:rPr>
          <w:sz w:val="24"/>
          <w:szCs w:val="24"/>
          <w:rtl/>
        </w:rPr>
        <w:t xml:space="preserve"> אביי נפיק בדהוצי</w:t>
      </w:r>
      <w:r>
        <w:rPr>
          <w:rFonts w:hint="cs"/>
          <w:sz w:val="24"/>
          <w:szCs w:val="24"/>
          <w:rtl/>
        </w:rPr>
        <w:t>,</w:t>
      </w:r>
      <w:r>
        <w:rPr>
          <w:sz w:val="24"/>
          <w:szCs w:val="24"/>
          <w:rtl/>
        </w:rPr>
        <w:t xml:space="preserve"> רבא נפיק בדיקולי</w:t>
      </w:r>
      <w:r>
        <w:rPr>
          <w:rFonts w:hint="cs"/>
          <w:sz w:val="24"/>
          <w:szCs w:val="24"/>
          <w:rtl/>
        </w:rPr>
        <w:t>,</w:t>
      </w:r>
      <w:r w:rsidRPr="00950D4D">
        <w:rPr>
          <w:sz w:val="24"/>
          <w:szCs w:val="24"/>
          <w:rtl/>
        </w:rPr>
        <w:t xml:space="preserve"> רבה בר רב הונא כריך סודרא אכרעיה ונפיק</w:t>
      </w:r>
      <w:r>
        <w:rPr>
          <w:rFonts w:hint="cs"/>
          <w:sz w:val="24"/>
          <w:szCs w:val="24"/>
          <w:rtl/>
        </w:rPr>
        <w:t xml:space="preserve">.  </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עח.-:]</w:t>
      </w:r>
    </w:p>
    <w:p w:rsidR="0010620B" w:rsidRDefault="0010620B" w:rsidP="0010620B">
      <w:pPr>
        <w:spacing w:before="200" w:line="276" w:lineRule="exact"/>
        <w:ind w:firstLine="227"/>
        <w:rPr>
          <w:sz w:val="24"/>
          <w:szCs w:val="24"/>
          <w:rtl/>
        </w:rPr>
      </w:pPr>
      <w:r>
        <w:rPr>
          <w:rFonts w:hint="cs"/>
          <w:sz w:val="24"/>
          <w:szCs w:val="24"/>
          <w:rtl/>
        </w:rPr>
        <w:t>הגמרא דנה האם מותר לצאת בסנדל שאינו של עור, והיא מספרת על אמוראים שונים שיצאו בסנדלים שונים שאינם של עור.</w:t>
      </w:r>
    </w:p>
    <w:p w:rsidR="0010620B" w:rsidRDefault="0010620B" w:rsidP="0010620B">
      <w:pPr>
        <w:spacing w:before="200" w:line="276" w:lineRule="exact"/>
        <w:ind w:firstLine="227"/>
        <w:rPr>
          <w:sz w:val="24"/>
          <w:szCs w:val="24"/>
          <w:rtl/>
        </w:rPr>
      </w:pPr>
      <w:r>
        <w:rPr>
          <w:rFonts w:hint="cs"/>
          <w:sz w:val="24"/>
          <w:szCs w:val="24"/>
          <w:rtl/>
        </w:rPr>
        <w:t>הגמרא מקשה על היתר זה מברייתא, בה מבואר שאסור לצאת בקב ביום הכיפורים:</w:t>
      </w:r>
    </w:p>
    <w:p w:rsidR="0010620B" w:rsidRPr="00950D4D" w:rsidRDefault="0010620B" w:rsidP="0010620B">
      <w:pPr>
        <w:spacing w:before="200" w:line="276" w:lineRule="exact"/>
        <w:ind w:left="720"/>
        <w:rPr>
          <w:sz w:val="20"/>
          <w:szCs w:val="20"/>
          <w:rtl/>
        </w:rPr>
      </w:pPr>
      <w:r w:rsidRPr="00950D4D">
        <w:rPr>
          <w:sz w:val="24"/>
          <w:szCs w:val="24"/>
          <w:rtl/>
        </w:rPr>
        <w:t>מתיב רמי בר חמא</w:t>
      </w:r>
      <w:r>
        <w:rPr>
          <w:rFonts w:hint="cs"/>
          <w:sz w:val="24"/>
          <w:szCs w:val="24"/>
          <w:rtl/>
        </w:rPr>
        <w:t>:</w:t>
      </w:r>
      <w:r w:rsidRPr="00950D4D">
        <w:rPr>
          <w:sz w:val="24"/>
          <w:szCs w:val="24"/>
          <w:rtl/>
        </w:rPr>
        <w:t xml:space="preserve"> הקיטע יוצא בקב שלו</w:t>
      </w:r>
      <w:r>
        <w:rPr>
          <w:rFonts w:hint="cs"/>
          <w:sz w:val="24"/>
          <w:szCs w:val="24"/>
          <w:rtl/>
        </w:rPr>
        <w:t>,</w:t>
      </w:r>
      <w:r w:rsidRPr="00950D4D">
        <w:rPr>
          <w:sz w:val="24"/>
          <w:szCs w:val="24"/>
          <w:rtl/>
        </w:rPr>
        <w:t xml:space="preserve"> דברי רבי מאיר</w:t>
      </w:r>
      <w:r>
        <w:rPr>
          <w:rFonts w:hint="cs"/>
          <w:sz w:val="24"/>
          <w:szCs w:val="24"/>
          <w:rtl/>
        </w:rPr>
        <w:t>.</w:t>
      </w:r>
      <w:r w:rsidRPr="00950D4D">
        <w:rPr>
          <w:sz w:val="24"/>
          <w:szCs w:val="24"/>
          <w:rtl/>
        </w:rPr>
        <w:t xml:space="preserve"> ורבי יוסי אוסר</w:t>
      </w:r>
      <w:r>
        <w:rPr>
          <w:rFonts w:hint="cs"/>
          <w:sz w:val="24"/>
          <w:szCs w:val="24"/>
          <w:rtl/>
        </w:rPr>
        <w:t>.</w:t>
      </w:r>
      <w:r w:rsidRPr="00950D4D">
        <w:rPr>
          <w:sz w:val="24"/>
          <w:szCs w:val="24"/>
          <w:rtl/>
        </w:rPr>
        <w:t xml:space="preserve"> ותני עלה</w:t>
      </w:r>
      <w:r>
        <w:rPr>
          <w:rFonts w:hint="cs"/>
          <w:sz w:val="24"/>
          <w:szCs w:val="24"/>
          <w:rtl/>
        </w:rPr>
        <w:t>:</w:t>
      </w:r>
      <w:r w:rsidRPr="00950D4D">
        <w:rPr>
          <w:sz w:val="24"/>
          <w:szCs w:val="24"/>
          <w:rtl/>
        </w:rPr>
        <w:t xml:space="preserve"> ושוין שאסור לצאת בו ביום הכפורים</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[שם]</w:t>
      </w:r>
    </w:p>
    <w:p w:rsidR="0010620B" w:rsidRDefault="0010620B" w:rsidP="0010620B">
      <w:pPr>
        <w:spacing w:before="200" w:line="276" w:lineRule="exact"/>
        <w:ind w:firstLine="227"/>
        <w:rPr>
          <w:sz w:val="24"/>
          <w:szCs w:val="24"/>
          <w:rtl/>
        </w:rPr>
      </w:pPr>
      <w:r>
        <w:rPr>
          <w:sz w:val="24"/>
          <w:szCs w:val="24"/>
          <w:rtl/>
        </w:rPr>
        <w:t xml:space="preserve"> </w:t>
      </w:r>
      <w:r>
        <w:rPr>
          <w:rFonts w:hint="cs"/>
          <w:sz w:val="24"/>
          <w:szCs w:val="24"/>
          <w:rtl/>
        </w:rPr>
        <w:t>הגמרא מביאה מחלוקת אמוראים בביאור דין הברייתא:</w:t>
      </w:r>
    </w:p>
    <w:p w:rsidR="0010620B" w:rsidRPr="00213731" w:rsidRDefault="0010620B" w:rsidP="0010620B">
      <w:pPr>
        <w:spacing w:before="200" w:line="276" w:lineRule="exact"/>
        <w:ind w:left="720"/>
        <w:rPr>
          <w:sz w:val="24"/>
          <w:szCs w:val="24"/>
          <w:rtl/>
        </w:rPr>
      </w:pPr>
      <w:r w:rsidRPr="00950D4D">
        <w:rPr>
          <w:sz w:val="24"/>
          <w:szCs w:val="24"/>
          <w:rtl/>
        </w:rPr>
        <w:t>אמר אביי</w:t>
      </w:r>
      <w:r>
        <w:rPr>
          <w:rFonts w:hint="cs"/>
          <w:sz w:val="24"/>
          <w:szCs w:val="24"/>
          <w:rtl/>
        </w:rPr>
        <w:t>:</w:t>
      </w:r>
      <w:r w:rsidRPr="00950D4D">
        <w:rPr>
          <w:sz w:val="24"/>
          <w:szCs w:val="24"/>
          <w:rtl/>
        </w:rPr>
        <w:t xml:space="preserve"> התם דאית ביה כתיתין ומשום תענוג</w:t>
      </w:r>
      <w:r>
        <w:rPr>
          <w:rFonts w:hint="cs"/>
          <w:sz w:val="24"/>
          <w:szCs w:val="24"/>
          <w:rtl/>
        </w:rPr>
        <w:t xml:space="preserve">. </w:t>
      </w:r>
      <w:r w:rsidRPr="00950D4D">
        <w:rPr>
          <w:sz w:val="24"/>
          <w:szCs w:val="24"/>
          <w:rtl/>
        </w:rPr>
        <w:t>אמר ליה רבא</w:t>
      </w:r>
      <w:r>
        <w:rPr>
          <w:rFonts w:hint="cs"/>
          <w:sz w:val="24"/>
          <w:szCs w:val="24"/>
          <w:rtl/>
        </w:rPr>
        <w:t>:</w:t>
      </w:r>
      <w:r w:rsidRPr="00950D4D">
        <w:rPr>
          <w:sz w:val="24"/>
          <w:szCs w:val="24"/>
          <w:rtl/>
        </w:rPr>
        <w:t xml:space="preserve"> ואי לאו מנא הוא כתיתין משוי ליה מנא</w:t>
      </w:r>
      <w:r>
        <w:rPr>
          <w:rFonts w:hint="cs"/>
          <w:sz w:val="24"/>
          <w:szCs w:val="24"/>
          <w:rtl/>
        </w:rPr>
        <w:t>.</w:t>
      </w:r>
      <w:r w:rsidRPr="00950D4D">
        <w:rPr>
          <w:sz w:val="24"/>
          <w:szCs w:val="24"/>
          <w:rtl/>
        </w:rPr>
        <w:t xml:space="preserve"> ועוד</w:t>
      </w:r>
      <w:r>
        <w:rPr>
          <w:rFonts w:hint="cs"/>
          <w:sz w:val="24"/>
          <w:szCs w:val="24"/>
          <w:rtl/>
        </w:rPr>
        <w:t>,</w:t>
      </w:r>
      <w:r w:rsidRPr="00950D4D">
        <w:rPr>
          <w:sz w:val="24"/>
          <w:szCs w:val="24"/>
          <w:rtl/>
        </w:rPr>
        <w:t xml:space="preserve"> כל תענוג דלאו מנעל הוא ביום הכפורים מי אסור</w:t>
      </w:r>
      <w:r>
        <w:rPr>
          <w:rFonts w:hint="cs"/>
          <w:sz w:val="24"/>
          <w:szCs w:val="24"/>
          <w:rtl/>
        </w:rPr>
        <w:t>,</w:t>
      </w:r>
      <w:r w:rsidRPr="00950D4D">
        <w:rPr>
          <w:sz w:val="24"/>
          <w:szCs w:val="24"/>
          <w:rtl/>
        </w:rPr>
        <w:t xml:space="preserve"> והא רבה בר רב הונא הוה כריך סודרא אכרעיה ונפיק</w:t>
      </w:r>
      <w:r>
        <w:rPr>
          <w:rFonts w:hint="cs"/>
          <w:sz w:val="24"/>
          <w:szCs w:val="24"/>
          <w:rtl/>
        </w:rPr>
        <w:t>.</w:t>
      </w:r>
      <w:r w:rsidRPr="00950D4D">
        <w:rPr>
          <w:sz w:val="24"/>
          <w:szCs w:val="24"/>
          <w:rtl/>
        </w:rPr>
        <w:t xml:space="preserve"> ועוד מדקתני סיפא</w:t>
      </w:r>
      <w:r>
        <w:rPr>
          <w:rFonts w:hint="cs"/>
          <w:sz w:val="24"/>
          <w:szCs w:val="24"/>
          <w:rtl/>
        </w:rPr>
        <w:t>,</w:t>
      </w:r>
      <w:r w:rsidRPr="00950D4D">
        <w:rPr>
          <w:sz w:val="24"/>
          <w:szCs w:val="24"/>
          <w:rtl/>
        </w:rPr>
        <w:t xml:space="preserve"> אם יש לו בית קבול כתיתין טמא</w:t>
      </w:r>
      <w:r>
        <w:rPr>
          <w:rFonts w:hint="cs"/>
          <w:sz w:val="24"/>
          <w:szCs w:val="24"/>
          <w:rtl/>
        </w:rPr>
        <w:t>,</w:t>
      </w:r>
      <w:r w:rsidRPr="00950D4D">
        <w:rPr>
          <w:sz w:val="24"/>
          <w:szCs w:val="24"/>
          <w:rtl/>
        </w:rPr>
        <w:t xml:space="preserve"> מכלל דרישא לאו בדאית ליה כתיתין עסקינן</w:t>
      </w:r>
      <w:r>
        <w:rPr>
          <w:rFonts w:hint="cs"/>
          <w:sz w:val="24"/>
          <w:szCs w:val="24"/>
          <w:rtl/>
        </w:rPr>
        <w:t>.</w:t>
      </w:r>
      <w:r w:rsidRPr="00950D4D">
        <w:rPr>
          <w:sz w:val="24"/>
          <w:szCs w:val="24"/>
          <w:rtl/>
        </w:rPr>
        <w:t xml:space="preserve"> אלא אמר רבא</w:t>
      </w:r>
      <w:r>
        <w:rPr>
          <w:rFonts w:hint="cs"/>
          <w:sz w:val="24"/>
          <w:szCs w:val="24"/>
          <w:rtl/>
        </w:rPr>
        <w:t>:</w:t>
      </w:r>
      <w:r w:rsidRPr="00950D4D">
        <w:rPr>
          <w:sz w:val="24"/>
          <w:szCs w:val="24"/>
          <w:rtl/>
        </w:rPr>
        <w:t xml:space="preserve"> לעולם דכולי עלמא מנעל הוא</w:t>
      </w:r>
      <w:r>
        <w:rPr>
          <w:rFonts w:hint="cs"/>
          <w:sz w:val="24"/>
          <w:szCs w:val="24"/>
          <w:rtl/>
        </w:rPr>
        <w:t>,</w:t>
      </w:r>
      <w:r w:rsidRPr="00950D4D">
        <w:rPr>
          <w:sz w:val="24"/>
          <w:szCs w:val="24"/>
          <w:rtl/>
        </w:rPr>
        <w:t xml:space="preserve"> ובשבת בהא פליגי</w:t>
      </w:r>
      <w:r>
        <w:rPr>
          <w:rFonts w:hint="cs"/>
          <w:sz w:val="24"/>
          <w:szCs w:val="24"/>
          <w:rtl/>
        </w:rPr>
        <w:t>:</w:t>
      </w:r>
      <w:r w:rsidRPr="00950D4D">
        <w:rPr>
          <w:sz w:val="24"/>
          <w:szCs w:val="24"/>
          <w:rtl/>
        </w:rPr>
        <w:t xml:space="preserve"> מר סבר גזרינן דילמא משתמיט ואתי לאתויי ארבע אמות</w:t>
      </w:r>
      <w:r>
        <w:rPr>
          <w:rFonts w:hint="cs"/>
          <w:sz w:val="24"/>
          <w:szCs w:val="24"/>
          <w:rtl/>
        </w:rPr>
        <w:t>,</w:t>
      </w:r>
      <w:r w:rsidRPr="00950D4D">
        <w:rPr>
          <w:sz w:val="24"/>
          <w:szCs w:val="24"/>
          <w:rtl/>
        </w:rPr>
        <w:t xml:space="preserve"> ומר סבר לא גזרינן</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[שם]</w:t>
      </w:r>
    </w:p>
    <w:p w:rsidR="0010620B" w:rsidRDefault="0010620B" w:rsidP="0010620B">
      <w:pPr>
        <w:spacing w:before="200" w:line="276" w:lineRule="exact"/>
        <w:ind w:firstLine="227"/>
        <w:rPr>
          <w:sz w:val="24"/>
          <w:szCs w:val="24"/>
          <w:rtl/>
        </w:rPr>
      </w:pPr>
      <w:r>
        <w:rPr>
          <w:rFonts w:hint="cs"/>
          <w:sz w:val="24"/>
          <w:szCs w:val="24"/>
          <w:rtl/>
        </w:rPr>
        <w:t xml:space="preserve">לפי אביי, האיסור האמור בברייתא מתייחס לקב שיש לו כתיתין, שעל אף שאינו מנעל יש איסור ללכת בו ביום הכיפורים </w:t>
      </w:r>
      <w:r>
        <w:rPr>
          <w:sz w:val="24"/>
          <w:szCs w:val="24"/>
          <w:rtl/>
        </w:rPr>
        <w:t>–</w:t>
      </w:r>
      <w:r>
        <w:rPr>
          <w:rFonts w:hint="cs"/>
          <w:sz w:val="24"/>
          <w:szCs w:val="24"/>
          <w:rtl/>
        </w:rPr>
        <w:t xml:space="preserve"> "משום תענוג". לעומת זאת, לפי רבא, האיסור מתייחס לקב שאין לו כתיתין, ולפי הברייתא הקב נחשב למנעל ולכן אסור ללכת בו ביום הכיפורים.</w:t>
      </w:r>
    </w:p>
    <w:p w:rsidR="0010620B" w:rsidRDefault="0010620B" w:rsidP="0010620B">
      <w:pPr>
        <w:spacing w:before="200" w:line="276" w:lineRule="exact"/>
        <w:ind w:firstLine="227"/>
        <w:rPr>
          <w:sz w:val="24"/>
          <w:szCs w:val="24"/>
          <w:rtl/>
        </w:rPr>
      </w:pPr>
      <w:r>
        <w:rPr>
          <w:rFonts w:hint="cs"/>
          <w:sz w:val="24"/>
          <w:szCs w:val="24"/>
          <w:rtl/>
        </w:rPr>
        <w:t xml:space="preserve">מדברי אביי ורבא עולה מחלוקת עקרונית בגדר איסור נעילת הסנדל. לפי אביי, האיסור אינו תלוי בגדר 'מנעל', אלא האיסור קיים בכל דבר שיש בו תענוג. לעומת זאת, לפי רבא, האיסור תלוי בגדר 'מנעל' בכל התורה. </w:t>
      </w:r>
    </w:p>
    <w:p w:rsidR="0010620B" w:rsidRDefault="0010620B" w:rsidP="0010620B">
      <w:pPr>
        <w:spacing w:before="200" w:line="276" w:lineRule="exact"/>
        <w:ind w:firstLine="227"/>
        <w:rPr>
          <w:sz w:val="24"/>
          <w:szCs w:val="24"/>
          <w:rtl/>
        </w:rPr>
      </w:pPr>
      <w:r>
        <w:rPr>
          <w:rFonts w:hint="cs"/>
          <w:sz w:val="24"/>
          <w:szCs w:val="24"/>
          <w:rtl/>
        </w:rPr>
        <w:t>הקובץ הערות טוען כי מחלוקתם נעוצה בשתי ההבנות העקרוניות, שנידונו בשיעור הקודם, בגדר האיסור:</w:t>
      </w:r>
    </w:p>
    <w:p w:rsidR="0010620B" w:rsidRDefault="0010620B" w:rsidP="0010620B">
      <w:pPr>
        <w:spacing w:before="200" w:line="276" w:lineRule="exact"/>
        <w:ind w:left="720"/>
        <w:rPr>
          <w:sz w:val="24"/>
          <w:szCs w:val="24"/>
          <w:rtl/>
        </w:rPr>
      </w:pPr>
      <w:r>
        <w:rPr>
          <w:sz w:val="24"/>
          <w:szCs w:val="24"/>
          <w:rtl/>
        </w:rPr>
        <w:t>דאביי ס</w:t>
      </w:r>
      <w:r>
        <w:rPr>
          <w:rFonts w:hint="cs"/>
          <w:sz w:val="24"/>
          <w:szCs w:val="24"/>
          <w:rtl/>
        </w:rPr>
        <w:t>בירא ליה</w:t>
      </w:r>
      <w:r w:rsidRPr="002621E9">
        <w:rPr>
          <w:sz w:val="24"/>
          <w:szCs w:val="24"/>
          <w:rtl/>
        </w:rPr>
        <w:t xml:space="preserve"> כפירוש הראשון, דנעילת הסנדל אסורה מפני ביטול העינוי, ומשו</w:t>
      </w:r>
      <w:r>
        <w:rPr>
          <w:rFonts w:hint="cs"/>
          <w:sz w:val="24"/>
          <w:szCs w:val="24"/>
          <w:rtl/>
        </w:rPr>
        <w:t>ם הכי סבירא ליה דהוא הדין</w:t>
      </w:r>
      <w:r>
        <w:rPr>
          <w:sz w:val="24"/>
          <w:szCs w:val="24"/>
          <w:rtl/>
        </w:rPr>
        <w:t xml:space="preserve"> אנפיליא דאית בה כתיתין ג</w:t>
      </w:r>
      <w:r>
        <w:rPr>
          <w:rFonts w:hint="cs"/>
          <w:sz w:val="24"/>
          <w:szCs w:val="24"/>
          <w:rtl/>
        </w:rPr>
        <w:t>ם כן</w:t>
      </w:r>
      <w:r>
        <w:rPr>
          <w:sz w:val="24"/>
          <w:szCs w:val="24"/>
          <w:rtl/>
        </w:rPr>
        <w:t xml:space="preserve"> אסורה, דיש בזה ג</w:t>
      </w:r>
      <w:r>
        <w:rPr>
          <w:rFonts w:hint="cs"/>
          <w:sz w:val="24"/>
          <w:szCs w:val="24"/>
          <w:rtl/>
        </w:rPr>
        <w:t>ם כן</w:t>
      </w:r>
      <w:r w:rsidRPr="002621E9">
        <w:rPr>
          <w:sz w:val="24"/>
          <w:szCs w:val="24"/>
          <w:rtl/>
        </w:rPr>
        <w:t xml:space="preserve"> ביטול עינוי כמו מנעילת סנדל. ורבא פריך, </w:t>
      </w:r>
      <w:r>
        <w:rPr>
          <w:rFonts w:hint="cs"/>
          <w:sz w:val="24"/>
          <w:szCs w:val="24"/>
          <w:rtl/>
        </w:rPr>
        <w:t>'</w:t>
      </w:r>
      <w:r>
        <w:rPr>
          <w:sz w:val="24"/>
          <w:szCs w:val="24"/>
          <w:rtl/>
        </w:rPr>
        <w:t>אטו תענוג ביו</w:t>
      </w:r>
      <w:r>
        <w:rPr>
          <w:rFonts w:hint="cs"/>
          <w:sz w:val="24"/>
          <w:szCs w:val="24"/>
          <w:rtl/>
        </w:rPr>
        <w:t>ם הכיפורים</w:t>
      </w:r>
      <w:r w:rsidRPr="002621E9">
        <w:rPr>
          <w:sz w:val="24"/>
          <w:szCs w:val="24"/>
          <w:rtl/>
        </w:rPr>
        <w:t xml:space="preserve"> מי אסירא</w:t>
      </w:r>
      <w:r>
        <w:rPr>
          <w:rFonts w:hint="cs"/>
          <w:sz w:val="24"/>
          <w:szCs w:val="24"/>
          <w:rtl/>
        </w:rPr>
        <w:t>'</w:t>
      </w:r>
      <w:r w:rsidRPr="002621E9">
        <w:rPr>
          <w:sz w:val="24"/>
          <w:szCs w:val="24"/>
          <w:rtl/>
        </w:rPr>
        <w:t>, דס</w:t>
      </w:r>
      <w:r>
        <w:rPr>
          <w:rFonts w:hint="cs"/>
          <w:sz w:val="24"/>
          <w:szCs w:val="24"/>
          <w:rtl/>
        </w:rPr>
        <w:t>בירא ליה</w:t>
      </w:r>
      <w:r w:rsidRPr="002621E9">
        <w:rPr>
          <w:sz w:val="24"/>
          <w:szCs w:val="24"/>
          <w:rtl/>
        </w:rPr>
        <w:t xml:space="preserve"> כפירוש הב', דאין האיסור על ביטול העינוי מצד עצמו, אלא דמזה ילפינן לאסור נעילת הסנ</w:t>
      </w:r>
      <w:r>
        <w:rPr>
          <w:sz w:val="24"/>
          <w:szCs w:val="24"/>
          <w:rtl/>
        </w:rPr>
        <w:t>דל, וכיון דאנפיליא דאית בה כתית</w:t>
      </w:r>
      <w:r w:rsidRPr="002621E9">
        <w:rPr>
          <w:sz w:val="24"/>
          <w:szCs w:val="24"/>
          <w:rtl/>
        </w:rPr>
        <w:t>ין אינה בכלל נעילת הסנדל, אינה אסורה.</w:t>
      </w:r>
      <w:r>
        <w:rPr>
          <w:rFonts w:hint="cs"/>
          <w:sz w:val="24"/>
          <w:szCs w:val="24"/>
          <w:rtl/>
        </w:rPr>
        <w:t xml:space="preserve"> </w:t>
      </w:r>
    </w:p>
    <w:p w:rsidR="0010620B" w:rsidRDefault="0010620B" w:rsidP="0010620B">
      <w:pPr>
        <w:spacing w:before="200" w:line="276" w:lineRule="exact"/>
        <w:ind w:left="720"/>
        <w:jc w:val="right"/>
        <w:rPr>
          <w:sz w:val="24"/>
          <w:szCs w:val="24"/>
          <w:rtl/>
        </w:rPr>
      </w:pPr>
      <w:r>
        <w:rPr>
          <w:rFonts w:hint="cs"/>
          <w:sz w:val="20"/>
          <w:szCs w:val="20"/>
          <w:rtl/>
        </w:rPr>
        <w:t>[קובץ הערות סי' עג אות ג]</w:t>
      </w:r>
      <w:r>
        <w:rPr>
          <w:rFonts w:hint="cs"/>
          <w:sz w:val="24"/>
          <w:szCs w:val="24"/>
          <w:rtl/>
        </w:rPr>
        <w:t xml:space="preserve"> </w:t>
      </w:r>
    </w:p>
    <w:p w:rsidR="0010620B" w:rsidRDefault="0010620B" w:rsidP="0010620B">
      <w:pPr>
        <w:spacing w:before="200" w:line="276" w:lineRule="exact"/>
        <w:ind w:firstLine="227"/>
        <w:rPr>
          <w:sz w:val="24"/>
          <w:szCs w:val="24"/>
          <w:rtl/>
        </w:rPr>
      </w:pPr>
      <w:r>
        <w:rPr>
          <w:rFonts w:hint="cs"/>
          <w:sz w:val="24"/>
          <w:szCs w:val="24"/>
          <w:rtl/>
        </w:rPr>
        <w:t xml:space="preserve">לדבריו, אביי סבור שהאיסור הוא בביטול העינוי, ולכן האיסור אינו תלוי בגדר מנעל, אלא יש איסור בכל דבר שיש בו תענוג. לעומת זאת, רבא סבור שהאיסור הוא במעשה נעילת הסנדל, ולכן האיסור תלוי בגדר מנעל שבכל התורה. </w:t>
      </w:r>
    </w:p>
    <w:p w:rsidR="0010620B" w:rsidRDefault="0010620B" w:rsidP="0010620B">
      <w:pPr>
        <w:spacing w:before="200" w:line="276" w:lineRule="exact"/>
        <w:ind w:firstLine="227"/>
        <w:rPr>
          <w:sz w:val="24"/>
          <w:szCs w:val="24"/>
          <w:rtl/>
        </w:rPr>
      </w:pPr>
    </w:p>
    <w:p w:rsidR="0010620B" w:rsidRDefault="0010620B" w:rsidP="0010620B">
      <w:pPr>
        <w:spacing w:before="200" w:line="276" w:lineRule="exact"/>
        <w:ind w:firstLine="227"/>
        <w:rPr>
          <w:sz w:val="24"/>
          <w:szCs w:val="24"/>
          <w:rtl/>
        </w:rPr>
      </w:pPr>
      <w:r>
        <w:rPr>
          <w:rFonts w:hint="cs"/>
          <w:sz w:val="24"/>
          <w:szCs w:val="24"/>
          <w:rtl/>
        </w:rPr>
        <w:t>לכאורה, מסקנת הסוגיה היא כרבא, שהאיסור תלוי בגדר מנעל שבכל התורה</w:t>
      </w:r>
      <w:r>
        <w:rPr>
          <w:rStyle w:val="a7"/>
          <w:sz w:val="24"/>
          <w:szCs w:val="24"/>
          <w:rtl/>
        </w:rPr>
        <w:footnoteReference w:id="209"/>
      </w:r>
      <w:r>
        <w:rPr>
          <w:rFonts w:hint="cs"/>
          <w:sz w:val="24"/>
          <w:szCs w:val="24"/>
          <w:rtl/>
        </w:rPr>
        <w:t>. אמנם, מדברי הרמב"ם נראה לא כך:</w:t>
      </w:r>
    </w:p>
    <w:p w:rsidR="0010620B" w:rsidRDefault="0010620B" w:rsidP="0010620B">
      <w:pPr>
        <w:spacing w:before="200" w:line="276" w:lineRule="exact"/>
        <w:ind w:left="720"/>
        <w:rPr>
          <w:b/>
          <w:bCs/>
          <w:sz w:val="24"/>
          <w:szCs w:val="24"/>
          <w:rtl/>
        </w:rPr>
      </w:pPr>
      <w:r w:rsidRPr="00442DDA">
        <w:rPr>
          <w:sz w:val="24"/>
          <w:szCs w:val="24"/>
          <w:rtl/>
        </w:rPr>
        <w:t xml:space="preserve">אסור לנעול מנעל וסנדל אפילו ברגלו אחת, ומותר לצאת בסנדל של שעם ושל גמי וכיוצא בהן, וכורך אדם בגד על רגליו ויוצא בו </w:t>
      </w:r>
      <w:r w:rsidRPr="00442DDA">
        <w:rPr>
          <w:b/>
          <w:bCs/>
          <w:sz w:val="24"/>
          <w:szCs w:val="24"/>
          <w:rtl/>
        </w:rPr>
        <w:t>שהרי קושי הארץ מגיע לרגליו ומרגיש שהוא יחף</w:t>
      </w:r>
      <w:r>
        <w:rPr>
          <w:rFonts w:hint="cs"/>
          <w:sz w:val="24"/>
          <w:szCs w:val="24"/>
          <w:rtl/>
        </w:rPr>
        <w:t>.</w:t>
      </w:r>
    </w:p>
    <w:p w:rsidR="0010620B" w:rsidRPr="00442DDA" w:rsidRDefault="0010620B" w:rsidP="0010620B">
      <w:pPr>
        <w:spacing w:before="200" w:line="276" w:lineRule="exact"/>
        <w:ind w:left="720"/>
        <w:jc w:val="right"/>
        <w:rPr>
          <w:sz w:val="20"/>
          <w:szCs w:val="20"/>
          <w:rtl/>
        </w:rPr>
      </w:pPr>
      <w:r>
        <w:rPr>
          <w:rFonts w:hint="cs"/>
          <w:sz w:val="20"/>
          <w:szCs w:val="20"/>
          <w:rtl/>
        </w:rPr>
        <w:t>[הל' שביתת עשור פ"ג ה"ז]</w:t>
      </w:r>
    </w:p>
    <w:p w:rsidR="0010620B" w:rsidRDefault="0010620B" w:rsidP="0010620B">
      <w:pPr>
        <w:spacing w:before="200" w:line="276" w:lineRule="exact"/>
        <w:ind w:firstLine="227"/>
        <w:rPr>
          <w:sz w:val="24"/>
          <w:szCs w:val="24"/>
          <w:rtl/>
        </w:rPr>
      </w:pPr>
      <w:r>
        <w:rPr>
          <w:rFonts w:hint="cs"/>
          <w:sz w:val="24"/>
          <w:szCs w:val="24"/>
          <w:rtl/>
        </w:rPr>
        <w:t xml:space="preserve">הרמב"ם מנמק את ההיתר לכרוך בגד על רגליו </w:t>
      </w:r>
      <w:r>
        <w:rPr>
          <w:sz w:val="24"/>
          <w:szCs w:val="24"/>
          <w:rtl/>
        </w:rPr>
        <w:t>–</w:t>
      </w:r>
      <w:r>
        <w:rPr>
          <w:rFonts w:hint="cs"/>
          <w:sz w:val="24"/>
          <w:szCs w:val="24"/>
          <w:rtl/>
        </w:rPr>
        <w:t xml:space="preserve"> "שהרי קושי הארץ מגיע לרגליו". עולה מכך כי האיסור אינו תלוי בגדר מנעל בכל התורה, אלא האיסור קיים בכל דבר המונע מלהרגיש את קושי הארץ והגורם לאדם תענוג</w:t>
      </w:r>
      <w:r>
        <w:rPr>
          <w:rStyle w:val="a7"/>
          <w:sz w:val="24"/>
          <w:szCs w:val="24"/>
          <w:rtl/>
        </w:rPr>
        <w:footnoteReference w:id="210"/>
      </w:r>
      <w:r>
        <w:rPr>
          <w:rFonts w:hint="cs"/>
          <w:sz w:val="24"/>
          <w:szCs w:val="24"/>
          <w:rtl/>
        </w:rPr>
        <w:t>.</w:t>
      </w:r>
    </w:p>
    <w:p w:rsidR="0010620B" w:rsidRDefault="0010620B" w:rsidP="0010620B">
      <w:pPr>
        <w:spacing w:before="200" w:line="276" w:lineRule="exact"/>
        <w:ind w:firstLine="227"/>
        <w:rPr>
          <w:sz w:val="24"/>
          <w:szCs w:val="24"/>
          <w:rtl/>
        </w:rPr>
      </w:pPr>
      <w:r>
        <w:rPr>
          <w:rFonts w:hint="cs"/>
          <w:sz w:val="24"/>
          <w:szCs w:val="24"/>
          <w:rtl/>
        </w:rPr>
        <w:t>שיטה עקרונית זו, כי להלכה יש לפסוק שהאיסור אינו תלוי בגדר מנעל שבכל התורה, מפורשת בשיטת ריב"ב:</w:t>
      </w:r>
    </w:p>
    <w:p w:rsidR="0010620B" w:rsidRPr="00E17AAF" w:rsidRDefault="0010620B" w:rsidP="0010620B">
      <w:pPr>
        <w:spacing w:before="200" w:line="276" w:lineRule="exact"/>
        <w:ind w:left="720"/>
        <w:rPr>
          <w:sz w:val="20"/>
          <w:szCs w:val="20"/>
          <w:rtl/>
        </w:rPr>
      </w:pPr>
      <w:r w:rsidRPr="005F5028">
        <w:rPr>
          <w:sz w:val="24"/>
          <w:szCs w:val="24"/>
          <w:rtl/>
        </w:rPr>
        <w:t>והא דאותיב רמא בר חמא בגמר</w:t>
      </w:r>
      <w:r w:rsidRPr="00CB7BB7">
        <w:rPr>
          <w:sz w:val="24"/>
          <w:szCs w:val="24"/>
          <w:rtl/>
        </w:rPr>
        <w:t>א הקיטע יוצא בקב שלו איכא לשנויי כדשני אביי וסוגיין בעלמא כותיה, דר</w:t>
      </w:r>
      <w:r w:rsidRPr="00CB7BB7">
        <w:rPr>
          <w:rFonts w:hint="cs"/>
          <w:sz w:val="24"/>
          <w:szCs w:val="24"/>
          <w:rtl/>
        </w:rPr>
        <w:t>בי</w:t>
      </w:r>
      <w:r w:rsidRPr="00CB7BB7">
        <w:rPr>
          <w:sz w:val="24"/>
          <w:szCs w:val="24"/>
          <w:rtl/>
        </w:rPr>
        <w:t xml:space="preserve"> מאיר ור</w:t>
      </w:r>
      <w:r w:rsidRPr="00CB7BB7">
        <w:rPr>
          <w:rFonts w:hint="cs"/>
          <w:sz w:val="24"/>
          <w:szCs w:val="24"/>
          <w:rtl/>
        </w:rPr>
        <w:t>בי</w:t>
      </w:r>
      <w:r w:rsidRPr="00CB7BB7">
        <w:rPr>
          <w:sz w:val="24"/>
          <w:szCs w:val="24"/>
          <w:rtl/>
        </w:rPr>
        <w:t xml:space="preserve"> יוסי במנעל ולא מנעל פליגי, ואפילו </w:t>
      </w:r>
      <w:r w:rsidRPr="00CB7BB7">
        <w:rPr>
          <w:rFonts w:hint="cs"/>
          <w:sz w:val="24"/>
          <w:szCs w:val="24"/>
          <w:rtl/>
        </w:rPr>
        <w:t xml:space="preserve">הכי </w:t>
      </w:r>
      <w:r w:rsidRPr="00CB7BB7">
        <w:rPr>
          <w:sz w:val="24"/>
          <w:szCs w:val="24"/>
          <w:rtl/>
        </w:rPr>
        <w:t>אסור לצאת בו ביום הכפורים משום תענוג</w:t>
      </w:r>
      <w:r w:rsidRPr="00CB7BB7">
        <w:rPr>
          <w:rFonts w:hint="cs"/>
          <w:sz w:val="24"/>
          <w:szCs w:val="24"/>
          <w:rtl/>
        </w:rPr>
        <w:t>. ואף על גב</w:t>
      </w:r>
      <w:r w:rsidRPr="00CB7BB7">
        <w:rPr>
          <w:sz w:val="24"/>
          <w:szCs w:val="24"/>
          <w:rtl/>
        </w:rPr>
        <w:t xml:space="preserve"> דאתקיף ליה רבא תענוג דלאו מנעל ביום הכפורים מי אסיר, והא רבה בר רב הונא כריך סודרא אכרעיה ונפיק, איכא למימר לא דמי תענוג הכתיתין העומדין על הקב לכריכת הסודר הנוגע בקרקע.</w:t>
      </w:r>
      <w:r w:rsidRPr="00CB7BB7">
        <w:rPr>
          <w:rFonts w:hint="cs"/>
          <w:sz w:val="24"/>
          <w:szCs w:val="24"/>
          <w:rtl/>
        </w:rPr>
        <w:t>..</w:t>
      </w:r>
      <w:r w:rsidRPr="00CB7BB7">
        <w:rPr>
          <w:sz w:val="24"/>
          <w:szCs w:val="24"/>
          <w:rtl/>
        </w:rPr>
        <w:t xml:space="preserve"> והאי דלא אהדר ליה אביי לרבא, לאו משום דקיבלה אלא משום</w:t>
      </w:r>
      <w:r w:rsidRPr="005F5028">
        <w:rPr>
          <w:sz w:val="24"/>
          <w:szCs w:val="24"/>
          <w:rtl/>
        </w:rPr>
        <w:t xml:space="preserve"> דלא חש לה.</w:t>
      </w:r>
      <w:r>
        <w:rPr>
          <w:sz w:val="24"/>
          <w:szCs w:val="24"/>
          <w:rtl/>
        </w:rPr>
        <w:tab/>
      </w:r>
      <w:r>
        <w:rPr>
          <w:sz w:val="24"/>
          <w:szCs w:val="24"/>
          <w:rtl/>
        </w:rPr>
        <w:tab/>
      </w:r>
      <w:r>
        <w:rPr>
          <w:sz w:val="24"/>
          <w:szCs w:val="24"/>
          <w:rtl/>
        </w:rPr>
        <w:tab/>
      </w:r>
      <w:r>
        <w:rPr>
          <w:rFonts w:hint="cs"/>
          <w:sz w:val="20"/>
          <w:szCs w:val="20"/>
          <w:rtl/>
        </w:rPr>
        <w:t>[שיטת ריב"ב ב. ד"ה שעם]</w:t>
      </w:r>
    </w:p>
    <w:p w:rsidR="0010620B" w:rsidRDefault="0010620B" w:rsidP="0010620B">
      <w:pPr>
        <w:spacing w:before="200" w:line="276" w:lineRule="exact"/>
        <w:ind w:firstLine="227"/>
        <w:rPr>
          <w:sz w:val="24"/>
          <w:szCs w:val="24"/>
          <w:rtl/>
        </w:rPr>
      </w:pPr>
      <w:r>
        <w:rPr>
          <w:rFonts w:hint="cs"/>
          <w:sz w:val="24"/>
          <w:szCs w:val="24"/>
          <w:rtl/>
        </w:rPr>
        <w:t xml:space="preserve">לדבריו, הלכה אינה כרבא, הסובר שגדר איסור נעילת הסנדל ביום הכיפורים תלוי בגדר מנעל שבכל התורה והסובר שגם מנעל של עץ נחשב למנעל, שכן שיטתו נסתרת מ'מעשה רב' </w:t>
      </w:r>
      <w:r>
        <w:rPr>
          <w:sz w:val="24"/>
          <w:szCs w:val="24"/>
          <w:rtl/>
        </w:rPr>
        <w:t>–</w:t>
      </w:r>
      <w:r>
        <w:rPr>
          <w:rFonts w:hint="cs"/>
          <w:sz w:val="24"/>
          <w:szCs w:val="24"/>
          <w:rtl/>
        </w:rPr>
        <w:t xml:space="preserve"> ממעשיהם של האמוראים שהלכו עם סנדלים שאינם של עור. בשל כך, יש לפסוק כאביי, שהאיסור אינו תלוי בגדר מנעל שבכל התורה, והוא קיים בכל דבר המונע את קושי הארץ והמביא לאדם תענוג.</w:t>
      </w:r>
    </w:p>
    <w:p w:rsidR="0010620B" w:rsidRDefault="0010620B" w:rsidP="0010620B">
      <w:pPr>
        <w:spacing w:before="200" w:line="276" w:lineRule="exact"/>
        <w:ind w:firstLine="227"/>
        <w:rPr>
          <w:sz w:val="24"/>
          <w:szCs w:val="24"/>
          <w:rtl/>
        </w:rPr>
      </w:pPr>
    </w:p>
    <w:p w:rsidR="0010620B" w:rsidRDefault="0010620B" w:rsidP="0010620B">
      <w:pPr>
        <w:spacing w:before="200" w:line="276" w:lineRule="exact"/>
        <w:ind w:firstLine="227"/>
        <w:rPr>
          <w:sz w:val="24"/>
          <w:szCs w:val="24"/>
          <w:rtl/>
        </w:rPr>
      </w:pPr>
      <w:r>
        <w:rPr>
          <w:rFonts w:hint="cs"/>
          <w:sz w:val="24"/>
          <w:szCs w:val="24"/>
          <w:rtl/>
        </w:rPr>
        <w:t>דברים אלו אמורים ביחס לאיסור נעילת הסנדל. כעת נעסוק בגדרי איסור רחיצה וסיכה, ונבחן את טעם ההיתרים הקיימים בהם.</w:t>
      </w:r>
    </w:p>
    <w:p w:rsidR="0010620B" w:rsidRPr="00756AC8" w:rsidRDefault="0010620B" w:rsidP="0010620B">
      <w:pPr>
        <w:spacing w:before="200" w:line="276" w:lineRule="exact"/>
        <w:ind w:firstLine="227"/>
        <w:rPr>
          <w:sz w:val="24"/>
          <w:szCs w:val="24"/>
          <w:rtl/>
        </w:rPr>
      </w:pPr>
      <w:r>
        <w:rPr>
          <w:sz w:val="24"/>
          <w:szCs w:val="24"/>
          <w:rtl/>
        </w:rPr>
        <w:t>הגמ</w:t>
      </w:r>
      <w:r>
        <w:rPr>
          <w:rFonts w:hint="cs"/>
          <w:sz w:val="24"/>
          <w:szCs w:val="24"/>
          <w:rtl/>
        </w:rPr>
        <w:t>רא</w:t>
      </w:r>
      <w:r w:rsidRPr="00756AC8">
        <w:rPr>
          <w:sz w:val="24"/>
          <w:szCs w:val="24"/>
          <w:rtl/>
        </w:rPr>
        <w:t xml:space="preserve"> אומרת:</w:t>
      </w:r>
    </w:p>
    <w:p w:rsidR="0010620B" w:rsidRPr="00756AC8" w:rsidRDefault="0010620B" w:rsidP="0010620B">
      <w:pPr>
        <w:spacing w:before="200" w:line="276" w:lineRule="exact"/>
        <w:ind w:left="720"/>
        <w:rPr>
          <w:sz w:val="20"/>
          <w:szCs w:val="20"/>
          <w:rtl/>
        </w:rPr>
      </w:pPr>
      <w:r>
        <w:rPr>
          <w:sz w:val="24"/>
          <w:szCs w:val="24"/>
          <w:rtl/>
        </w:rPr>
        <w:t>תנו רבנן</w:t>
      </w:r>
      <w:r>
        <w:rPr>
          <w:rFonts w:hint="cs"/>
          <w:sz w:val="24"/>
          <w:szCs w:val="24"/>
          <w:rtl/>
        </w:rPr>
        <w:t>,</w:t>
      </w:r>
      <w:r w:rsidRPr="00756AC8">
        <w:rPr>
          <w:sz w:val="24"/>
          <w:szCs w:val="24"/>
          <w:rtl/>
        </w:rPr>
        <w:t xml:space="preserve"> אסור לרחוץ מקצת גופו ככל גופ</w:t>
      </w:r>
      <w:r>
        <w:rPr>
          <w:sz w:val="24"/>
          <w:szCs w:val="24"/>
          <w:rtl/>
        </w:rPr>
        <w:t>ו, ואם היה מלוכלך בטיט ובצואה</w:t>
      </w:r>
      <w:r>
        <w:rPr>
          <w:rFonts w:hint="cs"/>
          <w:sz w:val="24"/>
          <w:szCs w:val="24"/>
          <w:rtl/>
        </w:rPr>
        <w:t xml:space="preserve">, </w:t>
      </w:r>
      <w:r w:rsidRPr="00756AC8">
        <w:rPr>
          <w:sz w:val="24"/>
          <w:szCs w:val="24"/>
          <w:rtl/>
        </w:rPr>
        <w:t>רוחץ כדרכו ואינו חושש. אסור לסוך מקצת גופו ככל גופו, ואם ה</w:t>
      </w:r>
      <w:r>
        <w:rPr>
          <w:sz w:val="24"/>
          <w:szCs w:val="24"/>
          <w:rtl/>
        </w:rPr>
        <w:t>יה חולה או שהיו לו חטטין בראשו</w:t>
      </w:r>
      <w:r>
        <w:rPr>
          <w:rFonts w:hint="cs"/>
          <w:sz w:val="24"/>
          <w:szCs w:val="24"/>
          <w:rtl/>
        </w:rPr>
        <w:t>,</w:t>
      </w:r>
      <w:r w:rsidRPr="00756AC8">
        <w:rPr>
          <w:sz w:val="24"/>
          <w:szCs w:val="24"/>
          <w:rtl/>
        </w:rPr>
        <w:t xml:space="preserve"> סך כדרכו ואינו חושש.</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עז:]</w:t>
      </w:r>
    </w:p>
    <w:p w:rsidR="0010620B" w:rsidRDefault="0010620B" w:rsidP="0010620B">
      <w:pPr>
        <w:spacing w:before="200" w:line="276" w:lineRule="exact"/>
        <w:ind w:firstLine="227"/>
        <w:rPr>
          <w:sz w:val="24"/>
          <w:szCs w:val="24"/>
          <w:rtl/>
        </w:rPr>
      </w:pPr>
      <w:r>
        <w:rPr>
          <w:rFonts w:hint="cs"/>
          <w:sz w:val="24"/>
          <w:szCs w:val="24"/>
          <w:rtl/>
        </w:rPr>
        <w:t xml:space="preserve">הברייתא מפרטת מצבים בהם מותר </w:t>
      </w:r>
      <w:r w:rsidRPr="00756AC8">
        <w:rPr>
          <w:sz w:val="24"/>
          <w:szCs w:val="24"/>
          <w:rtl/>
        </w:rPr>
        <w:t>לרחוץ ולסוך ביום הכיפורים: לאדם מלוכלך מותר לרחוץ, ולחולה או לבעל חטטין מותר לסוך.</w:t>
      </w:r>
    </w:p>
    <w:p w:rsidR="0010620B" w:rsidRDefault="0010620B" w:rsidP="0010620B">
      <w:pPr>
        <w:spacing w:before="200" w:line="276" w:lineRule="exact"/>
        <w:ind w:firstLine="227"/>
        <w:rPr>
          <w:sz w:val="24"/>
          <w:szCs w:val="24"/>
          <w:rtl/>
        </w:rPr>
      </w:pPr>
      <w:r>
        <w:rPr>
          <w:rFonts w:hint="cs"/>
          <w:sz w:val="24"/>
          <w:szCs w:val="24"/>
          <w:rtl/>
        </w:rPr>
        <w:t>תוספות לומדים מהיתרים אלו עיקרון כללי:</w:t>
      </w:r>
    </w:p>
    <w:p w:rsidR="0010620B" w:rsidRDefault="0010620B" w:rsidP="0010620B">
      <w:pPr>
        <w:spacing w:before="200" w:line="276" w:lineRule="exact"/>
        <w:ind w:left="720"/>
        <w:rPr>
          <w:sz w:val="24"/>
          <w:szCs w:val="24"/>
          <w:rtl/>
        </w:rPr>
      </w:pPr>
      <w:r>
        <w:rPr>
          <w:sz w:val="24"/>
          <w:szCs w:val="24"/>
          <w:rtl/>
        </w:rPr>
        <w:t>ופ</w:t>
      </w:r>
      <w:r>
        <w:rPr>
          <w:rFonts w:hint="cs"/>
          <w:sz w:val="24"/>
          <w:szCs w:val="24"/>
          <w:rtl/>
        </w:rPr>
        <w:t xml:space="preserve">ירש רבנו תם </w:t>
      </w:r>
      <w:r>
        <w:rPr>
          <w:sz w:val="24"/>
          <w:szCs w:val="24"/>
          <w:rtl/>
        </w:rPr>
        <w:t>דכל עינויים דיו</w:t>
      </w:r>
      <w:r>
        <w:rPr>
          <w:rFonts w:hint="cs"/>
          <w:sz w:val="24"/>
          <w:szCs w:val="24"/>
          <w:rtl/>
        </w:rPr>
        <w:t>ם הכיפורים</w:t>
      </w:r>
      <w:r w:rsidRPr="00756AC8">
        <w:rPr>
          <w:sz w:val="24"/>
          <w:szCs w:val="24"/>
          <w:rtl/>
        </w:rPr>
        <w:t xml:space="preserve"> ליתנהו אלא מדרבנן וקראי אסמכתא בעלמא לבר מאכילה ושתיה</w:t>
      </w:r>
      <w:r>
        <w:rPr>
          <w:rFonts w:hint="cs"/>
          <w:sz w:val="24"/>
          <w:szCs w:val="24"/>
          <w:rtl/>
        </w:rPr>
        <w:t>,</w:t>
      </w:r>
      <w:r w:rsidRPr="00756AC8">
        <w:rPr>
          <w:sz w:val="24"/>
          <w:szCs w:val="24"/>
          <w:rtl/>
        </w:rPr>
        <w:t xml:space="preserve"> דהאמר לקמן</w:t>
      </w:r>
      <w:r>
        <w:rPr>
          <w:rFonts w:hint="cs"/>
          <w:sz w:val="24"/>
          <w:szCs w:val="24"/>
          <w:rtl/>
        </w:rPr>
        <w:t>:</w:t>
      </w:r>
      <w:r w:rsidRPr="00756AC8">
        <w:rPr>
          <w:sz w:val="24"/>
          <w:szCs w:val="24"/>
          <w:rtl/>
        </w:rPr>
        <w:t xml:space="preserve"> </w:t>
      </w:r>
      <w:r>
        <w:rPr>
          <w:rFonts w:hint="cs"/>
          <w:sz w:val="24"/>
          <w:szCs w:val="24"/>
          <w:rtl/>
        </w:rPr>
        <w:t>'</w:t>
      </w:r>
      <w:r w:rsidRPr="00756AC8">
        <w:rPr>
          <w:sz w:val="24"/>
          <w:szCs w:val="24"/>
          <w:rtl/>
        </w:rPr>
        <w:t>ואם היה מלוכלך בטיט ובצואה רוחץ כדרכו ואינו חושש</w:t>
      </w:r>
      <w:r>
        <w:rPr>
          <w:rFonts w:hint="cs"/>
          <w:sz w:val="24"/>
          <w:szCs w:val="24"/>
          <w:rtl/>
        </w:rPr>
        <w:t>',</w:t>
      </w:r>
      <w:r w:rsidRPr="00756AC8">
        <w:rPr>
          <w:sz w:val="24"/>
          <w:szCs w:val="24"/>
          <w:rtl/>
        </w:rPr>
        <w:t xml:space="preserve"> </w:t>
      </w:r>
      <w:r>
        <w:rPr>
          <w:rFonts w:hint="cs"/>
          <w:sz w:val="24"/>
          <w:szCs w:val="24"/>
          <w:rtl/>
        </w:rPr>
        <w:t>'</w:t>
      </w:r>
      <w:r w:rsidRPr="00756AC8">
        <w:rPr>
          <w:sz w:val="24"/>
          <w:szCs w:val="24"/>
          <w:rtl/>
        </w:rPr>
        <w:t>מי שיש לו חטטין בראשו סך כדרכו ואינו חושש</w:t>
      </w:r>
      <w:r>
        <w:rPr>
          <w:rFonts w:hint="cs"/>
          <w:sz w:val="24"/>
          <w:szCs w:val="24"/>
          <w:rtl/>
        </w:rPr>
        <w:t>'...</w:t>
      </w:r>
      <w:r>
        <w:rPr>
          <w:sz w:val="24"/>
          <w:szCs w:val="24"/>
          <w:rtl/>
        </w:rPr>
        <w:t xml:space="preserve"> וביו</w:t>
      </w:r>
      <w:r>
        <w:rPr>
          <w:rFonts w:hint="cs"/>
          <w:sz w:val="24"/>
          <w:szCs w:val="24"/>
          <w:rtl/>
        </w:rPr>
        <w:t>ם הכיפורים</w:t>
      </w:r>
      <w:r w:rsidRPr="00756AC8">
        <w:rPr>
          <w:sz w:val="24"/>
          <w:szCs w:val="24"/>
          <w:rtl/>
        </w:rPr>
        <w:t xml:space="preserve"> אסרו משום </w:t>
      </w:r>
      <w:r w:rsidRPr="00756AC8">
        <w:rPr>
          <w:sz w:val="24"/>
          <w:szCs w:val="24"/>
          <w:rtl/>
        </w:rPr>
        <w:lastRenderedPageBreak/>
        <w:t>תענוג אבל משום רפואה שרי או ידיו מלוכלכות</w:t>
      </w:r>
      <w:r>
        <w:rPr>
          <w:rFonts w:hint="cs"/>
          <w:sz w:val="24"/>
          <w:szCs w:val="24"/>
          <w:rtl/>
        </w:rPr>
        <w:t>.</w:t>
      </w:r>
      <w:r w:rsidRPr="00756AC8">
        <w:rPr>
          <w:sz w:val="24"/>
          <w:szCs w:val="24"/>
          <w:rtl/>
        </w:rPr>
        <w:t xml:space="preserve"> </w:t>
      </w:r>
      <w:r w:rsidRPr="00756AC8">
        <w:rPr>
          <w:b/>
          <w:bCs/>
          <w:sz w:val="24"/>
          <w:szCs w:val="24"/>
          <w:rtl/>
        </w:rPr>
        <w:t>כללא דמילתא</w:t>
      </w:r>
      <w:r w:rsidRPr="00756AC8">
        <w:rPr>
          <w:rFonts w:hint="cs"/>
          <w:b/>
          <w:bCs/>
          <w:sz w:val="24"/>
          <w:szCs w:val="24"/>
          <w:rtl/>
        </w:rPr>
        <w:t>,</w:t>
      </w:r>
      <w:r w:rsidRPr="00756AC8">
        <w:rPr>
          <w:b/>
          <w:bCs/>
          <w:sz w:val="24"/>
          <w:szCs w:val="24"/>
          <w:rtl/>
        </w:rPr>
        <w:t xml:space="preserve"> היכא דאינו בשביל תענוג שרי</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[תוס' עז. ד"ה דתנן]</w:t>
      </w:r>
    </w:p>
    <w:p w:rsidR="0010620B" w:rsidRDefault="0010620B" w:rsidP="0010620B">
      <w:pPr>
        <w:spacing w:before="200" w:line="276" w:lineRule="exact"/>
        <w:ind w:firstLine="227"/>
        <w:rPr>
          <w:sz w:val="24"/>
          <w:szCs w:val="24"/>
          <w:rtl/>
        </w:rPr>
      </w:pPr>
      <w:r>
        <w:rPr>
          <w:rFonts w:hint="cs"/>
          <w:sz w:val="24"/>
          <w:szCs w:val="24"/>
          <w:rtl/>
        </w:rPr>
        <w:t xml:space="preserve">תוספות סוברים שהאיסור קיים רק ברחיצה ובסיכה לשם תענוג, ולכן אין איסור בעשייתן מחמת צרכים שונים </w:t>
      </w:r>
      <w:r>
        <w:rPr>
          <w:sz w:val="24"/>
          <w:szCs w:val="24"/>
          <w:rtl/>
        </w:rPr>
        <w:t>–</w:t>
      </w:r>
      <w:r>
        <w:rPr>
          <w:rFonts w:hint="cs"/>
          <w:sz w:val="24"/>
          <w:szCs w:val="24"/>
          <w:rtl/>
        </w:rPr>
        <w:t xml:space="preserve"> לכלוך, מחלה או פצעים</w:t>
      </w:r>
      <w:r>
        <w:rPr>
          <w:rStyle w:val="a7"/>
          <w:sz w:val="24"/>
          <w:szCs w:val="24"/>
          <w:rtl/>
        </w:rPr>
        <w:footnoteReference w:id="211"/>
      </w:r>
      <w:r>
        <w:rPr>
          <w:rFonts w:hint="cs"/>
          <w:sz w:val="24"/>
          <w:szCs w:val="24"/>
          <w:rtl/>
        </w:rPr>
        <w:t>.</w:t>
      </w:r>
    </w:p>
    <w:p w:rsidR="0010620B" w:rsidRDefault="0010620B" w:rsidP="0010620B">
      <w:pPr>
        <w:spacing w:before="200" w:line="276" w:lineRule="exact"/>
        <w:ind w:firstLine="227"/>
        <w:rPr>
          <w:sz w:val="24"/>
          <w:szCs w:val="24"/>
          <w:rtl/>
        </w:rPr>
      </w:pPr>
      <w:r>
        <w:rPr>
          <w:rFonts w:hint="cs"/>
          <w:sz w:val="24"/>
          <w:szCs w:val="24"/>
          <w:rtl/>
        </w:rPr>
        <w:t>לעומת דברי תוספות, בירושלמי מפורש שהאיסור קיים גם בסיכה שאינה מחמת תענוג:</w:t>
      </w:r>
    </w:p>
    <w:p w:rsidR="0010620B" w:rsidRDefault="0010620B" w:rsidP="0010620B">
      <w:pPr>
        <w:spacing w:before="200" w:line="276" w:lineRule="exact"/>
        <w:ind w:left="720"/>
        <w:rPr>
          <w:sz w:val="24"/>
          <w:szCs w:val="24"/>
          <w:rtl/>
        </w:rPr>
      </w:pPr>
      <w:r w:rsidRPr="00912A97">
        <w:rPr>
          <w:sz w:val="24"/>
          <w:szCs w:val="24"/>
          <w:rtl/>
        </w:rPr>
        <w:t>בשבת, בין סיכה שהיא ש</w:t>
      </w:r>
      <w:r>
        <w:rPr>
          <w:sz w:val="24"/>
          <w:szCs w:val="24"/>
          <w:rtl/>
        </w:rPr>
        <w:t>ל תענוג בין סיכה שאינה של תענוג</w:t>
      </w:r>
      <w:r>
        <w:rPr>
          <w:rFonts w:hint="cs"/>
          <w:sz w:val="24"/>
          <w:szCs w:val="24"/>
          <w:rtl/>
        </w:rPr>
        <w:t xml:space="preserve"> </w:t>
      </w:r>
      <w:r>
        <w:rPr>
          <w:sz w:val="24"/>
          <w:szCs w:val="24"/>
          <w:rtl/>
        </w:rPr>
        <w:t>–</w:t>
      </w:r>
      <w:r>
        <w:rPr>
          <w:rFonts w:hint="cs"/>
          <w:sz w:val="24"/>
          <w:szCs w:val="24"/>
          <w:rtl/>
        </w:rPr>
        <w:t xml:space="preserve"> </w:t>
      </w:r>
      <w:r w:rsidRPr="00912A97">
        <w:rPr>
          <w:sz w:val="24"/>
          <w:szCs w:val="24"/>
          <w:rtl/>
        </w:rPr>
        <w:t>מותר. ביום הכיפורים, בין סיכה שהיא של תענוג בין סי</w:t>
      </w:r>
      <w:r>
        <w:rPr>
          <w:sz w:val="24"/>
          <w:szCs w:val="24"/>
          <w:rtl/>
        </w:rPr>
        <w:t>כה שאינה של תענוג</w:t>
      </w:r>
      <w:r>
        <w:rPr>
          <w:rFonts w:hint="cs"/>
          <w:sz w:val="24"/>
          <w:szCs w:val="24"/>
          <w:rtl/>
        </w:rPr>
        <w:t xml:space="preserve"> </w:t>
      </w:r>
      <w:r>
        <w:rPr>
          <w:sz w:val="24"/>
          <w:szCs w:val="24"/>
          <w:rtl/>
        </w:rPr>
        <w:t>–</w:t>
      </w:r>
      <w:r>
        <w:rPr>
          <w:rFonts w:hint="cs"/>
          <w:sz w:val="24"/>
          <w:szCs w:val="24"/>
          <w:rtl/>
        </w:rPr>
        <w:t xml:space="preserve"> </w:t>
      </w:r>
      <w:r>
        <w:rPr>
          <w:sz w:val="24"/>
          <w:szCs w:val="24"/>
          <w:rtl/>
        </w:rPr>
        <w:t>אסור. ב</w:t>
      </w:r>
      <w:r>
        <w:rPr>
          <w:rFonts w:hint="cs"/>
          <w:sz w:val="24"/>
          <w:szCs w:val="24"/>
          <w:rtl/>
        </w:rPr>
        <w:t>תשעה</w:t>
      </w:r>
      <w:r w:rsidRPr="00912A97">
        <w:rPr>
          <w:sz w:val="24"/>
          <w:szCs w:val="24"/>
          <w:rtl/>
        </w:rPr>
        <w:t xml:space="preserve"> באב וב</w:t>
      </w:r>
      <w:r>
        <w:rPr>
          <w:sz w:val="24"/>
          <w:szCs w:val="24"/>
          <w:rtl/>
        </w:rPr>
        <w:t>תענית ציבור, סיכה שהיא של תענוג אסור, שאינה של תענוג</w:t>
      </w:r>
      <w:r w:rsidRPr="00912A97">
        <w:rPr>
          <w:sz w:val="24"/>
          <w:szCs w:val="24"/>
          <w:rtl/>
        </w:rPr>
        <w:t xml:space="preserve"> </w:t>
      </w:r>
      <w:r>
        <w:rPr>
          <w:sz w:val="24"/>
          <w:szCs w:val="24"/>
          <w:rtl/>
        </w:rPr>
        <w:t>–</w:t>
      </w:r>
      <w:r>
        <w:rPr>
          <w:rFonts w:hint="cs"/>
          <w:sz w:val="24"/>
          <w:szCs w:val="24"/>
          <w:rtl/>
        </w:rPr>
        <w:t xml:space="preserve"> </w:t>
      </w:r>
      <w:r w:rsidRPr="00912A97">
        <w:rPr>
          <w:sz w:val="24"/>
          <w:szCs w:val="24"/>
          <w:rtl/>
        </w:rPr>
        <w:t>מותר.</w:t>
      </w:r>
      <w:r>
        <w:rPr>
          <w:sz w:val="24"/>
          <w:szCs w:val="24"/>
          <w:rtl/>
        </w:rPr>
        <w:tab/>
      </w:r>
      <w:r>
        <w:rPr>
          <w:sz w:val="24"/>
          <w:szCs w:val="24"/>
          <w:rtl/>
        </w:rPr>
        <w:tab/>
      </w:r>
      <w:r>
        <w:rPr>
          <w:rFonts w:hint="cs"/>
          <w:sz w:val="24"/>
          <w:szCs w:val="24"/>
          <w:rtl/>
        </w:rPr>
        <w:t xml:space="preserve"> </w:t>
      </w:r>
      <w:r>
        <w:rPr>
          <w:rFonts w:hint="cs"/>
          <w:sz w:val="20"/>
          <w:szCs w:val="20"/>
          <w:rtl/>
        </w:rPr>
        <w:t>[ירושלמי יומא פ"ח ה"א]</w:t>
      </w:r>
    </w:p>
    <w:p w:rsidR="0010620B" w:rsidRDefault="0010620B" w:rsidP="0010620B">
      <w:pPr>
        <w:spacing w:before="200" w:line="276" w:lineRule="exact"/>
        <w:ind w:firstLine="227"/>
        <w:rPr>
          <w:sz w:val="24"/>
          <w:szCs w:val="24"/>
          <w:rtl/>
        </w:rPr>
      </w:pPr>
      <w:r>
        <w:rPr>
          <w:rFonts w:hint="cs"/>
          <w:sz w:val="24"/>
          <w:szCs w:val="24"/>
          <w:rtl/>
        </w:rPr>
        <w:t>הר"ן מבאר את היתר הסיכה לחולה או לבעל חטטין על פי דברי הירושלמי:</w:t>
      </w:r>
    </w:p>
    <w:p w:rsidR="0010620B" w:rsidRDefault="0010620B" w:rsidP="0010620B">
      <w:pPr>
        <w:spacing w:before="200" w:line="276" w:lineRule="exact"/>
        <w:ind w:left="720"/>
        <w:rPr>
          <w:sz w:val="24"/>
          <w:szCs w:val="24"/>
          <w:rtl/>
        </w:rPr>
      </w:pPr>
      <w:r w:rsidRPr="00912A97">
        <w:rPr>
          <w:sz w:val="24"/>
          <w:szCs w:val="24"/>
          <w:rtl/>
        </w:rPr>
        <w:t>ואם היה חולה או שהיו ח</w:t>
      </w:r>
      <w:r>
        <w:rPr>
          <w:sz w:val="24"/>
          <w:szCs w:val="24"/>
          <w:rtl/>
        </w:rPr>
        <w:t>טטין בראשו סך כדרכו ואינו חושש</w:t>
      </w:r>
      <w:r>
        <w:rPr>
          <w:rFonts w:hint="cs"/>
          <w:sz w:val="24"/>
          <w:szCs w:val="24"/>
          <w:rtl/>
        </w:rPr>
        <w:t xml:space="preserve"> </w:t>
      </w:r>
      <w:r>
        <w:rPr>
          <w:sz w:val="24"/>
          <w:szCs w:val="24"/>
          <w:rtl/>
        </w:rPr>
        <w:t>–</w:t>
      </w:r>
      <w:r>
        <w:rPr>
          <w:rFonts w:hint="cs"/>
          <w:sz w:val="24"/>
          <w:szCs w:val="24"/>
          <w:rtl/>
        </w:rPr>
        <w:t xml:space="preserve"> </w:t>
      </w:r>
      <w:r w:rsidRPr="00912A97">
        <w:rPr>
          <w:sz w:val="24"/>
          <w:szCs w:val="24"/>
          <w:rtl/>
        </w:rPr>
        <w:t>אבל בלאו הכי כל סיכה אף על פי שאינה של תענוג אסורה</w:t>
      </w:r>
      <w:r>
        <w:rPr>
          <w:rFonts w:hint="cs"/>
          <w:sz w:val="24"/>
          <w:szCs w:val="24"/>
          <w:rtl/>
        </w:rPr>
        <w:t>,</w:t>
      </w:r>
      <w:r w:rsidRPr="00912A97">
        <w:rPr>
          <w:sz w:val="24"/>
          <w:szCs w:val="24"/>
          <w:rtl/>
        </w:rPr>
        <w:t xml:space="preserve"> דגרסינן בירושלמי</w:t>
      </w:r>
      <w:r>
        <w:rPr>
          <w:rFonts w:hint="cs"/>
          <w:sz w:val="24"/>
          <w:szCs w:val="24"/>
          <w:rtl/>
        </w:rPr>
        <w:t>:</w:t>
      </w:r>
      <w:r w:rsidRPr="00912A97">
        <w:rPr>
          <w:sz w:val="24"/>
          <w:szCs w:val="24"/>
          <w:rtl/>
        </w:rPr>
        <w:t xml:space="preserve"> </w:t>
      </w:r>
      <w:r>
        <w:rPr>
          <w:rFonts w:hint="cs"/>
          <w:sz w:val="24"/>
          <w:szCs w:val="24"/>
          <w:rtl/>
        </w:rPr>
        <w:t>'</w:t>
      </w:r>
      <w:r w:rsidRPr="00912A97">
        <w:rPr>
          <w:sz w:val="24"/>
          <w:szCs w:val="24"/>
          <w:rtl/>
        </w:rPr>
        <w:t>סיכה בין שהיא של תענוג בין שאינה של תענ</w:t>
      </w:r>
      <w:r>
        <w:rPr>
          <w:sz w:val="24"/>
          <w:szCs w:val="24"/>
          <w:rtl/>
        </w:rPr>
        <w:t>וג אסורה</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[ר"ן א: ד"ה ואם]</w:t>
      </w:r>
    </w:p>
    <w:p w:rsidR="0010620B" w:rsidRDefault="0010620B" w:rsidP="0010620B">
      <w:pPr>
        <w:spacing w:before="200" w:line="276" w:lineRule="exact"/>
        <w:ind w:firstLine="227"/>
        <w:rPr>
          <w:sz w:val="24"/>
          <w:szCs w:val="24"/>
          <w:rtl/>
        </w:rPr>
      </w:pPr>
      <w:r>
        <w:rPr>
          <w:rFonts w:hint="cs"/>
          <w:sz w:val="24"/>
          <w:szCs w:val="24"/>
          <w:rtl/>
        </w:rPr>
        <w:t>לדברי הר"ן, כעיקרון כל סיכה אסורה, גם כאשר אינה נעשית לשם תענוג, אלא שיש היתר מיוחד לחולה או לבעל חטטין</w:t>
      </w:r>
      <w:r>
        <w:rPr>
          <w:rStyle w:val="a7"/>
          <w:sz w:val="24"/>
          <w:szCs w:val="24"/>
          <w:rtl/>
        </w:rPr>
        <w:footnoteReference w:id="212"/>
      </w:r>
      <w:r>
        <w:rPr>
          <w:rFonts w:hint="cs"/>
          <w:sz w:val="24"/>
          <w:szCs w:val="24"/>
          <w:rtl/>
        </w:rPr>
        <w:t>.</w:t>
      </w:r>
    </w:p>
    <w:p w:rsidR="0010620B" w:rsidRDefault="0010620B" w:rsidP="0010620B">
      <w:pPr>
        <w:spacing w:before="200" w:line="276" w:lineRule="exact"/>
        <w:ind w:firstLine="227"/>
        <w:rPr>
          <w:sz w:val="24"/>
          <w:szCs w:val="24"/>
          <w:rtl/>
        </w:rPr>
      </w:pPr>
      <w:r>
        <w:rPr>
          <w:rFonts w:hint="cs"/>
          <w:sz w:val="24"/>
          <w:szCs w:val="24"/>
          <w:rtl/>
        </w:rPr>
        <w:t xml:space="preserve">לכאורה, דין רחיצה כדין סיכה, ולכן לפי שיטה זו </w:t>
      </w:r>
      <w:r>
        <w:rPr>
          <w:sz w:val="24"/>
          <w:szCs w:val="24"/>
          <w:rtl/>
        </w:rPr>
        <w:t>–</w:t>
      </w:r>
      <w:r>
        <w:rPr>
          <w:rFonts w:hint="cs"/>
          <w:sz w:val="24"/>
          <w:szCs w:val="24"/>
          <w:rtl/>
        </w:rPr>
        <w:t xml:space="preserve"> כשם שאסורה גם סיכה שאינה נעשית לשם תענוג, כך אסורה גם רחיצה שאינה נעשית לשם תענוג</w:t>
      </w:r>
      <w:r>
        <w:rPr>
          <w:rStyle w:val="a7"/>
          <w:sz w:val="24"/>
          <w:szCs w:val="24"/>
          <w:rtl/>
        </w:rPr>
        <w:footnoteReference w:id="213"/>
      </w:r>
      <w:r>
        <w:rPr>
          <w:rFonts w:hint="cs"/>
          <w:sz w:val="24"/>
          <w:szCs w:val="24"/>
          <w:rtl/>
        </w:rPr>
        <w:t>. אמנם, מדברי הטור נראה לא כך. לגבי רחיצה כותב הטור:</w:t>
      </w:r>
    </w:p>
    <w:p w:rsidR="0010620B" w:rsidRPr="00EE3835" w:rsidRDefault="0010620B" w:rsidP="0010620B">
      <w:pPr>
        <w:spacing w:before="200" w:line="276" w:lineRule="exact"/>
        <w:ind w:left="720"/>
        <w:rPr>
          <w:sz w:val="24"/>
          <w:szCs w:val="24"/>
          <w:rtl/>
        </w:rPr>
      </w:pPr>
      <w:r w:rsidRPr="00EE3835">
        <w:rPr>
          <w:sz w:val="24"/>
          <w:szCs w:val="24"/>
          <w:rtl/>
        </w:rPr>
        <w:t>רחיצה</w:t>
      </w:r>
      <w:r>
        <w:rPr>
          <w:rFonts w:hint="cs"/>
          <w:sz w:val="24"/>
          <w:szCs w:val="24"/>
          <w:rtl/>
        </w:rPr>
        <w:t>,</w:t>
      </w:r>
      <w:r w:rsidRPr="00EE3835">
        <w:rPr>
          <w:sz w:val="24"/>
          <w:szCs w:val="24"/>
          <w:rtl/>
        </w:rPr>
        <w:t xml:space="preserve"> דתניא</w:t>
      </w:r>
      <w:r>
        <w:rPr>
          <w:rFonts w:hint="cs"/>
          <w:sz w:val="24"/>
          <w:szCs w:val="24"/>
          <w:rtl/>
        </w:rPr>
        <w:t>,</w:t>
      </w:r>
      <w:r>
        <w:rPr>
          <w:sz w:val="24"/>
          <w:szCs w:val="24"/>
          <w:rtl/>
        </w:rPr>
        <w:t xml:space="preserve"> אסור לרחוץ בי</w:t>
      </w:r>
      <w:r>
        <w:rPr>
          <w:rFonts w:hint="cs"/>
          <w:sz w:val="24"/>
          <w:szCs w:val="24"/>
          <w:rtl/>
        </w:rPr>
        <w:t>ום הכיפורים</w:t>
      </w:r>
      <w:r w:rsidRPr="00EE3835">
        <w:rPr>
          <w:sz w:val="24"/>
          <w:szCs w:val="24"/>
          <w:rtl/>
        </w:rPr>
        <w:t xml:space="preserve"> מקצת גופו ככל גופו</w:t>
      </w:r>
      <w:r>
        <w:rPr>
          <w:rFonts w:hint="cs"/>
          <w:sz w:val="24"/>
          <w:szCs w:val="24"/>
          <w:rtl/>
        </w:rPr>
        <w:t>,</w:t>
      </w:r>
      <w:r>
        <w:rPr>
          <w:sz w:val="24"/>
          <w:szCs w:val="24"/>
          <w:rtl/>
        </w:rPr>
        <w:t xml:space="preserve"> ואפי</w:t>
      </w:r>
      <w:r>
        <w:rPr>
          <w:rFonts w:hint="cs"/>
          <w:sz w:val="24"/>
          <w:szCs w:val="24"/>
          <w:rtl/>
        </w:rPr>
        <w:t xml:space="preserve">לו </w:t>
      </w:r>
      <w:r w:rsidRPr="00EE3835">
        <w:rPr>
          <w:sz w:val="24"/>
          <w:szCs w:val="24"/>
          <w:rtl/>
        </w:rPr>
        <w:t>להושיט אצבעו במים אסור בין בחמין בין בצונן</w:t>
      </w:r>
      <w:r>
        <w:rPr>
          <w:rFonts w:hint="cs"/>
          <w:sz w:val="24"/>
          <w:szCs w:val="24"/>
          <w:rtl/>
        </w:rPr>
        <w:t>.</w:t>
      </w:r>
      <w:r w:rsidRPr="00EE3835">
        <w:rPr>
          <w:sz w:val="24"/>
          <w:szCs w:val="24"/>
          <w:rtl/>
        </w:rPr>
        <w:t xml:space="preserve"> ואם היו ידיו מלוכלכות בטיט וצואה מותר לרוחצן</w:t>
      </w:r>
      <w:r>
        <w:rPr>
          <w:rFonts w:hint="cs"/>
          <w:sz w:val="24"/>
          <w:szCs w:val="24"/>
          <w:rtl/>
        </w:rPr>
        <w:t>,</w:t>
      </w:r>
      <w:r w:rsidRPr="00EE3835">
        <w:rPr>
          <w:sz w:val="24"/>
          <w:szCs w:val="24"/>
          <w:rtl/>
        </w:rPr>
        <w:t xml:space="preserve"> </w:t>
      </w:r>
      <w:r w:rsidRPr="00EE3835">
        <w:rPr>
          <w:b/>
          <w:bCs/>
          <w:sz w:val="24"/>
          <w:szCs w:val="24"/>
          <w:rtl/>
        </w:rPr>
        <w:t>שלא אסרו אלא רחיצה של תענוג</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[טור או"ח סי' תריג]</w:t>
      </w:r>
    </w:p>
    <w:p w:rsidR="0010620B" w:rsidRDefault="0010620B" w:rsidP="0010620B">
      <w:pPr>
        <w:spacing w:before="200" w:line="276" w:lineRule="exact"/>
        <w:ind w:firstLine="227"/>
        <w:rPr>
          <w:sz w:val="24"/>
          <w:szCs w:val="24"/>
          <w:rtl/>
        </w:rPr>
      </w:pPr>
      <w:r>
        <w:rPr>
          <w:rFonts w:hint="cs"/>
          <w:sz w:val="24"/>
          <w:szCs w:val="24"/>
          <w:rtl/>
        </w:rPr>
        <w:t>לעומת זאת, לגבי סיכה כותב הטור:</w:t>
      </w:r>
    </w:p>
    <w:p w:rsidR="0010620B" w:rsidRDefault="0010620B" w:rsidP="0010620B">
      <w:pPr>
        <w:spacing w:before="200" w:line="276" w:lineRule="exact"/>
        <w:ind w:left="720"/>
        <w:rPr>
          <w:sz w:val="24"/>
          <w:szCs w:val="24"/>
          <w:rtl/>
        </w:rPr>
      </w:pPr>
      <w:r w:rsidRPr="00EE3835">
        <w:rPr>
          <w:sz w:val="24"/>
          <w:szCs w:val="24"/>
          <w:rtl/>
        </w:rPr>
        <w:t>סיכה</w:t>
      </w:r>
      <w:r>
        <w:rPr>
          <w:rFonts w:hint="cs"/>
          <w:sz w:val="24"/>
          <w:szCs w:val="24"/>
          <w:rtl/>
        </w:rPr>
        <w:t>,</w:t>
      </w:r>
      <w:r w:rsidRPr="00EE3835">
        <w:rPr>
          <w:sz w:val="24"/>
          <w:szCs w:val="24"/>
          <w:rtl/>
        </w:rPr>
        <w:t xml:space="preserve"> דתניא</w:t>
      </w:r>
      <w:r>
        <w:rPr>
          <w:rFonts w:hint="cs"/>
          <w:sz w:val="24"/>
          <w:szCs w:val="24"/>
          <w:rtl/>
        </w:rPr>
        <w:t>,</w:t>
      </w:r>
      <w:r w:rsidRPr="00EE3835">
        <w:rPr>
          <w:sz w:val="24"/>
          <w:szCs w:val="24"/>
          <w:rtl/>
        </w:rPr>
        <w:t xml:space="preserve"> אסור לסוך מקצת גופו ככל גופו</w:t>
      </w:r>
      <w:r>
        <w:rPr>
          <w:rFonts w:hint="cs"/>
          <w:sz w:val="24"/>
          <w:szCs w:val="24"/>
          <w:rtl/>
        </w:rPr>
        <w:t>,</w:t>
      </w:r>
      <w:r w:rsidRPr="00EE3835">
        <w:rPr>
          <w:sz w:val="24"/>
          <w:szCs w:val="24"/>
          <w:rtl/>
        </w:rPr>
        <w:t xml:space="preserve"> ואם הוא חולה אפילו אין בו סכנה או שיש לו חטטין בראשו סך כדרכו ואינו חושש</w:t>
      </w:r>
      <w:r>
        <w:rPr>
          <w:rFonts w:hint="cs"/>
          <w:sz w:val="24"/>
          <w:szCs w:val="24"/>
          <w:rtl/>
        </w:rPr>
        <w:t>.</w:t>
      </w:r>
      <w:r w:rsidRPr="00EE3835">
        <w:rPr>
          <w:sz w:val="24"/>
          <w:szCs w:val="24"/>
          <w:rtl/>
        </w:rPr>
        <w:t xml:space="preserve"> אבל בלא חולי</w:t>
      </w:r>
      <w:r>
        <w:rPr>
          <w:rFonts w:hint="cs"/>
          <w:sz w:val="24"/>
          <w:szCs w:val="24"/>
          <w:rtl/>
        </w:rPr>
        <w:t>,</w:t>
      </w:r>
      <w:r w:rsidRPr="00EE3835">
        <w:rPr>
          <w:sz w:val="24"/>
          <w:szCs w:val="24"/>
          <w:rtl/>
        </w:rPr>
        <w:t xml:space="preserve"> </w:t>
      </w:r>
      <w:r w:rsidRPr="00EE3835">
        <w:rPr>
          <w:b/>
          <w:bCs/>
          <w:sz w:val="24"/>
          <w:szCs w:val="24"/>
          <w:rtl/>
        </w:rPr>
        <w:t>אפילו אם אינו סך לתענוג אלא להעביר הזוהמא –</w:t>
      </w:r>
      <w:r w:rsidRPr="00EE3835">
        <w:rPr>
          <w:rFonts w:hint="cs"/>
          <w:b/>
          <w:bCs/>
          <w:sz w:val="24"/>
          <w:szCs w:val="24"/>
          <w:rtl/>
        </w:rPr>
        <w:t xml:space="preserve"> </w:t>
      </w:r>
      <w:r w:rsidRPr="00EE3835">
        <w:rPr>
          <w:b/>
          <w:bCs/>
          <w:sz w:val="24"/>
          <w:szCs w:val="24"/>
          <w:rtl/>
        </w:rPr>
        <w:t>אסור</w:t>
      </w:r>
      <w:r w:rsidRPr="00EE3835">
        <w:rPr>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[טור או"ח סי' תריד]</w:t>
      </w:r>
    </w:p>
    <w:p w:rsidR="0010620B" w:rsidRDefault="0010620B" w:rsidP="0010620B">
      <w:pPr>
        <w:spacing w:before="200" w:line="276" w:lineRule="exact"/>
        <w:ind w:firstLine="227"/>
        <w:rPr>
          <w:sz w:val="24"/>
          <w:szCs w:val="24"/>
          <w:rtl/>
        </w:rPr>
      </w:pPr>
      <w:r>
        <w:rPr>
          <w:rFonts w:hint="cs"/>
          <w:sz w:val="24"/>
          <w:szCs w:val="24"/>
          <w:rtl/>
        </w:rPr>
        <w:t>מדברי הטור עולה שיש חילוק בין רחיצה לסיכה: רחיצה שאינה של תענוג מותרת, ואילו סיכה שאינה של תענוג אסורה. טעם החילוק בין האיסורים טעון ביאור.</w:t>
      </w:r>
    </w:p>
    <w:p w:rsidR="0010620B" w:rsidRDefault="0010620B" w:rsidP="0010620B">
      <w:pPr>
        <w:spacing w:before="200" w:line="276" w:lineRule="exact"/>
        <w:ind w:firstLine="227"/>
        <w:rPr>
          <w:sz w:val="24"/>
          <w:szCs w:val="24"/>
          <w:rtl/>
        </w:rPr>
      </w:pPr>
    </w:p>
    <w:p w:rsidR="0010620B" w:rsidRDefault="0010620B" w:rsidP="0010620B">
      <w:pPr>
        <w:spacing w:before="200" w:line="276" w:lineRule="exact"/>
        <w:ind w:firstLine="227"/>
        <w:rPr>
          <w:sz w:val="24"/>
          <w:szCs w:val="24"/>
          <w:rtl/>
        </w:rPr>
      </w:pPr>
      <w:r>
        <w:rPr>
          <w:rFonts w:hint="cs"/>
          <w:sz w:val="24"/>
          <w:szCs w:val="24"/>
          <w:rtl/>
        </w:rPr>
        <w:t>הפוסקים נחלקו האם זו אכן כוונת הטור. הב"ח ממאן לקבל את החילוק בין רחיצה וסיכה, ולכן הוא נדחק בדברי הטור ומבאר את כוונתו באופן אחר:</w:t>
      </w:r>
    </w:p>
    <w:p w:rsidR="0010620B" w:rsidRDefault="0010620B" w:rsidP="0010620B">
      <w:pPr>
        <w:spacing w:before="200" w:line="276" w:lineRule="exact"/>
        <w:ind w:left="720"/>
        <w:rPr>
          <w:sz w:val="24"/>
          <w:szCs w:val="24"/>
          <w:rtl/>
        </w:rPr>
      </w:pPr>
      <w:r>
        <w:rPr>
          <w:sz w:val="24"/>
          <w:szCs w:val="24"/>
          <w:rtl/>
        </w:rPr>
        <w:t>ומ</w:t>
      </w:r>
      <w:r>
        <w:rPr>
          <w:rFonts w:hint="cs"/>
          <w:sz w:val="24"/>
          <w:szCs w:val="24"/>
          <w:rtl/>
        </w:rPr>
        <w:t>ה שכתב</w:t>
      </w:r>
      <w:r w:rsidRPr="00DB5DF3">
        <w:rPr>
          <w:sz w:val="24"/>
          <w:szCs w:val="24"/>
          <w:rtl/>
        </w:rPr>
        <w:t xml:space="preserve"> שלא אסרו אלא רחיצה של תענוג. זה אינו מפורש לשם, אלא שרבינו סובר כן, מדהתירו לרחוץ הלכלוך, אלמא שלא אסרו אלא של תענוג</w:t>
      </w:r>
      <w:r w:rsidRPr="00DB5DF3">
        <w:rPr>
          <w:rFonts w:hint="cs"/>
          <w:b/>
          <w:bCs/>
          <w:sz w:val="24"/>
          <w:szCs w:val="24"/>
          <w:rtl/>
        </w:rPr>
        <w:t xml:space="preserve">... </w:t>
      </w:r>
      <w:r w:rsidRPr="00DB5DF3">
        <w:rPr>
          <w:b/>
          <w:bCs/>
          <w:sz w:val="24"/>
          <w:szCs w:val="24"/>
          <w:rtl/>
        </w:rPr>
        <w:t>ומכל מקום יראה דלאו דוקא דשל תענוג, אלא אפילו אינה של תענוג כגון להעביר הזוהמא נמי אסור, ולא שרי אלא כשהוא מלוכלך</w:t>
      </w:r>
      <w:r w:rsidRPr="00DB5DF3">
        <w:rPr>
          <w:sz w:val="24"/>
          <w:szCs w:val="24"/>
          <w:rtl/>
        </w:rPr>
        <w:t xml:space="preserve">, שזה דומה לדין חטטין דשרינן בסיכה אף על פי שאינו של סכנה, אבל סיכה להעביר הזוהמא אסור, כמ"ש בסימן תרי"ד, והוא הדין ברחיצה, </w:t>
      </w:r>
      <w:r w:rsidRPr="00DB5DF3">
        <w:rPr>
          <w:b/>
          <w:bCs/>
          <w:sz w:val="24"/>
          <w:szCs w:val="24"/>
          <w:rtl/>
        </w:rPr>
        <w:t>דרחיצה וסיכה שוי</w:t>
      </w:r>
      <w:r w:rsidRPr="00DB5DF3">
        <w:rPr>
          <w:rFonts w:hint="cs"/>
          <w:b/>
          <w:bCs/>
          <w:sz w:val="24"/>
          <w:szCs w:val="24"/>
          <w:rtl/>
        </w:rPr>
        <w:t>ן</w:t>
      </w:r>
      <w:r>
        <w:rPr>
          <w:rFonts w:hint="cs"/>
          <w:sz w:val="24"/>
          <w:szCs w:val="24"/>
          <w:rtl/>
        </w:rPr>
        <w:t xml:space="preserve">. </w:t>
      </w:r>
    </w:p>
    <w:p w:rsidR="0010620B" w:rsidRDefault="0010620B" w:rsidP="0010620B">
      <w:pPr>
        <w:spacing w:before="200" w:line="276" w:lineRule="exact"/>
        <w:ind w:left="720"/>
        <w:jc w:val="right"/>
        <w:rPr>
          <w:sz w:val="24"/>
          <w:szCs w:val="24"/>
          <w:rtl/>
        </w:rPr>
      </w:pPr>
      <w:r>
        <w:rPr>
          <w:rFonts w:hint="cs"/>
          <w:sz w:val="20"/>
          <w:szCs w:val="20"/>
          <w:rtl/>
        </w:rPr>
        <w:lastRenderedPageBreak/>
        <w:t>[ב"ח סי' תריג ד"ה ומש"כ שלא אסרו]</w:t>
      </w:r>
    </w:p>
    <w:p w:rsidR="0010620B" w:rsidRPr="00DB5DF3" w:rsidRDefault="0010620B" w:rsidP="0010620B">
      <w:pPr>
        <w:spacing w:before="200" w:line="276" w:lineRule="exact"/>
        <w:ind w:firstLine="227"/>
        <w:rPr>
          <w:sz w:val="24"/>
          <w:szCs w:val="24"/>
          <w:rtl/>
        </w:rPr>
      </w:pPr>
      <w:r>
        <w:rPr>
          <w:rFonts w:hint="cs"/>
          <w:sz w:val="24"/>
          <w:szCs w:val="24"/>
          <w:rtl/>
        </w:rPr>
        <w:t xml:space="preserve">לדבריו, גם הטור משווה בין רחיצה וסיכה, ובדומה לסיכה </w:t>
      </w:r>
      <w:r>
        <w:rPr>
          <w:sz w:val="24"/>
          <w:szCs w:val="24"/>
          <w:rtl/>
        </w:rPr>
        <w:t>–</w:t>
      </w:r>
      <w:r>
        <w:rPr>
          <w:rFonts w:hint="cs"/>
          <w:sz w:val="24"/>
          <w:szCs w:val="24"/>
          <w:rtl/>
        </w:rPr>
        <w:t xml:space="preserve"> רחיצה אסורה גם כאשר אינה נעשית לשם תענוג</w:t>
      </w:r>
      <w:r>
        <w:rPr>
          <w:rStyle w:val="a7"/>
          <w:sz w:val="24"/>
          <w:szCs w:val="24"/>
          <w:rtl/>
        </w:rPr>
        <w:footnoteReference w:id="214"/>
      </w:r>
      <w:r>
        <w:rPr>
          <w:rFonts w:hint="cs"/>
          <w:sz w:val="24"/>
          <w:szCs w:val="24"/>
          <w:rtl/>
        </w:rPr>
        <w:t>.</w:t>
      </w:r>
    </w:p>
    <w:p w:rsidR="0010620B" w:rsidRDefault="0010620B" w:rsidP="0010620B">
      <w:pPr>
        <w:spacing w:before="200" w:line="276" w:lineRule="exact"/>
        <w:ind w:firstLine="227"/>
        <w:rPr>
          <w:sz w:val="24"/>
          <w:szCs w:val="24"/>
          <w:rtl/>
        </w:rPr>
      </w:pPr>
      <w:r>
        <w:rPr>
          <w:rFonts w:hint="cs"/>
          <w:sz w:val="24"/>
          <w:szCs w:val="24"/>
          <w:rtl/>
        </w:rPr>
        <w:t>לעומתו, המגן אברהם מקיים את דברי הטור כפשוטם, כך שקיים חילוק בין רחיצה וסיכה, והוא מבאר את טעם החילוק:</w:t>
      </w:r>
    </w:p>
    <w:p w:rsidR="0010620B" w:rsidRDefault="0010620B" w:rsidP="0010620B">
      <w:pPr>
        <w:spacing w:before="200" w:line="276" w:lineRule="exact"/>
        <w:ind w:firstLine="720"/>
        <w:rPr>
          <w:sz w:val="24"/>
          <w:szCs w:val="24"/>
          <w:rtl/>
        </w:rPr>
      </w:pPr>
      <w:r w:rsidRPr="001B0075">
        <w:rPr>
          <w:sz w:val="24"/>
          <w:szCs w:val="24"/>
          <w:rtl/>
        </w:rPr>
        <w:t>צ</w:t>
      </w:r>
      <w:r>
        <w:rPr>
          <w:rFonts w:hint="cs"/>
          <w:sz w:val="24"/>
          <w:szCs w:val="24"/>
          <w:rtl/>
        </w:rPr>
        <w:t>ריך עיון, מאי שנא מרחיצה</w:t>
      </w:r>
      <w:r w:rsidRPr="001B0075">
        <w:rPr>
          <w:sz w:val="24"/>
          <w:szCs w:val="24"/>
          <w:rtl/>
        </w:rPr>
        <w:t xml:space="preserve"> דשרי להעביר הזוהמא</w:t>
      </w:r>
      <w:r>
        <w:rPr>
          <w:rFonts w:hint="cs"/>
          <w:sz w:val="24"/>
          <w:szCs w:val="24"/>
          <w:rtl/>
        </w:rPr>
        <w:t>. ויש לומר,</w:t>
      </w:r>
      <w:r>
        <w:rPr>
          <w:sz w:val="24"/>
          <w:szCs w:val="24"/>
          <w:rtl/>
        </w:rPr>
        <w:t xml:space="preserve"> דסיכה הוי תענוג טפי</w:t>
      </w:r>
      <w:r>
        <w:rPr>
          <w:rFonts w:hint="cs"/>
          <w:sz w:val="24"/>
          <w:szCs w:val="24"/>
          <w:rtl/>
        </w:rPr>
        <w:t xml:space="preserve">. </w:t>
      </w:r>
    </w:p>
    <w:p w:rsidR="0010620B" w:rsidRDefault="0010620B" w:rsidP="0010620B">
      <w:pPr>
        <w:spacing w:before="200" w:line="276" w:lineRule="exact"/>
        <w:ind w:firstLine="720"/>
        <w:jc w:val="right"/>
        <w:rPr>
          <w:sz w:val="20"/>
          <w:szCs w:val="20"/>
          <w:rtl/>
        </w:rPr>
      </w:pPr>
      <w:r>
        <w:rPr>
          <w:rFonts w:hint="cs"/>
          <w:sz w:val="20"/>
          <w:szCs w:val="20"/>
          <w:rtl/>
        </w:rPr>
        <w:t>[מגן אברהם סי' תריד ס"ק א]</w:t>
      </w:r>
    </w:p>
    <w:p w:rsidR="0010620B" w:rsidRDefault="0010620B" w:rsidP="0010620B">
      <w:pPr>
        <w:spacing w:before="200" w:line="276" w:lineRule="exact"/>
        <w:ind w:firstLine="227"/>
        <w:rPr>
          <w:sz w:val="24"/>
          <w:szCs w:val="24"/>
          <w:rtl/>
        </w:rPr>
      </w:pPr>
      <w:r>
        <w:rPr>
          <w:rFonts w:hint="cs"/>
          <w:sz w:val="24"/>
          <w:szCs w:val="24"/>
          <w:rtl/>
        </w:rPr>
        <w:t>המגן אברהם סבור שהחילוק בין רחיצה לסיכה נובע מרמת התענוג השונה שבהם: רחיצה אסורה רק כאשר היא נעשית לשם תענוג; סיכה, לעומת זאת, הואיל ויש בה תענוג יותר מאשר רחיצה, אסורה אותה בכל אופן, גם כאשר המעשה אינו נעשה לשם תענוג.</w:t>
      </w:r>
    </w:p>
    <w:p w:rsidR="0010620B" w:rsidRDefault="0010620B" w:rsidP="0010620B">
      <w:pPr>
        <w:spacing w:before="200" w:line="276" w:lineRule="exact"/>
        <w:ind w:firstLine="227"/>
        <w:rPr>
          <w:sz w:val="24"/>
          <w:szCs w:val="24"/>
          <w:rtl/>
        </w:rPr>
      </w:pPr>
      <w:r>
        <w:rPr>
          <w:rFonts w:hint="cs"/>
          <w:sz w:val="24"/>
          <w:szCs w:val="24"/>
          <w:rtl/>
        </w:rPr>
        <w:t xml:space="preserve">מדברי שער המלך עולה חילוק עקרוני בין רחיצה לסיכה. שער המלך מביא את קושיית תוספות </w:t>
      </w:r>
      <w:r>
        <w:rPr>
          <w:rFonts w:hint="cs"/>
          <w:sz w:val="20"/>
          <w:szCs w:val="20"/>
          <w:rtl/>
        </w:rPr>
        <w:t>[עז. ד"ה מניין]</w:t>
      </w:r>
      <w:r>
        <w:rPr>
          <w:rFonts w:hint="cs"/>
          <w:sz w:val="24"/>
          <w:szCs w:val="24"/>
          <w:rtl/>
        </w:rPr>
        <w:t xml:space="preserve">, מדוע הגמרא לומדת את איסור סיכה מהכתוב "וסוך לא סכתי", והרי המשנה במסכת שבת </w:t>
      </w:r>
      <w:r>
        <w:rPr>
          <w:rFonts w:hint="cs"/>
          <w:sz w:val="20"/>
          <w:szCs w:val="20"/>
          <w:rtl/>
        </w:rPr>
        <w:t>[פו.]</w:t>
      </w:r>
      <w:r>
        <w:rPr>
          <w:rFonts w:hint="cs"/>
          <w:sz w:val="24"/>
          <w:szCs w:val="24"/>
          <w:rtl/>
        </w:rPr>
        <w:t xml:space="preserve"> לומדת את איסור סיכה ממקור שונה: "</w:t>
      </w:r>
      <w:r w:rsidRPr="00E778EA">
        <w:rPr>
          <w:sz w:val="24"/>
          <w:szCs w:val="24"/>
          <w:rtl/>
        </w:rPr>
        <w:t>מנין לסיכה שהיא כשתייה ביום הכפורים</w:t>
      </w:r>
      <w:r>
        <w:rPr>
          <w:rFonts w:hint="cs"/>
          <w:sz w:val="24"/>
          <w:szCs w:val="24"/>
          <w:rtl/>
        </w:rPr>
        <w:t>?</w:t>
      </w:r>
      <w:r w:rsidRPr="00E778EA">
        <w:rPr>
          <w:sz w:val="24"/>
          <w:szCs w:val="24"/>
          <w:rtl/>
        </w:rPr>
        <w:t xml:space="preserve"> אף על פי שאין ראיה לדבר זכר לדבר</w:t>
      </w:r>
      <w:r>
        <w:rPr>
          <w:rFonts w:hint="cs"/>
          <w:sz w:val="24"/>
          <w:szCs w:val="24"/>
          <w:rtl/>
        </w:rPr>
        <w:t>,</w:t>
      </w:r>
      <w:r w:rsidRPr="00E778EA">
        <w:rPr>
          <w:sz w:val="24"/>
          <w:szCs w:val="24"/>
          <w:rtl/>
        </w:rPr>
        <w:t xml:space="preserve"> שנאמר </w:t>
      </w:r>
      <w:r>
        <w:rPr>
          <w:rFonts w:hint="cs"/>
          <w:sz w:val="24"/>
          <w:szCs w:val="24"/>
          <w:rtl/>
        </w:rPr>
        <w:t>'</w:t>
      </w:r>
      <w:r w:rsidRPr="00E778EA">
        <w:rPr>
          <w:sz w:val="24"/>
          <w:szCs w:val="24"/>
          <w:rtl/>
        </w:rPr>
        <w:t>ותבא כמים בקרבו וכשמן בעצמותיו</w:t>
      </w:r>
      <w:r>
        <w:rPr>
          <w:rFonts w:hint="cs"/>
          <w:sz w:val="24"/>
          <w:szCs w:val="24"/>
          <w:rtl/>
        </w:rPr>
        <w:t>'". שער המלך מבאר את הצורך בשני המקורות:</w:t>
      </w:r>
    </w:p>
    <w:p w:rsidR="0010620B" w:rsidRPr="006B5BD9" w:rsidRDefault="0010620B" w:rsidP="0010620B">
      <w:pPr>
        <w:spacing w:before="200" w:line="276" w:lineRule="exact"/>
        <w:ind w:left="720"/>
        <w:rPr>
          <w:sz w:val="24"/>
          <w:szCs w:val="24"/>
          <w:rtl/>
        </w:rPr>
      </w:pPr>
      <w:r w:rsidRPr="00E778EA">
        <w:rPr>
          <w:sz w:val="24"/>
          <w:szCs w:val="24"/>
          <w:rtl/>
        </w:rPr>
        <w:t>להכי אצטריך קרא ד</w:t>
      </w:r>
      <w:r>
        <w:rPr>
          <w:rFonts w:hint="cs"/>
          <w:sz w:val="24"/>
          <w:szCs w:val="24"/>
          <w:rtl/>
        </w:rPr>
        <w:t>'</w:t>
      </w:r>
      <w:r w:rsidRPr="00E778EA">
        <w:rPr>
          <w:sz w:val="24"/>
          <w:szCs w:val="24"/>
          <w:rtl/>
        </w:rPr>
        <w:t>ותבא כמים</w:t>
      </w:r>
      <w:r>
        <w:rPr>
          <w:rFonts w:hint="cs"/>
          <w:sz w:val="24"/>
          <w:szCs w:val="24"/>
          <w:rtl/>
        </w:rPr>
        <w:t>'</w:t>
      </w:r>
      <w:r w:rsidRPr="00E778EA">
        <w:rPr>
          <w:sz w:val="24"/>
          <w:szCs w:val="24"/>
          <w:rtl/>
        </w:rPr>
        <w:t xml:space="preserve"> למילף אפילו שאינה של תענוג</w:t>
      </w:r>
      <w:r>
        <w:rPr>
          <w:rFonts w:hint="cs"/>
          <w:sz w:val="24"/>
          <w:szCs w:val="24"/>
          <w:rtl/>
        </w:rPr>
        <w:t>,</w:t>
      </w:r>
      <w:r w:rsidRPr="00E778EA">
        <w:rPr>
          <w:sz w:val="24"/>
          <w:szCs w:val="24"/>
          <w:rtl/>
        </w:rPr>
        <w:t xml:space="preserve"> ודייקא נמי לישנא דמתניתין דקתני </w:t>
      </w:r>
      <w:r>
        <w:rPr>
          <w:rFonts w:hint="cs"/>
          <w:sz w:val="24"/>
          <w:szCs w:val="24"/>
          <w:rtl/>
        </w:rPr>
        <w:t>'</w:t>
      </w:r>
      <w:r w:rsidRPr="00E778EA">
        <w:rPr>
          <w:sz w:val="24"/>
          <w:szCs w:val="24"/>
          <w:rtl/>
        </w:rPr>
        <w:t>מנין לסיכה שהיא כשתיה</w:t>
      </w:r>
      <w:r>
        <w:rPr>
          <w:rFonts w:hint="cs"/>
          <w:sz w:val="24"/>
          <w:szCs w:val="24"/>
          <w:rtl/>
        </w:rPr>
        <w:t>',</w:t>
      </w:r>
      <w:r>
        <w:rPr>
          <w:sz w:val="24"/>
          <w:szCs w:val="24"/>
          <w:rtl/>
        </w:rPr>
        <w:t xml:space="preserve"> דמשמע כשתי</w:t>
      </w:r>
      <w:r>
        <w:rPr>
          <w:rFonts w:hint="cs"/>
          <w:sz w:val="24"/>
          <w:szCs w:val="24"/>
          <w:rtl/>
        </w:rPr>
        <w:t>ה</w:t>
      </w:r>
      <w:r w:rsidRPr="00E778EA">
        <w:rPr>
          <w:sz w:val="24"/>
          <w:szCs w:val="24"/>
          <w:rtl/>
        </w:rPr>
        <w:t xml:space="preserve"> ממש</w:t>
      </w:r>
      <w:r>
        <w:rPr>
          <w:rFonts w:hint="cs"/>
          <w:sz w:val="24"/>
          <w:szCs w:val="24"/>
          <w:rtl/>
        </w:rPr>
        <w:t>,</w:t>
      </w:r>
      <w:r w:rsidRPr="00E778EA">
        <w:rPr>
          <w:sz w:val="24"/>
          <w:szCs w:val="24"/>
          <w:rtl/>
        </w:rPr>
        <w:t xml:space="preserve"> דאין חילוק בין של תענוג לאין של תענוג</w:t>
      </w:r>
      <w:r>
        <w:rPr>
          <w:rFonts w:hint="cs"/>
          <w:sz w:val="24"/>
          <w:szCs w:val="24"/>
          <w:rtl/>
        </w:rPr>
        <w:t>,</w:t>
      </w:r>
      <w:r>
        <w:rPr>
          <w:sz w:val="24"/>
          <w:szCs w:val="24"/>
          <w:rtl/>
        </w:rPr>
        <w:t xml:space="preserve"> ואי מקר</w:t>
      </w:r>
      <w:r>
        <w:rPr>
          <w:rFonts w:hint="cs"/>
          <w:sz w:val="24"/>
          <w:szCs w:val="24"/>
          <w:rtl/>
        </w:rPr>
        <w:t>א</w:t>
      </w:r>
      <w:r w:rsidRPr="00E778EA">
        <w:rPr>
          <w:sz w:val="24"/>
          <w:szCs w:val="24"/>
          <w:rtl/>
        </w:rPr>
        <w:t xml:space="preserve"> </w:t>
      </w:r>
      <w:r>
        <w:rPr>
          <w:rFonts w:hint="cs"/>
          <w:sz w:val="24"/>
          <w:szCs w:val="24"/>
          <w:rtl/>
        </w:rPr>
        <w:t>'</w:t>
      </w:r>
      <w:r w:rsidRPr="00E778EA">
        <w:rPr>
          <w:sz w:val="24"/>
          <w:szCs w:val="24"/>
          <w:rtl/>
        </w:rPr>
        <w:t>ותבא כמים</w:t>
      </w:r>
      <w:r>
        <w:rPr>
          <w:rFonts w:hint="cs"/>
          <w:sz w:val="24"/>
          <w:szCs w:val="24"/>
          <w:rtl/>
        </w:rPr>
        <w:t>'</w:t>
      </w:r>
      <w:r w:rsidRPr="00E778EA">
        <w:rPr>
          <w:sz w:val="24"/>
          <w:szCs w:val="24"/>
          <w:rtl/>
        </w:rPr>
        <w:t xml:space="preserve"> הוי אמרינן דקרא לא משתעי בשתיה אלא ברחיצה דומיא דשמן</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[שער המלך הל' שביתת עשור פ"א ה"ה]</w:t>
      </w:r>
    </w:p>
    <w:p w:rsidR="0010620B" w:rsidRDefault="0010620B" w:rsidP="0010620B">
      <w:pPr>
        <w:spacing w:before="200" w:line="276" w:lineRule="exact"/>
        <w:ind w:firstLine="227"/>
        <w:rPr>
          <w:sz w:val="24"/>
          <w:szCs w:val="24"/>
          <w:rtl/>
        </w:rPr>
      </w:pPr>
      <w:r>
        <w:rPr>
          <w:rFonts w:hint="cs"/>
          <w:sz w:val="24"/>
          <w:szCs w:val="24"/>
          <w:rtl/>
        </w:rPr>
        <w:t xml:space="preserve">שער המלך טוען כי בנוסף למקור מ"סוך לא סכתי", יש צורך בדרשת המשנה בשבת </w:t>
      </w:r>
      <w:r>
        <w:rPr>
          <w:sz w:val="24"/>
          <w:szCs w:val="24"/>
          <w:rtl/>
        </w:rPr>
        <w:t>–</w:t>
      </w:r>
      <w:r>
        <w:rPr>
          <w:rFonts w:hint="cs"/>
          <w:sz w:val="24"/>
          <w:szCs w:val="24"/>
          <w:rtl/>
        </w:rPr>
        <w:t xml:space="preserve"> "מנין לסיכה שהיא כשתיה" </w:t>
      </w:r>
      <w:r>
        <w:rPr>
          <w:sz w:val="24"/>
          <w:szCs w:val="24"/>
          <w:rtl/>
        </w:rPr>
        <w:t>–</w:t>
      </w:r>
      <w:r>
        <w:rPr>
          <w:rFonts w:hint="cs"/>
          <w:sz w:val="24"/>
          <w:szCs w:val="24"/>
          <w:rtl/>
        </w:rPr>
        <w:t xml:space="preserve"> כדי ללמד שאסורה גם סיכה שאינה של תענוג.</w:t>
      </w:r>
    </w:p>
    <w:p w:rsidR="0010620B" w:rsidRDefault="0010620B" w:rsidP="0010620B">
      <w:pPr>
        <w:spacing w:before="200" w:line="276" w:lineRule="exact"/>
        <w:ind w:firstLine="227"/>
        <w:rPr>
          <w:sz w:val="24"/>
          <w:szCs w:val="24"/>
          <w:rtl/>
        </w:rPr>
      </w:pPr>
      <w:r>
        <w:rPr>
          <w:rFonts w:hint="cs"/>
          <w:sz w:val="24"/>
          <w:szCs w:val="24"/>
          <w:rtl/>
        </w:rPr>
        <w:t>נראה להעמיק את דברי שער המלך ולעמוד על ההבדל המהותי בין שני המקורות. המקור "וסוך לא סכתי" מלמד שסיכה נחשבת לתענוג, ולכן ביום הכיפורים חובה לשבות גם מתענוג זה. לעומת זאת, הדרשה "מנין לסיכה שהיא כשתיה" מלמדת על טעם אחר לאיסור סיכה: לא משום שהיא תענוג, אלא משום שהיא כשתייה, ולכן איסור זה כלול באיסור השתייה ביום הכיפורים</w:t>
      </w:r>
      <w:r>
        <w:rPr>
          <w:rStyle w:val="a7"/>
          <w:sz w:val="24"/>
          <w:szCs w:val="24"/>
          <w:rtl/>
        </w:rPr>
        <w:footnoteReference w:id="215"/>
      </w:r>
      <w:r>
        <w:rPr>
          <w:rFonts w:hint="cs"/>
          <w:sz w:val="24"/>
          <w:szCs w:val="24"/>
          <w:rtl/>
        </w:rPr>
        <w:t xml:space="preserve">. על פי זה, קיים הבדל עקרוני בין סיכה לרחיצה. רחיצה אסורה משום שהיא אחת מהנאות הגוף, ולכן היא אסורה רק כאשר נעשית לשם תענוג </w:t>
      </w:r>
      <w:r>
        <w:rPr>
          <w:sz w:val="24"/>
          <w:szCs w:val="24"/>
          <w:rtl/>
        </w:rPr>
        <w:t>–</w:t>
      </w:r>
      <w:r>
        <w:rPr>
          <w:rFonts w:hint="cs"/>
          <w:sz w:val="24"/>
          <w:szCs w:val="24"/>
          <w:rtl/>
        </w:rPr>
        <w:t xml:space="preserve"> מחמת החובה הכללית לשבות ביום הכיפורים מכל תענוגי הגוף</w:t>
      </w:r>
      <w:r>
        <w:rPr>
          <w:rStyle w:val="a7"/>
          <w:sz w:val="24"/>
          <w:szCs w:val="24"/>
          <w:rtl/>
        </w:rPr>
        <w:footnoteReference w:id="216"/>
      </w:r>
      <w:r>
        <w:rPr>
          <w:rFonts w:hint="cs"/>
          <w:sz w:val="24"/>
          <w:szCs w:val="24"/>
          <w:rtl/>
        </w:rPr>
        <w:t>. לעומת זאת, סיכה אסורה מטעם נוסף: היא עצמה נחשבת, בדומה לשתייה, ל'חפצא של איסור'</w:t>
      </w:r>
      <w:r>
        <w:rPr>
          <w:rStyle w:val="a7"/>
          <w:sz w:val="24"/>
          <w:szCs w:val="24"/>
          <w:rtl/>
        </w:rPr>
        <w:footnoteReference w:id="217"/>
      </w:r>
      <w:r>
        <w:rPr>
          <w:rFonts w:hint="cs"/>
          <w:sz w:val="24"/>
          <w:szCs w:val="24"/>
          <w:rtl/>
        </w:rPr>
        <w:t xml:space="preserve">, ולכן היא אסורה בכל אופן, גם כאשר אינה נעשית לשם תענוג. </w:t>
      </w:r>
    </w:p>
    <w:p w:rsidR="0010620B" w:rsidRDefault="0010620B" w:rsidP="0010620B">
      <w:pPr>
        <w:spacing w:before="200" w:line="276" w:lineRule="exact"/>
        <w:ind w:firstLine="227"/>
        <w:jc w:val="center"/>
        <w:rPr>
          <w:sz w:val="24"/>
          <w:szCs w:val="24"/>
          <w:rtl/>
        </w:rPr>
      </w:pPr>
      <w:r>
        <w:rPr>
          <w:rFonts w:hint="cs"/>
          <w:sz w:val="24"/>
          <w:szCs w:val="24"/>
          <w:rtl/>
        </w:rPr>
        <w:t>***</w:t>
      </w:r>
    </w:p>
    <w:p w:rsidR="0010620B" w:rsidRDefault="0010620B" w:rsidP="0010620B">
      <w:pPr>
        <w:spacing w:before="200" w:line="276" w:lineRule="exact"/>
        <w:ind w:firstLine="227"/>
        <w:rPr>
          <w:sz w:val="24"/>
          <w:szCs w:val="24"/>
          <w:rtl/>
        </w:rPr>
      </w:pPr>
      <w:r>
        <w:rPr>
          <w:rFonts w:hint="cs"/>
          <w:sz w:val="24"/>
          <w:szCs w:val="24"/>
          <w:rtl/>
        </w:rPr>
        <w:t>בשורות הבאות נסכם את העקרונות שעלו משלושת השיעורים בענייני מצות העינוי ביום הכיפורים.</w:t>
      </w:r>
    </w:p>
    <w:p w:rsidR="0010620B" w:rsidRDefault="0010620B" w:rsidP="0010620B">
      <w:pPr>
        <w:spacing w:before="200" w:line="276" w:lineRule="exact"/>
        <w:ind w:firstLine="227"/>
        <w:rPr>
          <w:sz w:val="24"/>
          <w:szCs w:val="24"/>
          <w:rtl/>
        </w:rPr>
      </w:pPr>
      <w:r>
        <w:rPr>
          <w:rFonts w:hint="cs"/>
          <w:sz w:val="24"/>
          <w:szCs w:val="24"/>
          <w:rtl/>
        </w:rPr>
        <w:t xml:space="preserve">התורה </w:t>
      </w:r>
      <w:r>
        <w:rPr>
          <w:rFonts w:hint="cs"/>
          <w:sz w:val="20"/>
          <w:szCs w:val="20"/>
          <w:rtl/>
        </w:rPr>
        <w:t>[ויקרא כג, כז-כט]</w:t>
      </w:r>
      <w:r>
        <w:rPr>
          <w:rFonts w:hint="cs"/>
          <w:sz w:val="24"/>
          <w:szCs w:val="24"/>
          <w:rtl/>
        </w:rPr>
        <w:t xml:space="preserve"> מצווה על העינוי ביום הכיפורים, ומלמדת שעל ביטול העינוי יש חיוב כרת. עם זאת, התורה אינה מפרשת מהו העינוי בו נצטווינו, והגמרא </w:t>
      </w:r>
      <w:r>
        <w:rPr>
          <w:rFonts w:hint="cs"/>
          <w:sz w:val="20"/>
          <w:szCs w:val="20"/>
          <w:rtl/>
        </w:rPr>
        <w:t>[עד:]</w:t>
      </w:r>
      <w:r>
        <w:rPr>
          <w:rFonts w:hint="cs"/>
          <w:sz w:val="24"/>
          <w:szCs w:val="24"/>
          <w:rtl/>
        </w:rPr>
        <w:t xml:space="preserve"> מביאה דרשות שונות שהעינוי האמור הוא הימנעות מאכילה ושתייה. </w:t>
      </w:r>
    </w:p>
    <w:p w:rsidR="0010620B" w:rsidRDefault="0010620B" w:rsidP="0010620B">
      <w:pPr>
        <w:spacing w:before="200" w:line="276" w:lineRule="exact"/>
        <w:ind w:firstLine="227"/>
        <w:rPr>
          <w:sz w:val="24"/>
          <w:szCs w:val="24"/>
          <w:rtl/>
        </w:rPr>
      </w:pPr>
      <w:r>
        <w:rPr>
          <w:rFonts w:hint="cs"/>
          <w:sz w:val="24"/>
          <w:szCs w:val="24"/>
          <w:rtl/>
        </w:rPr>
        <w:lastRenderedPageBreak/>
        <w:t xml:space="preserve">איסור אכילה ביום הכיפורים שונה משאר איסורי האכילה בשיעור החיוב: ככותבת הגסה ולא כזית. מדברי הראשונים עולות שתי שיטות בהבנת חילוק זה: </w:t>
      </w:r>
    </w:p>
    <w:p w:rsidR="0010620B" w:rsidRDefault="0010620B" w:rsidP="0010620B">
      <w:pPr>
        <w:pStyle w:val="a8"/>
        <w:numPr>
          <w:ilvl w:val="0"/>
          <w:numId w:val="9"/>
        </w:numPr>
        <w:spacing w:before="200" w:line="276" w:lineRule="exact"/>
        <w:rPr>
          <w:sz w:val="24"/>
          <w:szCs w:val="24"/>
        </w:rPr>
      </w:pPr>
      <w:r>
        <w:rPr>
          <w:rFonts w:hint="cs"/>
          <w:sz w:val="24"/>
          <w:szCs w:val="24"/>
          <w:rtl/>
        </w:rPr>
        <w:t xml:space="preserve">לפי </w:t>
      </w:r>
      <w:r w:rsidRPr="0085600A">
        <w:rPr>
          <w:rFonts w:hint="cs"/>
          <w:sz w:val="24"/>
          <w:szCs w:val="24"/>
          <w:rtl/>
        </w:rPr>
        <w:t xml:space="preserve">הריטב"א </w:t>
      </w:r>
      <w:r w:rsidRPr="0085600A">
        <w:rPr>
          <w:rFonts w:hint="cs"/>
          <w:sz w:val="20"/>
          <w:szCs w:val="20"/>
          <w:rtl/>
        </w:rPr>
        <w:t>[יבמות מ. ד"ה והא]</w:t>
      </w:r>
      <w:r>
        <w:rPr>
          <w:rFonts w:hint="cs"/>
          <w:sz w:val="24"/>
          <w:szCs w:val="24"/>
          <w:rtl/>
        </w:rPr>
        <w:t xml:space="preserve">, </w:t>
      </w:r>
      <w:r w:rsidRPr="0085600A">
        <w:rPr>
          <w:rFonts w:hint="cs"/>
          <w:sz w:val="24"/>
          <w:szCs w:val="24"/>
          <w:rtl/>
        </w:rPr>
        <w:t xml:space="preserve">ההבדל הוא רק בשיעור החיוב, אך בשניהם גדר האיסור זהה </w:t>
      </w:r>
      <w:r w:rsidRPr="0085600A">
        <w:rPr>
          <w:sz w:val="24"/>
          <w:szCs w:val="24"/>
          <w:rtl/>
        </w:rPr>
        <w:t>–</w:t>
      </w:r>
      <w:r w:rsidRPr="0085600A">
        <w:rPr>
          <w:rFonts w:hint="cs"/>
          <w:sz w:val="24"/>
          <w:szCs w:val="24"/>
          <w:rtl/>
        </w:rPr>
        <w:t xml:space="preserve"> איסור על מעשה האכילה. </w:t>
      </w:r>
    </w:p>
    <w:p w:rsidR="0010620B" w:rsidRDefault="0010620B" w:rsidP="0010620B">
      <w:pPr>
        <w:pStyle w:val="a8"/>
        <w:numPr>
          <w:ilvl w:val="0"/>
          <w:numId w:val="9"/>
        </w:numPr>
        <w:spacing w:before="200" w:line="276" w:lineRule="exact"/>
        <w:rPr>
          <w:sz w:val="24"/>
          <w:szCs w:val="24"/>
        </w:rPr>
      </w:pPr>
      <w:r>
        <w:rPr>
          <w:rFonts w:hint="cs"/>
          <w:sz w:val="24"/>
          <w:szCs w:val="24"/>
          <w:rtl/>
        </w:rPr>
        <w:t xml:space="preserve">לפי רבי אברהם מן ההר </w:t>
      </w:r>
      <w:r>
        <w:rPr>
          <w:rFonts w:hint="cs"/>
          <w:sz w:val="20"/>
          <w:szCs w:val="20"/>
          <w:rtl/>
        </w:rPr>
        <w:t>[שם, ד"ה פטור]</w:t>
      </w:r>
      <w:r>
        <w:rPr>
          <w:rFonts w:hint="cs"/>
          <w:sz w:val="24"/>
          <w:szCs w:val="24"/>
          <w:rtl/>
        </w:rPr>
        <w:t xml:space="preserve">, ההבדל הוא בגדר האיסור: בשאר התורה </w:t>
      </w:r>
      <w:r>
        <w:rPr>
          <w:sz w:val="24"/>
          <w:szCs w:val="24"/>
          <w:rtl/>
        </w:rPr>
        <w:t>–</w:t>
      </w:r>
      <w:r>
        <w:rPr>
          <w:rFonts w:hint="cs"/>
          <w:sz w:val="24"/>
          <w:szCs w:val="24"/>
          <w:rtl/>
        </w:rPr>
        <w:t xml:space="preserve"> איסור על מעשה האכילה, וביום הכיפורים </w:t>
      </w:r>
      <w:r>
        <w:rPr>
          <w:sz w:val="24"/>
          <w:szCs w:val="24"/>
          <w:rtl/>
        </w:rPr>
        <w:t>–</w:t>
      </w:r>
      <w:r>
        <w:rPr>
          <w:rFonts w:hint="cs"/>
          <w:sz w:val="24"/>
          <w:szCs w:val="24"/>
          <w:rtl/>
        </w:rPr>
        <w:t xml:space="preserve"> בביטול העינוי.</w:t>
      </w:r>
    </w:p>
    <w:p w:rsidR="0010620B" w:rsidRDefault="0010620B" w:rsidP="0010620B">
      <w:pPr>
        <w:spacing w:before="200" w:line="276" w:lineRule="exact"/>
        <w:ind w:firstLine="227"/>
        <w:rPr>
          <w:sz w:val="24"/>
          <w:szCs w:val="24"/>
          <w:rtl/>
        </w:rPr>
      </w:pPr>
      <w:r>
        <w:rPr>
          <w:rFonts w:hint="cs"/>
          <w:sz w:val="24"/>
          <w:szCs w:val="24"/>
          <w:rtl/>
        </w:rPr>
        <w:t xml:space="preserve">מחלוקת זו עומדת ביסוד דיונים שונים בדיני אכילה ביום הכיפורים, האם גדריה זהים לגדר אכילה שבכל התורה: לגבי חצי שיעור </w:t>
      </w:r>
      <w:r>
        <w:rPr>
          <w:rFonts w:hint="cs"/>
          <w:sz w:val="20"/>
          <w:szCs w:val="20"/>
          <w:rtl/>
        </w:rPr>
        <w:t>[ירושלמי תרומות ו, א; בבלי יומא עג:-עד.]</w:t>
      </w:r>
      <w:r>
        <w:rPr>
          <w:rFonts w:hint="cs"/>
          <w:sz w:val="24"/>
          <w:szCs w:val="24"/>
          <w:rtl/>
        </w:rPr>
        <w:t xml:space="preserve">, לגבי אכילת דברים שאינם ראויים </w:t>
      </w:r>
      <w:r>
        <w:rPr>
          <w:rFonts w:hint="cs"/>
          <w:sz w:val="20"/>
          <w:szCs w:val="20"/>
          <w:rtl/>
        </w:rPr>
        <w:t>[רבנו ירוחם תולדות אדם וחוה ז, ב; ביאור הגר"א תריב, ט]</w:t>
      </w:r>
      <w:r>
        <w:rPr>
          <w:rFonts w:hint="cs"/>
          <w:sz w:val="24"/>
          <w:szCs w:val="24"/>
          <w:rtl/>
        </w:rPr>
        <w:t xml:space="preserve"> ולגבי אכילה שלא כדרך אכילתן </w:t>
      </w:r>
      <w:r>
        <w:rPr>
          <w:rFonts w:hint="cs"/>
          <w:sz w:val="20"/>
          <w:szCs w:val="20"/>
          <w:rtl/>
        </w:rPr>
        <w:t>[רמב"ם הל' יסודי התורה ה, ח; שאגת אריה סי' עו]</w:t>
      </w:r>
      <w:r>
        <w:rPr>
          <w:rFonts w:hint="cs"/>
          <w:sz w:val="24"/>
          <w:szCs w:val="24"/>
          <w:rtl/>
        </w:rPr>
        <w:t xml:space="preserve">. </w:t>
      </w:r>
    </w:p>
    <w:p w:rsidR="0010620B" w:rsidRDefault="0010620B" w:rsidP="0010620B">
      <w:pPr>
        <w:spacing w:before="200" w:line="276" w:lineRule="exact"/>
        <w:ind w:firstLine="227"/>
        <w:rPr>
          <w:sz w:val="24"/>
          <w:szCs w:val="24"/>
          <w:rtl/>
        </w:rPr>
      </w:pPr>
      <w:r>
        <w:rPr>
          <w:rFonts w:hint="cs"/>
          <w:sz w:val="24"/>
          <w:szCs w:val="24"/>
          <w:rtl/>
        </w:rPr>
        <w:t xml:space="preserve">מדברי המנחת חינוך </w:t>
      </w:r>
      <w:r>
        <w:rPr>
          <w:rFonts w:hint="cs"/>
          <w:sz w:val="20"/>
          <w:szCs w:val="20"/>
          <w:rtl/>
        </w:rPr>
        <w:t>[שיג, ב]</w:t>
      </w:r>
      <w:r>
        <w:rPr>
          <w:rFonts w:hint="cs"/>
          <w:sz w:val="24"/>
          <w:szCs w:val="24"/>
          <w:rtl/>
        </w:rPr>
        <w:t xml:space="preserve"> עולה הגדרה מורכבת: האיסור הוא במעשה האכילה, אך החיוב קיים באכילה המבטלת את העינוי ומיישבת את דעתו של האדם.</w:t>
      </w:r>
    </w:p>
    <w:p w:rsidR="0010620B" w:rsidRDefault="0010620B" w:rsidP="0010620B">
      <w:pPr>
        <w:spacing w:before="200" w:line="276" w:lineRule="exact"/>
        <w:ind w:firstLine="227"/>
        <w:rPr>
          <w:sz w:val="24"/>
          <w:szCs w:val="24"/>
          <w:rtl/>
        </w:rPr>
      </w:pPr>
    </w:p>
    <w:p w:rsidR="0010620B" w:rsidRDefault="0010620B" w:rsidP="0010620B">
      <w:pPr>
        <w:spacing w:before="200" w:line="276" w:lineRule="exact"/>
        <w:ind w:firstLine="227"/>
        <w:rPr>
          <w:sz w:val="24"/>
          <w:szCs w:val="24"/>
          <w:rtl/>
        </w:rPr>
      </w:pPr>
      <w:r>
        <w:rPr>
          <w:rFonts w:hint="cs"/>
          <w:sz w:val="24"/>
          <w:szCs w:val="24"/>
          <w:rtl/>
        </w:rPr>
        <w:t xml:space="preserve">במשנה </w:t>
      </w:r>
      <w:r>
        <w:rPr>
          <w:rFonts w:hint="cs"/>
          <w:sz w:val="20"/>
          <w:szCs w:val="20"/>
          <w:rtl/>
        </w:rPr>
        <w:t>[עג:]</w:t>
      </w:r>
      <w:r>
        <w:rPr>
          <w:rFonts w:hint="cs"/>
          <w:sz w:val="24"/>
          <w:szCs w:val="24"/>
          <w:rtl/>
        </w:rPr>
        <w:t xml:space="preserve"> מבואר שיום הכיפורים אסור באיסורים נוספים: רחיצה, סיכה, נעילת הסנדל ותשמיש המיטה. הראשונים נחלקים בתוקפם של איסורים אלו: לפי בעלי התוספות </w:t>
      </w:r>
      <w:r>
        <w:rPr>
          <w:rFonts w:hint="cs"/>
          <w:sz w:val="20"/>
          <w:szCs w:val="20"/>
          <w:rtl/>
        </w:rPr>
        <w:t>[תוס' עז. ד"ה דתנן; תוס' ישנים עג: ד"ה יום]</w:t>
      </w:r>
      <w:r>
        <w:rPr>
          <w:rFonts w:hint="cs"/>
          <w:sz w:val="24"/>
          <w:szCs w:val="24"/>
          <w:rtl/>
        </w:rPr>
        <w:t xml:space="preserve"> מדרבנן, ולפי השאילתות </w:t>
      </w:r>
      <w:r>
        <w:rPr>
          <w:rFonts w:hint="cs"/>
          <w:sz w:val="20"/>
          <w:szCs w:val="20"/>
          <w:rtl/>
        </w:rPr>
        <w:t>[שאילתא קסז]</w:t>
      </w:r>
      <w:r>
        <w:rPr>
          <w:rFonts w:hint="cs"/>
          <w:sz w:val="24"/>
          <w:szCs w:val="24"/>
          <w:rtl/>
        </w:rPr>
        <w:t xml:space="preserve"> מדאורייתא. הראשונים ההולכים בשיטת השאילתות נחלקים במקור איסורים אלו: לפי היראים </w:t>
      </w:r>
      <w:r>
        <w:rPr>
          <w:rFonts w:hint="cs"/>
          <w:sz w:val="20"/>
          <w:szCs w:val="20"/>
          <w:rtl/>
        </w:rPr>
        <w:t>[סי' תכ]</w:t>
      </w:r>
      <w:r>
        <w:rPr>
          <w:rFonts w:hint="cs"/>
          <w:sz w:val="24"/>
          <w:szCs w:val="24"/>
          <w:rtl/>
        </w:rPr>
        <w:t xml:space="preserve">, הם כלולים במצות העינוי, אלא שהם התמעטו מכרת. לעומת זאת, לפי הרמב"ם </w:t>
      </w:r>
      <w:r>
        <w:rPr>
          <w:rFonts w:hint="cs"/>
          <w:sz w:val="20"/>
          <w:szCs w:val="20"/>
          <w:rtl/>
        </w:rPr>
        <w:t>[סהמ"צ מ"ע קסד; הל' שביתת עשור פ"א ה"ד-ה]</w:t>
      </w:r>
      <w:r>
        <w:rPr>
          <w:rFonts w:hint="cs"/>
          <w:sz w:val="24"/>
          <w:szCs w:val="24"/>
          <w:rtl/>
        </w:rPr>
        <w:t xml:space="preserve">, הם אינם כלולים במצות העינוי, אלא מקורם בהלכה 'מפי השמועה' הנדרשת מהכתוב "שבתון". </w:t>
      </w:r>
    </w:p>
    <w:p w:rsidR="0010620B" w:rsidRDefault="0010620B" w:rsidP="0010620B">
      <w:pPr>
        <w:spacing w:before="200" w:line="276" w:lineRule="exact"/>
        <w:ind w:firstLine="227"/>
        <w:rPr>
          <w:sz w:val="24"/>
          <w:szCs w:val="24"/>
          <w:rtl/>
        </w:rPr>
      </w:pPr>
      <w:r>
        <w:rPr>
          <w:rFonts w:hint="cs"/>
          <w:sz w:val="24"/>
          <w:szCs w:val="24"/>
          <w:rtl/>
        </w:rPr>
        <w:t>במשנה ובגמרא מופיעים היתרים שונים ביחס לעינויים אלו, ונחלקו הראשונים בטעמם. לפי תוספות, ההיתרים נובעים מכך שהאיסורים הם מדרבנן בלבד. לפי היראים, ההיתרים קיימים בדברים שאינם כלולים באיסור התורה (כרחיצת מקצת גופו). לפי הר"ן (ההולך בשיטתו העקרונית של הרמב"ם דלעיל), ההיתרים נובעים מכך שאיסורים אלו 'מסרן הכתוב לחכמים', ולכן חכמים התירו במצבים מסוימים מחמת הצורך. מדברי הר"ן עולה שההבדל בין איסורים אלו לאיסורי אכילה ושתייה הוא בחומרת האיסור בלבד, אך לפי דרכו של הרמב"ם ניתן לחלק ביניהם באופן עקרוני: אכילה מהווה 'חפצא של איסור', הואיל והאיסור הוא בעצם מעשה האכילה (כשיטת הריטב"א דלעיל). לעומת זאת, שאר האיסורים אינם 'חפצא של איסור', וגדר האיסור אינו בעשיית כל מעשה ומעשה אלא בביטול העינוי, ולכן האיסור קיים רק כאשר הם נעשים לשם תענוג.</w:t>
      </w:r>
    </w:p>
    <w:p w:rsidR="0010620B" w:rsidRDefault="0010620B" w:rsidP="0010620B">
      <w:pPr>
        <w:spacing w:before="200" w:after="240" w:line="276" w:lineRule="exact"/>
        <w:ind w:firstLine="227"/>
        <w:rPr>
          <w:sz w:val="24"/>
          <w:szCs w:val="24"/>
          <w:rtl/>
        </w:rPr>
      </w:pPr>
      <w:r>
        <w:rPr>
          <w:rFonts w:hint="cs"/>
          <w:sz w:val="24"/>
          <w:szCs w:val="24"/>
          <w:rtl/>
        </w:rPr>
        <w:t xml:space="preserve">שאלה זו, האם האיסור הוא בעשיית כל אחד ממעשים אלו, או שהאיסור הוא בביטול העינוי הנובע מעשייתם, משליכה הן על גדר המנעל האסור (האם הוא תלוי בגדר מנעל שבכל התורה), הן על הבנת ההיתרים השונים הקיימים ברחיצה ובסיכה (האם זהו היתר שהתחדש במצבים מסוימים, או שהאיסור ביסודו הוא רק כאשר מעשים אלו נעשים לשם תענוג). בדברינו עמדנו על שיטת הטור </w:t>
      </w:r>
      <w:r>
        <w:rPr>
          <w:rFonts w:hint="cs"/>
          <w:sz w:val="20"/>
          <w:szCs w:val="20"/>
          <w:rtl/>
        </w:rPr>
        <w:t>[סי' תריג וסי' תריד]</w:t>
      </w:r>
      <w:r>
        <w:rPr>
          <w:rFonts w:hint="cs"/>
          <w:sz w:val="24"/>
          <w:szCs w:val="24"/>
          <w:rtl/>
        </w:rPr>
        <w:t xml:space="preserve">, ממנה נראה שיש חילוק בין רחיצה לסיכה בעניין זה, וראינו את דברי שער המלך </w:t>
      </w:r>
      <w:r>
        <w:rPr>
          <w:rFonts w:hint="cs"/>
          <w:sz w:val="20"/>
          <w:szCs w:val="20"/>
          <w:rtl/>
        </w:rPr>
        <w:t>[הל' שביתת עשור א, ה]</w:t>
      </w:r>
      <w:r>
        <w:rPr>
          <w:rFonts w:hint="cs"/>
          <w:sz w:val="24"/>
          <w:szCs w:val="24"/>
          <w:rtl/>
        </w:rPr>
        <w:t>, מהם עולה שקיים הבדל בין סיכה לשאר האיסורים: שאר האיסורים אינם נחשבים ל'חפצא של איסור', אלא איסורם נובע מהאיסור הכללי בביטול העינוי. לעומתם, סיכה נחשבת, בדומה לאכילה ולשתייה, ל'חפצא של איסור', הואיל ו'סיכה כשתייה'.</w:t>
      </w:r>
    </w:p>
    <w:p w:rsidR="0010620B" w:rsidRDefault="0010620B" w:rsidP="0010620B">
      <w:pPr>
        <w:spacing w:before="200" w:after="240" w:line="276" w:lineRule="exact"/>
        <w:ind w:firstLine="227"/>
        <w:rPr>
          <w:sz w:val="24"/>
          <w:szCs w:val="24"/>
          <w:rtl/>
        </w:rPr>
      </w:pPr>
    </w:p>
    <w:p w:rsidR="0010620B" w:rsidRPr="00B012E4" w:rsidRDefault="0010620B" w:rsidP="0010620B">
      <w:pPr>
        <w:spacing w:before="200" w:after="240" w:line="276" w:lineRule="exact"/>
        <w:ind w:firstLine="227"/>
        <w:rPr>
          <w:sz w:val="24"/>
          <w:szCs w:val="24"/>
          <w:rtl/>
        </w:rPr>
      </w:pPr>
      <w:r>
        <w:rPr>
          <w:rFonts w:hint="cs"/>
          <w:sz w:val="24"/>
          <w:szCs w:val="24"/>
          <w:rtl/>
        </w:rPr>
        <w:t xml:space="preserve">בעזרת ה' נעסוק בשיעור הבא במצות הוידוי ביום הכיפורים, ובכך נשלים את סדרת שיעורינו על יסודות מסכת יומא.  </w:t>
      </w:r>
      <w:r w:rsidRPr="0085600A">
        <w:rPr>
          <w:sz w:val="24"/>
          <w:szCs w:val="24"/>
          <w:rtl/>
        </w:rPr>
        <w:t xml:space="preserve"> </w:t>
      </w:r>
    </w:p>
    <w:p w:rsidR="0010620B" w:rsidRPr="00B012E4" w:rsidRDefault="0010620B" w:rsidP="0010620B">
      <w:pPr>
        <w:spacing w:after="0" w:line="276" w:lineRule="auto"/>
        <w:ind w:firstLine="227"/>
        <w:jc w:val="right"/>
        <w:rPr>
          <w:sz w:val="24"/>
          <w:szCs w:val="24"/>
        </w:rPr>
      </w:pPr>
      <w:r w:rsidRPr="00B012E4">
        <w:rPr>
          <w:rFonts w:hint="cs"/>
          <w:sz w:val="24"/>
          <w:szCs w:val="24"/>
          <w:u w:val="single"/>
          <w:rtl/>
        </w:rPr>
        <w:t>להערות ולתגובות</w:t>
      </w:r>
      <w:r w:rsidRPr="00B012E4">
        <w:rPr>
          <w:rFonts w:hint="cs"/>
          <w:sz w:val="24"/>
          <w:szCs w:val="24"/>
          <w:rtl/>
        </w:rPr>
        <w:t>: שלמה ליפשיץ</w:t>
      </w:r>
    </w:p>
    <w:p w:rsidR="0010620B" w:rsidRDefault="0010620B" w:rsidP="0010620B">
      <w:pPr>
        <w:spacing w:after="0" w:line="276" w:lineRule="auto"/>
        <w:ind w:firstLine="227"/>
        <w:jc w:val="right"/>
        <w:rPr>
          <w:rtl/>
        </w:rPr>
      </w:pPr>
      <w:hyperlink r:id="rId33" w:history="1">
        <w:r w:rsidRPr="00B012E4">
          <w:rPr>
            <w:rStyle w:val="Hyperlink"/>
            <w:sz w:val="24"/>
            <w:szCs w:val="24"/>
          </w:rPr>
          <w:t>lshlomo26@gmail.com</w:t>
        </w:r>
      </w:hyperlink>
    </w:p>
    <w:p w:rsidR="0010620B" w:rsidRPr="00C84762" w:rsidRDefault="0010620B" w:rsidP="00C84762">
      <w:pPr>
        <w:spacing w:after="0" w:line="240" w:lineRule="auto"/>
        <w:rPr>
          <w:rtl/>
        </w:rPr>
      </w:pPr>
      <w:r>
        <w:rPr>
          <w:rtl/>
        </w:rPr>
        <w:br w:type="page"/>
      </w:r>
    </w:p>
    <w:p w:rsidR="0010620B" w:rsidRPr="00F56E93" w:rsidRDefault="0010620B" w:rsidP="0010620B">
      <w:pPr>
        <w:keepNext/>
        <w:keepLines/>
        <w:spacing w:before="240" w:after="0" w:line="276" w:lineRule="exact"/>
        <w:jc w:val="center"/>
        <w:outlineLvl w:val="0"/>
        <w:rPr>
          <w:rFonts w:asciiTheme="majorHAnsi" w:eastAsiaTheme="majorEastAsia" w:hAnsiTheme="majorHAnsi"/>
          <w:bCs/>
          <w:sz w:val="36"/>
          <w:szCs w:val="36"/>
          <w:rtl/>
        </w:rPr>
      </w:pPr>
      <w:bookmarkStart w:id="126" w:name="_Toc76719219"/>
      <w:r w:rsidRPr="00F56E93">
        <w:rPr>
          <w:rFonts w:asciiTheme="majorHAnsi" w:eastAsiaTheme="majorEastAsia" w:hAnsiTheme="majorHAnsi" w:hint="cs"/>
          <w:bCs/>
          <w:sz w:val="40"/>
          <w:szCs w:val="40"/>
          <w:rtl/>
        </w:rPr>
        <w:lastRenderedPageBreak/>
        <w:t>יסודות יומא</w:t>
      </w:r>
      <w:bookmarkEnd w:id="126"/>
    </w:p>
    <w:p w:rsidR="0010620B" w:rsidRPr="00F56E93" w:rsidRDefault="0010620B" w:rsidP="0010620B">
      <w:pPr>
        <w:keepNext/>
        <w:keepLines/>
        <w:spacing w:before="240" w:after="0" w:line="276" w:lineRule="exact"/>
        <w:jc w:val="center"/>
        <w:outlineLvl w:val="0"/>
        <w:rPr>
          <w:rFonts w:asciiTheme="majorHAnsi" w:eastAsiaTheme="majorEastAsia" w:hAnsiTheme="majorHAnsi"/>
          <w:b/>
          <w:sz w:val="32"/>
          <w:szCs w:val="32"/>
          <w:rtl/>
        </w:rPr>
      </w:pPr>
      <w:bookmarkStart w:id="127" w:name="_Toc76719220"/>
      <w:r w:rsidRPr="00F56E93">
        <w:rPr>
          <w:rFonts w:asciiTheme="majorHAnsi" w:eastAsiaTheme="majorEastAsia" w:hAnsiTheme="majorHAnsi" w:hint="cs"/>
          <w:b/>
          <w:sz w:val="32"/>
          <w:szCs w:val="32"/>
          <w:rtl/>
        </w:rPr>
        <w:t>שיעור עשרים ושישה</w:t>
      </w:r>
      <w:bookmarkEnd w:id="127"/>
    </w:p>
    <w:p w:rsidR="0010620B" w:rsidRPr="00F56E93" w:rsidRDefault="0010620B" w:rsidP="0010620B">
      <w:pPr>
        <w:keepNext/>
        <w:keepLines/>
        <w:spacing w:before="240" w:after="0" w:line="276" w:lineRule="exact"/>
        <w:jc w:val="center"/>
        <w:outlineLvl w:val="0"/>
        <w:rPr>
          <w:rFonts w:asciiTheme="majorHAnsi" w:eastAsiaTheme="majorEastAsia" w:hAnsiTheme="majorHAnsi"/>
          <w:bCs/>
          <w:sz w:val="32"/>
          <w:szCs w:val="32"/>
          <w:rtl/>
        </w:rPr>
      </w:pPr>
      <w:bookmarkStart w:id="128" w:name="_Toc76719221"/>
      <w:r w:rsidRPr="00F56E93">
        <w:rPr>
          <w:rFonts w:asciiTheme="majorHAnsi" w:eastAsiaTheme="majorEastAsia" w:hAnsiTheme="majorHAnsi" w:hint="cs"/>
          <w:bCs/>
          <w:sz w:val="36"/>
          <w:szCs w:val="36"/>
          <w:rtl/>
        </w:rPr>
        <w:t>מצות הוידוי ביום הכיפורים</w:t>
      </w:r>
      <w:bookmarkEnd w:id="128"/>
    </w:p>
    <w:p w:rsidR="0010620B" w:rsidRPr="00F56E93" w:rsidRDefault="0010620B" w:rsidP="0010620B">
      <w:pPr>
        <w:spacing w:line="276" w:lineRule="exact"/>
        <w:rPr>
          <w:highlight w:val="green"/>
          <w:rtl/>
        </w:rPr>
      </w:pPr>
      <w:r w:rsidRPr="00F56E93">
        <w:rPr>
          <w:noProof/>
          <w:highlight w:val="green"/>
          <w:rtl/>
        </w:rPr>
        <mc:AlternateContent>
          <mc:Choice Requires="wps">
            <w:drawing>
              <wp:anchor distT="0" distB="0" distL="114300" distR="114300" simplePos="0" relativeHeight="251727872" behindDoc="1" locked="0" layoutInCell="1" allowOverlap="1" wp14:anchorId="1676EEDD" wp14:editId="6BB640DD">
                <wp:simplePos x="0" y="0"/>
                <wp:positionH relativeFrom="margin">
                  <wp:align>center</wp:align>
                </wp:positionH>
                <wp:positionV relativeFrom="paragraph">
                  <wp:posOffset>228600</wp:posOffset>
                </wp:positionV>
                <wp:extent cx="5765800" cy="7848600"/>
                <wp:effectExtent l="0" t="0" r="25400" b="19050"/>
                <wp:wrapNone/>
                <wp:docPr id="44" name="מלבן 44"/>
                <wp:cNvGraphicFramePr/>
                <a:graphic xmlns:a="http://schemas.openxmlformats.org/drawingml/2006/main">
                  <a:graphicData uri="http://schemas.microsoft.com/office/word/2010/wordprocessingShape">
                    <wps:wsp>
                      <wps:cNvSpPr/>
                      <wps:spPr>
                        <a:xfrm>
                          <a:off x="0" y="0"/>
                          <a:ext cx="5765800" cy="784860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7217F" id="מלבן 44" o:spid="_x0000_s1026" style="position:absolute;left:0;text-align:left;margin-left:0;margin-top:18pt;width:454pt;height:618pt;z-index:-251588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MhwIAAAMFAAAOAAAAZHJzL2Uyb0RvYy54bWysVMtuGjEU3VfqP1jeNwNoCGSUIUJEVJWi&#10;NFJSZW08HhjJr9qGgf5F91X7WfxOjz0T8mhXVVmY+/J9HJ87l1d7JclOON8YXdLh2YASobmpGr0u&#10;6ZeH5YcpJT4wXTFptCjpQXh6NXv/7rK1hRiZjZGVcARJtC9aW9JNCLbIMs83QjF/ZqzQcNbGKRag&#10;unVWOdYiu5LZaDA4z1rjKusMF97Det056Szlr2vBw+e69iIQWVL0FtLp0rmKZza7ZMXaMbtpeN8G&#10;+4cuFGs0ip5SXbPAyNY1f6RSDXfGmzqccaMyU9cNF2kGTDMcvJnmfsOsSLMAHG9PMPn/l5bf7u4c&#10;aaqS5jklmim80fHn8cfx+/EXgQn4tNYXCLu3d67XPMQ47L52Kv5jDLJPmB5OmIp9IBzG8eR8PB0A&#10;eg7fZJpPz6EgT/Z83TofPgqjSBRK6vBoCUu2u/GhC30KidW8kU21bKRMysEvpCM7hvcFLSrTUiKZ&#10;DzCWdJl+fbVX16QmLeh6MRjHzhiIV0sWICoLKLxeU8LkGozmwaVeXt32br06Vc3zyWiRgMJIr8Ji&#10;09fMb7rukiv2wgrVBJBeNqqkgAa/vkWpo1ck2vajR/A7uKO0MtUBz+VMx2Nv+bJBkRsMfMcciItp&#10;sIzhM45aGoxoeomSjXHf/maP8eATvJS0WASM/3XLnACOnzSYdjHM87g5ScnHkxEU99KzeunRW7Uw&#10;eIsh1t7yJMb4IJ+stTPqETs7j1XhYpqjdgd0ryxCt6DYei7m8xSGbbEs3Oh7y2PyiFOE92H/yJzt&#10;iRPAuVvztDSseMOfLjbe1Ga+DaZuErmecQUpo4JNS/TsvwpxlV/qKer52zX7DQAA//8DAFBLAwQU&#10;AAYACAAAACEAZkzUTd0AAAAIAQAADwAAAGRycy9kb3ducmV2LnhtbEyPQU/DMAyF70j8h8hI3Fiy&#10;IpVRmk4MCQEHJjamnbPGtBWJU5psLf8ec4KTbb2n5++Vy8k7ccIhdoE0zGcKBFIdbEeNht3749UC&#10;REyGrHGBUMM3RlhW52elKWwYaYOnbWoEh1AsjIY2pb6QMtYtehNnoUdi7SMM3iQ+h0bawYwc7p3M&#10;lMqlNx3xh9b0+NBi/bk9eg0vq+Zr/9zMN7l3b+OKntT6NSitLy+m+zsQCaf0Z4ZffEaHipkO4Ug2&#10;CqeBiyQN1zlPVm/VgpcD27KbTIGsSvm/QPUDAAD//wMAUEsBAi0AFAAGAAgAAAAhALaDOJL+AAAA&#10;4QEAABMAAAAAAAAAAAAAAAAAAAAAAFtDb250ZW50X1R5cGVzXS54bWxQSwECLQAUAAYACAAAACEA&#10;OP0h/9YAAACUAQAACwAAAAAAAAAAAAAAAAAvAQAAX3JlbHMvLnJlbHNQSwECLQAUAAYACAAAACEA&#10;OIx/zIcCAAADBQAADgAAAAAAAAAAAAAAAAAuAgAAZHJzL2Uyb0RvYy54bWxQSwECLQAUAAYACAAA&#10;ACEAZkzUTd0AAAAIAQAADwAAAAAAAAAAAAAAAADhBAAAZHJzL2Rvd25yZXYueG1sUEsFBgAAAAAE&#10;AAQA8wAAAOsFAAAAAA==&#10;" fillcolor="window" strokecolor="#4472c4" strokeweight="1.5pt">
                <w10:wrap anchorx="margin"/>
              </v:rect>
            </w:pict>
          </mc:Fallback>
        </mc:AlternateContent>
      </w:r>
    </w:p>
    <w:p w:rsidR="0010620B" w:rsidRPr="00DF0F99" w:rsidRDefault="0010620B" w:rsidP="0010620B">
      <w:pPr>
        <w:spacing w:line="276" w:lineRule="exact"/>
        <w:jc w:val="center"/>
        <w:rPr>
          <w:b/>
          <w:bCs/>
          <w:sz w:val="24"/>
          <w:szCs w:val="24"/>
          <w:rtl/>
        </w:rPr>
      </w:pPr>
      <w:r w:rsidRPr="00DF0F99">
        <w:rPr>
          <w:rFonts w:hint="cs"/>
          <w:b/>
          <w:bCs/>
          <w:sz w:val="24"/>
          <w:szCs w:val="24"/>
          <w:rtl/>
        </w:rPr>
        <w:t>מקורות</w:t>
      </w:r>
    </w:p>
    <w:p w:rsidR="0010620B" w:rsidRDefault="0010620B" w:rsidP="0010620B">
      <w:pPr>
        <w:spacing w:line="276" w:lineRule="exact"/>
        <w:rPr>
          <w:sz w:val="24"/>
          <w:szCs w:val="24"/>
          <w:rtl/>
        </w:rPr>
      </w:pPr>
      <w:r w:rsidRPr="00DF0F99">
        <w:rPr>
          <w:rFonts w:hint="cs"/>
          <w:sz w:val="24"/>
          <w:szCs w:val="24"/>
          <w:rtl/>
        </w:rPr>
        <w:t xml:space="preserve">א. גמ' </w:t>
      </w:r>
      <w:r>
        <w:rPr>
          <w:rFonts w:hint="cs"/>
          <w:sz w:val="24"/>
          <w:szCs w:val="24"/>
          <w:rtl/>
        </w:rPr>
        <w:t>יומא פז: "תנו רבנן מצות וידוי... עיקר וידוי האי הוא"</w:t>
      </w:r>
    </w:p>
    <w:p w:rsidR="0010620B" w:rsidRDefault="0010620B" w:rsidP="0010620B">
      <w:pPr>
        <w:spacing w:line="276" w:lineRule="exact"/>
        <w:rPr>
          <w:sz w:val="24"/>
          <w:szCs w:val="24"/>
          <w:rtl/>
        </w:rPr>
      </w:pPr>
      <w:r>
        <w:rPr>
          <w:rFonts w:hint="cs"/>
          <w:sz w:val="24"/>
          <w:szCs w:val="24"/>
          <w:rtl/>
        </w:rPr>
        <w:t>ב. הלכות גדולות הלכות יום הכיפורים "ומחייב בר... הכתוב מדבר"; יראים סי' רסג לבוש או"ח סי' תרז סעי' א</w:t>
      </w:r>
    </w:p>
    <w:p w:rsidR="0010620B" w:rsidRDefault="0010620B" w:rsidP="0010620B">
      <w:pPr>
        <w:spacing w:line="276" w:lineRule="exact"/>
        <w:rPr>
          <w:sz w:val="24"/>
          <w:szCs w:val="24"/>
          <w:rtl/>
        </w:rPr>
      </w:pPr>
      <w:r>
        <w:rPr>
          <w:rFonts w:hint="cs"/>
          <w:sz w:val="24"/>
          <w:szCs w:val="24"/>
          <w:rtl/>
        </w:rPr>
        <w:t>ג. רמב"ם הל' תשובה פ"א ה"א; פ"ב ה"ז-ח</w:t>
      </w:r>
    </w:p>
    <w:p w:rsidR="0010620B" w:rsidRDefault="0010620B" w:rsidP="0010620B">
      <w:pPr>
        <w:spacing w:line="276" w:lineRule="exact"/>
        <w:rPr>
          <w:sz w:val="24"/>
          <w:szCs w:val="24"/>
          <w:rtl/>
        </w:rPr>
      </w:pPr>
      <w:r>
        <w:rPr>
          <w:rFonts w:hint="cs"/>
          <w:sz w:val="24"/>
          <w:szCs w:val="24"/>
          <w:rtl/>
        </w:rPr>
        <w:t>ד. שערי תשובה לרבנו יונה שער ב סעי' יד; שער ד סעי' יז</w:t>
      </w:r>
    </w:p>
    <w:p w:rsidR="0010620B" w:rsidRPr="00DF0F99" w:rsidRDefault="0010620B" w:rsidP="0010620B">
      <w:pPr>
        <w:spacing w:line="276" w:lineRule="exact"/>
        <w:rPr>
          <w:sz w:val="24"/>
          <w:szCs w:val="24"/>
          <w:rtl/>
        </w:rPr>
      </w:pPr>
      <w:r>
        <w:rPr>
          <w:rFonts w:hint="cs"/>
          <w:sz w:val="24"/>
          <w:szCs w:val="24"/>
          <w:rtl/>
        </w:rPr>
        <w:t xml:space="preserve">ה. ספר החינוך מצוה שסד </w:t>
      </w:r>
    </w:p>
    <w:p w:rsidR="0010620B" w:rsidRPr="00F56E93" w:rsidRDefault="0010620B" w:rsidP="0010620B">
      <w:pPr>
        <w:spacing w:line="276" w:lineRule="exact"/>
        <w:rPr>
          <w:sz w:val="24"/>
          <w:szCs w:val="24"/>
          <w:highlight w:val="green"/>
          <w:rtl/>
        </w:rPr>
      </w:pPr>
    </w:p>
    <w:p w:rsidR="0010620B" w:rsidRPr="00CB1276" w:rsidRDefault="0010620B" w:rsidP="0010620B">
      <w:pPr>
        <w:spacing w:after="120" w:line="276" w:lineRule="exact"/>
        <w:rPr>
          <w:rFonts w:ascii="FrankRuehl" w:hAnsi="FrankRuehl" w:cs="FrankRuehl"/>
          <w:b/>
          <w:bCs/>
          <w:sz w:val="24"/>
          <w:szCs w:val="24"/>
          <w:rtl/>
        </w:rPr>
      </w:pPr>
      <w:r>
        <w:rPr>
          <w:rFonts w:ascii="FrankRuehl" w:hAnsi="FrankRuehl" w:cs="FrankRuehl" w:hint="cs"/>
          <w:b/>
          <w:bCs/>
          <w:sz w:val="24"/>
          <w:szCs w:val="24"/>
          <w:rtl/>
        </w:rPr>
        <w:t>הלכות גדולות הלכות יום הכיפורים</w:t>
      </w:r>
    </w:p>
    <w:p w:rsidR="0010620B" w:rsidRDefault="0010620B" w:rsidP="0010620B">
      <w:pPr>
        <w:spacing w:after="120" w:line="276" w:lineRule="exact"/>
        <w:rPr>
          <w:rFonts w:ascii="FrankRuehl" w:hAnsi="FrankRuehl" w:cs="FrankRuehl"/>
          <w:sz w:val="24"/>
          <w:szCs w:val="24"/>
          <w:rtl/>
        </w:rPr>
      </w:pPr>
      <w:r w:rsidRPr="00CB1276">
        <w:rPr>
          <w:rFonts w:ascii="FrankRuehl" w:hAnsi="FrankRuehl" w:cs="FrankRuehl"/>
          <w:sz w:val="24"/>
          <w:szCs w:val="24"/>
          <w:rtl/>
        </w:rPr>
        <w:t>ומיחייב בר ישראל לאודוי ביומא דכיפורי, שנאמר: 'כי ביום הזה יכפר עליכם', ואשכחן דהא כפרה וידוי דברים היא, דתניא, 'וכפר בעדו ובעד ביתו', בהרצאת דברים הכתוב מדבר</w:t>
      </w:r>
      <w:r>
        <w:rPr>
          <w:rFonts w:ascii="FrankRuehl" w:hAnsi="FrankRuehl" w:cs="FrankRuehl" w:hint="cs"/>
          <w:sz w:val="24"/>
          <w:szCs w:val="24"/>
          <w:rtl/>
        </w:rPr>
        <w:t>.</w:t>
      </w:r>
    </w:p>
    <w:p w:rsidR="0010620B" w:rsidRDefault="0010620B" w:rsidP="0010620B">
      <w:pPr>
        <w:spacing w:after="120" w:line="276" w:lineRule="exact"/>
        <w:rPr>
          <w:rFonts w:ascii="FrankRuehl" w:hAnsi="FrankRuehl" w:cs="FrankRuehl"/>
          <w:sz w:val="24"/>
          <w:szCs w:val="24"/>
          <w:rtl/>
        </w:rPr>
      </w:pPr>
    </w:p>
    <w:p w:rsidR="0010620B" w:rsidRPr="00BA2FA8" w:rsidRDefault="0010620B" w:rsidP="0010620B">
      <w:pPr>
        <w:spacing w:after="120" w:line="276" w:lineRule="exact"/>
        <w:rPr>
          <w:rFonts w:ascii="FrankRuehl" w:hAnsi="FrankRuehl" w:cs="FrankRuehl"/>
          <w:b/>
          <w:bCs/>
          <w:sz w:val="24"/>
          <w:szCs w:val="24"/>
          <w:rtl/>
        </w:rPr>
      </w:pPr>
      <w:r>
        <w:rPr>
          <w:rFonts w:ascii="FrankRuehl" w:hAnsi="FrankRuehl" w:cs="FrankRuehl" w:hint="cs"/>
          <w:b/>
          <w:bCs/>
          <w:sz w:val="24"/>
          <w:szCs w:val="24"/>
          <w:rtl/>
        </w:rPr>
        <w:t xml:space="preserve">יראים סי' רסג </w:t>
      </w:r>
    </w:p>
    <w:p w:rsidR="0010620B" w:rsidRDefault="0010620B" w:rsidP="0010620B">
      <w:pPr>
        <w:spacing w:after="120" w:line="276" w:lineRule="exact"/>
        <w:rPr>
          <w:rFonts w:ascii="FrankRuehl" w:hAnsi="FrankRuehl" w:cs="FrankRuehl"/>
          <w:sz w:val="24"/>
          <w:szCs w:val="24"/>
          <w:rtl/>
        </w:rPr>
      </w:pPr>
      <w:r w:rsidRPr="00BA2FA8">
        <w:rPr>
          <w:rFonts w:ascii="FrankRuehl" w:hAnsi="FrankRuehl" w:cs="FrankRuehl"/>
          <w:sz w:val="24"/>
          <w:szCs w:val="24"/>
          <w:rtl/>
        </w:rPr>
        <w:t xml:space="preserve">וידוי יום הכפורים. צוה יוצרינו לכהן גדול שיתודה על חטאת יום הכפורים ב' וידויין אחד עליו ועל ביתו ועל שעיר המשתלח עון </w:t>
      </w:r>
      <w:r>
        <w:rPr>
          <w:rFonts w:ascii="FrankRuehl" w:hAnsi="FrankRuehl" w:cs="FrankRuehl"/>
          <w:sz w:val="24"/>
          <w:szCs w:val="24"/>
          <w:rtl/>
        </w:rPr>
        <w:t>ישראל.</w:t>
      </w:r>
      <w:r>
        <w:rPr>
          <w:rFonts w:ascii="FrankRuehl" w:hAnsi="FrankRuehl" w:cs="FrankRuehl" w:hint="cs"/>
          <w:sz w:val="24"/>
          <w:szCs w:val="24"/>
          <w:rtl/>
        </w:rPr>
        <w:t xml:space="preserve">.. </w:t>
      </w:r>
      <w:r w:rsidRPr="00BA2FA8">
        <w:rPr>
          <w:rFonts w:ascii="FrankRuehl" w:hAnsi="FrankRuehl" w:cs="FrankRuehl"/>
          <w:sz w:val="24"/>
          <w:szCs w:val="24"/>
          <w:rtl/>
        </w:rPr>
        <w:t>תולדה למצות עשה. צוו חכמים שכל ישראל יתודו בין איש בין אשה ביום הכפורים. כדתניא בסוף פ' יוהכ"פ מצות וידוי יוהכ"פ עם חשיכה וחכמים אומרים צריך שיתודה קודם שיאכל וישתה שלא תטרף דעתו. אף על פי שיתודה ערבית אחר סעודתו צריך שיתודה קודם סעודתו התודה ערבית צריך שיתודה שחרית בשחרית יתודה במוסף במוסף יתודה במנחה במנחה יתודה בנעילה.</w:t>
      </w:r>
    </w:p>
    <w:p w:rsidR="0010620B" w:rsidRDefault="0010620B" w:rsidP="0010620B">
      <w:pPr>
        <w:spacing w:after="120" w:line="276" w:lineRule="exact"/>
        <w:rPr>
          <w:rFonts w:ascii="FrankRuehl" w:hAnsi="FrankRuehl" w:cs="FrankRuehl"/>
          <w:sz w:val="24"/>
          <w:szCs w:val="24"/>
          <w:rtl/>
        </w:rPr>
      </w:pPr>
    </w:p>
    <w:p w:rsidR="0010620B" w:rsidRPr="00BA2FA8" w:rsidRDefault="0010620B" w:rsidP="0010620B">
      <w:pPr>
        <w:spacing w:after="120" w:line="276" w:lineRule="exact"/>
        <w:rPr>
          <w:rFonts w:ascii="FrankRuehl" w:hAnsi="FrankRuehl" w:cs="FrankRuehl"/>
          <w:sz w:val="24"/>
          <w:szCs w:val="24"/>
          <w:rtl/>
        </w:rPr>
      </w:pPr>
      <w:r>
        <w:rPr>
          <w:rFonts w:ascii="FrankRuehl" w:hAnsi="FrankRuehl" w:cs="FrankRuehl" w:hint="cs"/>
          <w:b/>
          <w:bCs/>
          <w:sz w:val="24"/>
          <w:szCs w:val="24"/>
          <w:rtl/>
        </w:rPr>
        <w:t>לבוש סי' תרז סעי' א</w:t>
      </w:r>
    </w:p>
    <w:p w:rsidR="0010620B" w:rsidRPr="00BA2FA8" w:rsidRDefault="0010620B" w:rsidP="0010620B">
      <w:pPr>
        <w:spacing w:after="120" w:line="276" w:lineRule="exact"/>
        <w:rPr>
          <w:rFonts w:ascii="FrankRuehl" w:hAnsi="FrankRuehl" w:cs="FrankRuehl"/>
          <w:sz w:val="24"/>
          <w:szCs w:val="24"/>
          <w:rtl/>
        </w:rPr>
      </w:pPr>
      <w:r w:rsidRPr="00BA2FA8">
        <w:rPr>
          <w:rFonts w:ascii="FrankRuehl" w:hAnsi="FrankRuehl" w:cs="FrankRuehl"/>
          <w:sz w:val="24"/>
          <w:szCs w:val="24"/>
          <w:rtl/>
        </w:rPr>
        <w:t xml:space="preserve">כיון שיום כיפור הוא </w:t>
      </w:r>
      <w:r>
        <w:rPr>
          <w:rFonts w:ascii="FrankRuehl" w:hAnsi="FrankRuehl" w:cs="FrankRuehl"/>
          <w:sz w:val="24"/>
          <w:szCs w:val="24"/>
          <w:rtl/>
        </w:rPr>
        <w:t xml:space="preserve">סליחה וכפרה דכתיב </w:t>
      </w:r>
      <w:r>
        <w:rPr>
          <w:rFonts w:ascii="FrankRuehl" w:hAnsi="FrankRuehl" w:cs="FrankRuehl" w:hint="cs"/>
          <w:sz w:val="24"/>
          <w:szCs w:val="24"/>
          <w:rtl/>
        </w:rPr>
        <w:t>'</w:t>
      </w:r>
      <w:r w:rsidRPr="00BA2FA8">
        <w:rPr>
          <w:rFonts w:ascii="FrankRuehl" w:hAnsi="FrankRuehl" w:cs="FrankRuehl"/>
          <w:sz w:val="24"/>
          <w:szCs w:val="24"/>
          <w:rtl/>
        </w:rPr>
        <w:t>כי ביום הזה יכפר עליכם</w:t>
      </w:r>
      <w:r>
        <w:rPr>
          <w:rFonts w:ascii="FrankRuehl" w:hAnsi="FrankRuehl" w:cs="FrankRuehl" w:hint="cs"/>
          <w:sz w:val="24"/>
          <w:szCs w:val="24"/>
          <w:rtl/>
        </w:rPr>
        <w:t>'</w:t>
      </w:r>
      <w:r w:rsidRPr="00BA2FA8">
        <w:rPr>
          <w:rFonts w:ascii="FrankRuehl" w:hAnsi="FrankRuehl" w:cs="FrankRuehl"/>
          <w:sz w:val="24"/>
          <w:szCs w:val="24"/>
          <w:rtl/>
        </w:rPr>
        <w:t xml:space="preserve"> וגו', צריך כל אדם שיתוודה על חטאיו, כי כן מצינו בכל קרבנות שבאו</w:t>
      </w:r>
      <w:r>
        <w:rPr>
          <w:rFonts w:ascii="FrankRuehl" w:hAnsi="FrankRuehl" w:cs="FrankRuehl"/>
          <w:sz w:val="24"/>
          <w:szCs w:val="24"/>
          <w:rtl/>
        </w:rPr>
        <w:t xml:space="preserve"> על הכפרה דכתיב בהם </w:t>
      </w:r>
      <w:r>
        <w:rPr>
          <w:rFonts w:ascii="FrankRuehl" w:hAnsi="FrankRuehl" w:cs="FrankRuehl" w:hint="cs"/>
          <w:sz w:val="24"/>
          <w:szCs w:val="24"/>
          <w:rtl/>
        </w:rPr>
        <w:t>'</w:t>
      </w:r>
      <w:r w:rsidRPr="00BA2FA8">
        <w:rPr>
          <w:rFonts w:ascii="FrankRuehl" w:hAnsi="FrankRuehl" w:cs="FrankRuehl"/>
          <w:sz w:val="24"/>
          <w:szCs w:val="24"/>
          <w:rtl/>
        </w:rPr>
        <w:t>והתוודו את חטאתם אשר עשו</w:t>
      </w:r>
      <w:r>
        <w:rPr>
          <w:rFonts w:ascii="FrankRuehl" w:hAnsi="FrankRuehl" w:cs="FrankRuehl" w:hint="cs"/>
          <w:sz w:val="24"/>
          <w:szCs w:val="24"/>
          <w:rtl/>
        </w:rPr>
        <w:t>'</w:t>
      </w:r>
      <w:r>
        <w:rPr>
          <w:rFonts w:ascii="FrankRuehl" w:hAnsi="FrankRuehl" w:cs="FrankRuehl"/>
          <w:sz w:val="24"/>
          <w:szCs w:val="24"/>
          <w:rtl/>
        </w:rPr>
        <w:t xml:space="preserve"> וגו'</w:t>
      </w:r>
      <w:r>
        <w:rPr>
          <w:rFonts w:ascii="FrankRuehl" w:hAnsi="FrankRuehl" w:cs="FrankRuehl" w:hint="cs"/>
          <w:sz w:val="24"/>
          <w:szCs w:val="24"/>
          <w:rtl/>
        </w:rPr>
        <w:t>.</w:t>
      </w:r>
      <w:r w:rsidRPr="00BA2FA8">
        <w:rPr>
          <w:rFonts w:ascii="FrankRuehl" w:hAnsi="FrankRuehl" w:cs="FrankRuehl"/>
          <w:sz w:val="24"/>
          <w:szCs w:val="24"/>
          <w:rtl/>
        </w:rPr>
        <w:t xml:space="preserve"> וכמו שעשה כהן גדול ביום הכיפורים שהתוודה בעדו ו</w:t>
      </w:r>
      <w:r>
        <w:rPr>
          <w:rFonts w:ascii="FrankRuehl" w:hAnsi="FrankRuehl" w:cs="FrankRuehl"/>
          <w:sz w:val="24"/>
          <w:szCs w:val="24"/>
          <w:rtl/>
        </w:rPr>
        <w:t xml:space="preserve">בעד כל ישראל, דכתיב </w:t>
      </w:r>
      <w:r>
        <w:rPr>
          <w:rFonts w:ascii="FrankRuehl" w:hAnsi="FrankRuehl" w:cs="FrankRuehl" w:hint="cs"/>
          <w:sz w:val="24"/>
          <w:szCs w:val="24"/>
          <w:rtl/>
        </w:rPr>
        <w:t>'</w:t>
      </w:r>
      <w:r w:rsidRPr="00BA2FA8">
        <w:rPr>
          <w:rFonts w:ascii="FrankRuehl" w:hAnsi="FrankRuehl" w:cs="FrankRuehl"/>
          <w:sz w:val="24"/>
          <w:szCs w:val="24"/>
          <w:rtl/>
        </w:rPr>
        <w:t>וכפר בעדו ובעד ביתו ובעד כל קהל ישראל</w:t>
      </w:r>
      <w:r>
        <w:rPr>
          <w:rFonts w:ascii="FrankRuehl" w:hAnsi="FrankRuehl" w:cs="FrankRuehl" w:hint="cs"/>
          <w:sz w:val="24"/>
          <w:szCs w:val="24"/>
          <w:rtl/>
        </w:rPr>
        <w:t>'</w:t>
      </w:r>
      <w:r>
        <w:rPr>
          <w:rFonts w:ascii="FrankRuehl" w:hAnsi="FrankRuehl" w:cs="FrankRuehl"/>
          <w:sz w:val="24"/>
          <w:szCs w:val="24"/>
          <w:rtl/>
        </w:rPr>
        <w:t>, שפירושו שיתוודה חטאתו ואח</w:t>
      </w:r>
      <w:r>
        <w:rPr>
          <w:rFonts w:ascii="FrankRuehl" w:hAnsi="FrankRuehl" w:cs="FrankRuehl" w:hint="cs"/>
          <w:sz w:val="24"/>
          <w:szCs w:val="24"/>
          <w:rtl/>
        </w:rPr>
        <w:t>ר כך</w:t>
      </w:r>
      <w:r w:rsidRPr="00BA2FA8">
        <w:rPr>
          <w:rFonts w:ascii="FrankRuehl" w:hAnsi="FrankRuehl" w:cs="FrankRuehl"/>
          <w:sz w:val="24"/>
          <w:szCs w:val="24"/>
          <w:rtl/>
        </w:rPr>
        <w:t xml:space="preserve"> חטאת ישראל.</w:t>
      </w:r>
    </w:p>
    <w:p w:rsidR="0010620B" w:rsidRDefault="0010620B" w:rsidP="0010620B">
      <w:pPr>
        <w:spacing w:after="120" w:line="276" w:lineRule="exact"/>
        <w:rPr>
          <w:rFonts w:ascii="FrankRuehl" w:hAnsi="FrankRuehl" w:cs="FrankRuehl"/>
          <w:sz w:val="24"/>
          <w:szCs w:val="24"/>
          <w:rtl/>
        </w:rPr>
      </w:pPr>
    </w:p>
    <w:p w:rsidR="0010620B" w:rsidRDefault="0010620B" w:rsidP="0010620B">
      <w:pPr>
        <w:spacing w:after="120" w:line="276" w:lineRule="exact"/>
        <w:rPr>
          <w:rFonts w:ascii="FrankRuehl" w:hAnsi="FrankRuehl" w:cs="FrankRuehl"/>
          <w:b/>
          <w:bCs/>
          <w:sz w:val="24"/>
          <w:szCs w:val="24"/>
          <w:rtl/>
        </w:rPr>
      </w:pPr>
      <w:r>
        <w:rPr>
          <w:rFonts w:ascii="FrankRuehl" w:hAnsi="FrankRuehl" w:cs="FrankRuehl" w:hint="cs"/>
          <w:b/>
          <w:bCs/>
          <w:sz w:val="24"/>
          <w:szCs w:val="24"/>
          <w:rtl/>
        </w:rPr>
        <w:t>שערי תשובה שער ב סעי' יד</w:t>
      </w:r>
    </w:p>
    <w:p w:rsidR="0010620B" w:rsidRDefault="0010620B" w:rsidP="0010620B">
      <w:pPr>
        <w:spacing w:after="120" w:line="276" w:lineRule="exact"/>
        <w:rPr>
          <w:rFonts w:ascii="FrankRuehl" w:hAnsi="FrankRuehl" w:cs="FrankRuehl"/>
          <w:b/>
          <w:bCs/>
          <w:sz w:val="24"/>
          <w:szCs w:val="24"/>
          <w:rtl/>
        </w:rPr>
      </w:pPr>
      <w:r w:rsidRPr="00BA2FA8">
        <w:rPr>
          <w:rFonts w:ascii="FrankRuehl" w:hAnsi="FrankRuehl" w:cs="FrankRuehl"/>
          <w:sz w:val="24"/>
          <w:szCs w:val="24"/>
          <w:rtl/>
        </w:rPr>
        <w:t xml:space="preserve">ומצות עשה מן התורה להעיר אדם את רוחו לחזור בתשובה </w:t>
      </w:r>
      <w:r>
        <w:rPr>
          <w:rFonts w:ascii="FrankRuehl" w:hAnsi="FrankRuehl" w:cs="FrankRuehl"/>
          <w:sz w:val="24"/>
          <w:szCs w:val="24"/>
          <w:rtl/>
        </w:rPr>
        <w:t xml:space="preserve">ביום הכפורים, שנאמר: </w:t>
      </w:r>
      <w:r>
        <w:rPr>
          <w:rFonts w:ascii="FrankRuehl" w:hAnsi="FrankRuehl" w:cs="FrankRuehl" w:hint="cs"/>
          <w:sz w:val="24"/>
          <w:szCs w:val="24"/>
          <w:rtl/>
        </w:rPr>
        <w:t>'</w:t>
      </w:r>
      <w:r>
        <w:rPr>
          <w:rFonts w:ascii="FrankRuehl" w:hAnsi="FrankRuehl" w:cs="FrankRuehl"/>
          <w:sz w:val="24"/>
          <w:szCs w:val="24"/>
          <w:rtl/>
        </w:rPr>
        <w:t>מכל חטאתיכם לפני ה' תטהרו</w:t>
      </w:r>
      <w:r>
        <w:rPr>
          <w:rFonts w:ascii="FrankRuehl" w:hAnsi="FrankRuehl" w:cs="FrankRuehl" w:hint="cs"/>
          <w:sz w:val="24"/>
          <w:szCs w:val="24"/>
          <w:rtl/>
        </w:rPr>
        <w:t>'</w:t>
      </w:r>
      <w:r w:rsidRPr="00BA2FA8">
        <w:rPr>
          <w:rFonts w:ascii="FrankRuehl" w:hAnsi="FrankRuehl" w:cs="FrankRuehl"/>
          <w:sz w:val="24"/>
          <w:szCs w:val="24"/>
          <w:rtl/>
        </w:rPr>
        <w:t>, על כן הזהירנו הכתוב שנטהר לפני ה' בתשובתנו והוא יכפר עלינו ביום הזה לטהר אותנו.</w:t>
      </w:r>
    </w:p>
    <w:p w:rsidR="0010620B" w:rsidRDefault="0010620B" w:rsidP="0010620B">
      <w:pPr>
        <w:spacing w:after="120" w:line="276" w:lineRule="exact"/>
        <w:rPr>
          <w:rFonts w:ascii="FrankRuehl" w:hAnsi="FrankRuehl" w:cs="FrankRuehl"/>
          <w:b/>
          <w:bCs/>
          <w:sz w:val="24"/>
          <w:szCs w:val="24"/>
          <w:rtl/>
        </w:rPr>
      </w:pPr>
    </w:p>
    <w:p w:rsidR="0010620B" w:rsidRDefault="0010620B" w:rsidP="0010620B">
      <w:pPr>
        <w:spacing w:after="120" w:line="276" w:lineRule="exact"/>
        <w:rPr>
          <w:rFonts w:ascii="FrankRuehl" w:hAnsi="FrankRuehl" w:cs="FrankRuehl"/>
          <w:b/>
          <w:bCs/>
          <w:sz w:val="24"/>
          <w:szCs w:val="24"/>
          <w:rtl/>
        </w:rPr>
      </w:pPr>
      <w:r>
        <w:rPr>
          <w:rFonts w:ascii="FrankRuehl" w:hAnsi="FrankRuehl" w:cs="FrankRuehl" w:hint="cs"/>
          <w:b/>
          <w:bCs/>
          <w:sz w:val="24"/>
          <w:szCs w:val="24"/>
          <w:rtl/>
        </w:rPr>
        <w:t>שערי תשובה שער ד סעי' יז</w:t>
      </w:r>
    </w:p>
    <w:p w:rsidR="0010620B" w:rsidRDefault="0010620B" w:rsidP="0010620B">
      <w:pPr>
        <w:spacing w:after="120" w:line="276" w:lineRule="exact"/>
        <w:rPr>
          <w:rFonts w:ascii="FrankRuehl" w:hAnsi="FrankRuehl" w:cs="FrankRuehl"/>
          <w:sz w:val="24"/>
          <w:szCs w:val="24"/>
          <w:rtl/>
        </w:rPr>
      </w:pPr>
      <w:r w:rsidRPr="00BA2FA8">
        <w:rPr>
          <w:rFonts w:ascii="FrankRuehl" w:hAnsi="FrankRuehl" w:cs="FrankRuehl"/>
          <w:sz w:val="24"/>
          <w:szCs w:val="24"/>
          <w:rtl/>
        </w:rPr>
        <w:t>ועל זה שאמרו רבותינו זכרונם</w:t>
      </w:r>
      <w:r>
        <w:rPr>
          <w:rFonts w:ascii="FrankRuehl" w:hAnsi="FrankRuehl" w:cs="FrankRuehl"/>
          <w:sz w:val="24"/>
          <w:szCs w:val="24"/>
          <w:rtl/>
        </w:rPr>
        <w:t xml:space="preserve"> לברכה</w:t>
      </w:r>
      <w:r w:rsidRPr="00BA2FA8">
        <w:rPr>
          <w:rFonts w:ascii="FrankRuehl" w:hAnsi="FrankRuehl" w:cs="FrankRuehl"/>
          <w:sz w:val="24"/>
          <w:szCs w:val="24"/>
          <w:rtl/>
        </w:rPr>
        <w:t xml:space="preserve">: כי על כריתות ומיתות בית דין תשובה ויום הכיפורים תולים ויסורים ממרקים, </w:t>
      </w:r>
      <w:r>
        <w:rPr>
          <w:rFonts w:ascii="FrankRuehl" w:hAnsi="FrankRuehl" w:cs="FrankRuehl"/>
          <w:sz w:val="24"/>
          <w:szCs w:val="24"/>
          <w:rtl/>
        </w:rPr>
        <w:t xml:space="preserve">יש שאלה: והלא כתוב: </w:t>
      </w:r>
      <w:r>
        <w:rPr>
          <w:rFonts w:ascii="FrankRuehl" w:hAnsi="FrankRuehl" w:cs="FrankRuehl" w:hint="cs"/>
          <w:sz w:val="24"/>
          <w:szCs w:val="24"/>
          <w:rtl/>
        </w:rPr>
        <w:t>'</w:t>
      </w:r>
      <w:r>
        <w:rPr>
          <w:rFonts w:ascii="FrankRuehl" w:hAnsi="FrankRuehl" w:cs="FrankRuehl"/>
          <w:sz w:val="24"/>
          <w:szCs w:val="24"/>
          <w:rtl/>
        </w:rPr>
        <w:t>מכל חטאתכם לפני ה' תטהרו</w:t>
      </w:r>
      <w:r>
        <w:rPr>
          <w:rFonts w:ascii="FrankRuehl" w:hAnsi="FrankRuehl" w:cs="FrankRuehl" w:hint="cs"/>
          <w:sz w:val="24"/>
          <w:szCs w:val="24"/>
          <w:rtl/>
        </w:rPr>
        <w:t>'</w:t>
      </w:r>
      <w:r>
        <w:rPr>
          <w:rFonts w:ascii="FrankRuehl" w:hAnsi="FrankRuehl" w:cs="FrankRuehl"/>
          <w:sz w:val="24"/>
          <w:szCs w:val="24"/>
          <w:rtl/>
        </w:rPr>
        <w:t xml:space="preserve">? והתשובה בזה, כי מה שנאמר </w:t>
      </w:r>
      <w:r>
        <w:rPr>
          <w:rFonts w:ascii="FrankRuehl" w:hAnsi="FrankRuehl" w:cs="FrankRuehl" w:hint="cs"/>
          <w:sz w:val="24"/>
          <w:szCs w:val="24"/>
          <w:rtl/>
        </w:rPr>
        <w:t>'</w:t>
      </w:r>
      <w:r>
        <w:rPr>
          <w:rFonts w:ascii="FrankRuehl" w:hAnsi="FrankRuehl" w:cs="FrankRuehl"/>
          <w:sz w:val="24"/>
          <w:szCs w:val="24"/>
          <w:rtl/>
        </w:rPr>
        <w:t>לפני ה' תטהרו</w:t>
      </w:r>
      <w:r>
        <w:rPr>
          <w:rFonts w:ascii="FrankRuehl" w:hAnsi="FrankRuehl" w:cs="FrankRuehl" w:hint="cs"/>
          <w:sz w:val="24"/>
          <w:szCs w:val="24"/>
          <w:rtl/>
        </w:rPr>
        <w:t>'</w:t>
      </w:r>
      <w:r w:rsidRPr="00BA2FA8">
        <w:rPr>
          <w:rFonts w:ascii="FrankRuehl" w:hAnsi="FrankRuehl" w:cs="FrankRuehl"/>
          <w:sz w:val="24"/>
          <w:szCs w:val="24"/>
          <w:rtl/>
        </w:rPr>
        <w:t xml:space="preserve"> מצות עשה על התשובה, שנחפש דרכינו ונחקורה ונשובה אל ה' ביום הכפורים. ואף על פי שנתחייבנו על זה בכל עת - החיוב נוסף ביום הכפורים, והטהרה אשר בידינו היא התשובה </w:t>
      </w:r>
      <w:r>
        <w:rPr>
          <w:rFonts w:ascii="FrankRuehl" w:hAnsi="FrankRuehl" w:cs="FrankRuehl"/>
          <w:sz w:val="24"/>
          <w:szCs w:val="24"/>
          <w:rtl/>
        </w:rPr>
        <w:t>ותיקון המעשים, אבל מה שכתו</w:t>
      </w:r>
      <w:r>
        <w:rPr>
          <w:rFonts w:ascii="FrankRuehl" w:hAnsi="FrankRuehl" w:cs="FrankRuehl" w:hint="cs"/>
          <w:sz w:val="24"/>
          <w:szCs w:val="24"/>
          <w:rtl/>
        </w:rPr>
        <w:t>ב</w:t>
      </w:r>
      <w:r>
        <w:rPr>
          <w:rFonts w:ascii="FrankRuehl" w:hAnsi="FrankRuehl" w:cs="FrankRuehl"/>
          <w:sz w:val="24"/>
          <w:szCs w:val="24"/>
          <w:rtl/>
        </w:rPr>
        <w:t xml:space="preserve">: </w:t>
      </w:r>
      <w:r>
        <w:rPr>
          <w:rFonts w:ascii="FrankRuehl" w:hAnsi="FrankRuehl" w:cs="FrankRuehl" w:hint="cs"/>
          <w:sz w:val="24"/>
          <w:szCs w:val="24"/>
          <w:rtl/>
        </w:rPr>
        <w:t>'</w:t>
      </w:r>
      <w:r w:rsidRPr="00BA2FA8">
        <w:rPr>
          <w:rFonts w:ascii="FrankRuehl" w:hAnsi="FrankRuehl" w:cs="FrankRuehl"/>
          <w:sz w:val="24"/>
          <w:szCs w:val="24"/>
          <w:rtl/>
        </w:rPr>
        <w:t>כ</w:t>
      </w:r>
      <w:r>
        <w:rPr>
          <w:rFonts w:ascii="FrankRuehl" w:hAnsi="FrankRuehl" w:cs="FrankRuehl"/>
          <w:sz w:val="24"/>
          <w:szCs w:val="24"/>
          <w:rtl/>
        </w:rPr>
        <w:t xml:space="preserve">י ביום </w:t>
      </w:r>
      <w:r w:rsidR="00C84762" w:rsidRPr="00863FF4">
        <w:rPr>
          <w:noProof/>
          <w:highlight w:val="green"/>
          <w:rtl/>
        </w:rPr>
        <w:lastRenderedPageBreak/>
        <mc:AlternateContent>
          <mc:Choice Requires="wps">
            <w:drawing>
              <wp:anchor distT="0" distB="0" distL="114300" distR="114300" simplePos="0" relativeHeight="251759616" behindDoc="1" locked="0" layoutInCell="1" allowOverlap="1" wp14:anchorId="2F60D304" wp14:editId="308C1CC4">
                <wp:simplePos x="0" y="0"/>
                <wp:positionH relativeFrom="margin">
                  <wp:posOffset>-220980</wp:posOffset>
                </wp:positionH>
                <wp:positionV relativeFrom="paragraph">
                  <wp:posOffset>-220980</wp:posOffset>
                </wp:positionV>
                <wp:extent cx="5765800" cy="2423160"/>
                <wp:effectExtent l="0" t="0" r="25400" b="15240"/>
                <wp:wrapNone/>
                <wp:docPr id="45" name="מלבן 45"/>
                <wp:cNvGraphicFramePr/>
                <a:graphic xmlns:a="http://schemas.openxmlformats.org/drawingml/2006/main">
                  <a:graphicData uri="http://schemas.microsoft.com/office/word/2010/wordprocessingShape">
                    <wps:wsp>
                      <wps:cNvSpPr/>
                      <wps:spPr>
                        <a:xfrm>
                          <a:off x="0" y="0"/>
                          <a:ext cx="5765800" cy="242316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DB03" id="מלבן 45" o:spid="_x0000_s1026" style="position:absolute;left:0;text-align:left;margin-left:-17.4pt;margin-top:-17.4pt;width:454pt;height:190.8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v7iAIAAAMFAAAOAAAAZHJzL2Uyb0RvYy54bWysVElu2zAU3RfoHQjuG9munEGIHBgOXBQI&#10;kgBJkTVNUZYATiVpy+4tui+aY/k6faQVZ2hWRb2g/8Q/PL6v84uNkmQtnG+NLunwaECJ0NxUrV6W&#10;9Nv9/NMpJT4wXTFptCjpVnh6Mfn44byzhRiZxshKOIIk2hedLWkTgi2yzPNGKOaPjBUazto4xQJU&#10;t8wqxzpkVzIbDQbHWWdcZZ3hwntYL/dOOkn561rwcFPXXgQiS4reQjpdOhfxzCbnrFg6ZpuW922w&#10;f+hCsVaj6CHVJQuMrFz7VyrVcme8qcMRNyozdd1ykWbANMPBm2nuGmZFmgXgeHuAyf+/tPx6fetI&#10;W5U0H1OimcIb7X7vfu1+7h4JTMCns75A2J29db3mIcZhN7VT8R9jkE3CdHvAVGwC4TCOT47HpwNA&#10;z+Eb5aPPw+OEevZ83TofvgijSBRK6vBoCUu2vvIBJRH6FBKreSPbat5KmZStn0lH1gzvC1pUpqNE&#10;Mh9gLOk8/eIMSPHqmtSkA13PBuPYGQPxaskCRGUBhddLSphcgtE8uNTLq9veLReHqnl+Mprl7xWJ&#10;TV8y3+y7SxliGCtUG0B62aqSAhr8+ttSR69ItO1Hj+Dv4Y7SwlRbPJczex57y+ctilxh4FvmQFxM&#10;g2UMNzhqaTCi6SVKGuN+vGeP8eATvJR0WASM/33FnACOXzWYdjbM87g5ScnHJyMo7qVn8dKjV2pm&#10;8BZDrL3lSYzxQT5Za2fUA3Z2GqvCxTRH7T3QvTIL+wXF1nMxnaYwbItl4UrfWR6TR5wivPebB+Zs&#10;T5wAzl2bp6VhxRv+7GPjTW2mq2DqNpHrGVfQJCrYtESY/qsQV/mlnqKev12TPwAAAP//AwBQSwME&#10;FAAGAAgAAAAhANHY/1HfAAAACwEAAA8AAABkcnMvZG93bnJldi54bWxMj8FOwzAQRO9I/IO1SNxa&#10;u00VohCnokgIOFDRgji78eJE2OsQu034e8wBwW1HO5p5U60nZ9kJh9B5krCYC2BIjdcdGQmvL3ez&#10;AliIirSynlDCFwZY1+dnlSq1H2mHp300LIVQKJWENsa+5Dw0LToV5r5HSr93PzgVkxwM14MaU7iz&#10;fClEzp3qKDW0qsfbFpuP/dFJeNyYz7cHs9jlzj6PG7oX2ycvpLy8mG6ugUWc4p8ZfvATOtSJ6eCP&#10;pAOzEmbZKqHH3yM5iqtsCewgIVvlBfC64v831N8AAAD//wMAUEsBAi0AFAAGAAgAAAAhALaDOJL+&#10;AAAA4QEAABMAAAAAAAAAAAAAAAAAAAAAAFtDb250ZW50X1R5cGVzXS54bWxQSwECLQAUAAYACAAA&#10;ACEAOP0h/9YAAACUAQAACwAAAAAAAAAAAAAAAAAvAQAAX3JlbHMvLnJlbHNQSwECLQAUAAYACAAA&#10;ACEABrxr+4gCAAADBQAADgAAAAAAAAAAAAAAAAAuAgAAZHJzL2Uyb0RvYy54bWxQSwECLQAUAAYA&#10;CAAAACEA0dj/Ud8AAAALAQAADwAAAAAAAAAAAAAAAADiBAAAZHJzL2Rvd25yZXYueG1sUEsFBgAA&#10;AAAEAAQA8wAAAO4FAAAAAA==&#10;" fillcolor="window" strokecolor="#4472c4" strokeweight="1.5pt">
                <w10:wrap anchorx="margin"/>
              </v:rect>
            </w:pict>
          </mc:Fallback>
        </mc:AlternateContent>
      </w:r>
      <w:r>
        <w:rPr>
          <w:rFonts w:ascii="FrankRuehl" w:hAnsi="FrankRuehl" w:cs="FrankRuehl"/>
          <w:sz w:val="24"/>
          <w:szCs w:val="24"/>
          <w:rtl/>
        </w:rPr>
        <w:t>הזה יכפר עליהם לטהר אתכם</w:t>
      </w:r>
      <w:r>
        <w:rPr>
          <w:rFonts w:ascii="FrankRuehl" w:hAnsi="FrankRuehl" w:cs="FrankRuehl" w:hint="cs"/>
          <w:sz w:val="24"/>
          <w:szCs w:val="24"/>
          <w:rtl/>
        </w:rPr>
        <w:t>'</w:t>
      </w:r>
      <w:r w:rsidRPr="00BA2FA8">
        <w:rPr>
          <w:rFonts w:ascii="FrankRuehl" w:hAnsi="FrankRuehl" w:cs="FrankRuehl"/>
          <w:sz w:val="24"/>
          <w:szCs w:val="24"/>
          <w:rtl/>
        </w:rPr>
        <w:t xml:space="preserve"> - שהוא אמור על הטהרה, שהשם יתברך מטהר אותנו מן העון ומכפר עלינו כפרה שלמה ביום הכפורים בלא יסורים, זה נאמר על מצות לא תעשה, אבל על כריתות ומיתות בית דין תשובה ויום הכפורים תולים ויסורים ממרקים.</w:t>
      </w:r>
    </w:p>
    <w:p w:rsidR="0010620B" w:rsidRDefault="0010620B" w:rsidP="0010620B">
      <w:pPr>
        <w:spacing w:after="120" w:line="276" w:lineRule="exact"/>
        <w:rPr>
          <w:rFonts w:ascii="FrankRuehl" w:hAnsi="FrankRuehl" w:cs="FrankRuehl"/>
          <w:sz w:val="24"/>
          <w:szCs w:val="24"/>
          <w:rtl/>
        </w:rPr>
      </w:pPr>
    </w:p>
    <w:p w:rsidR="0010620B" w:rsidRPr="00DF0F99" w:rsidRDefault="0010620B" w:rsidP="0010620B">
      <w:pPr>
        <w:spacing w:after="120" w:line="276" w:lineRule="exact"/>
        <w:rPr>
          <w:rFonts w:ascii="FrankRuehl" w:hAnsi="FrankRuehl" w:cs="FrankRuehl"/>
          <w:b/>
          <w:bCs/>
          <w:sz w:val="24"/>
          <w:szCs w:val="24"/>
          <w:rtl/>
        </w:rPr>
      </w:pPr>
      <w:r>
        <w:rPr>
          <w:rFonts w:ascii="FrankRuehl" w:hAnsi="FrankRuehl" w:cs="FrankRuehl" w:hint="cs"/>
          <w:b/>
          <w:bCs/>
          <w:sz w:val="24"/>
          <w:szCs w:val="24"/>
          <w:rtl/>
        </w:rPr>
        <w:t>ספר החינוך מצוה שסד</w:t>
      </w:r>
    </w:p>
    <w:p w:rsidR="0010620B" w:rsidRPr="00DF0F99" w:rsidRDefault="0010620B" w:rsidP="0010620B">
      <w:pPr>
        <w:spacing w:line="276" w:lineRule="auto"/>
        <w:rPr>
          <w:rFonts w:ascii="FrankRuehl" w:hAnsi="FrankRuehl" w:cs="FrankRuehl"/>
          <w:sz w:val="24"/>
          <w:szCs w:val="24"/>
          <w:rtl/>
        </w:rPr>
      </w:pPr>
      <w:r w:rsidRPr="00DF0F99">
        <w:rPr>
          <w:rFonts w:ascii="FrankRuehl" w:hAnsi="FrankRuehl" w:cs="FrankRuehl" w:hint="cs"/>
          <w:sz w:val="24"/>
          <w:szCs w:val="24"/>
          <w:rtl/>
        </w:rPr>
        <w:t>שנצטוינו</w:t>
      </w:r>
      <w:r w:rsidRPr="00DF0F99">
        <w:rPr>
          <w:rFonts w:ascii="FrankRuehl" w:hAnsi="FrankRuehl" w:cs="FrankRuehl"/>
          <w:sz w:val="24"/>
          <w:szCs w:val="24"/>
          <w:rtl/>
        </w:rPr>
        <w:t xml:space="preserve"> </w:t>
      </w:r>
      <w:r w:rsidRPr="00DF0F99">
        <w:rPr>
          <w:rFonts w:ascii="FrankRuehl" w:hAnsi="FrankRuehl" w:cs="FrankRuehl" w:hint="cs"/>
          <w:sz w:val="24"/>
          <w:szCs w:val="24"/>
          <w:rtl/>
        </w:rPr>
        <w:t>להתודות</w:t>
      </w:r>
      <w:r w:rsidRPr="00DF0F99">
        <w:rPr>
          <w:rFonts w:ascii="FrankRuehl" w:hAnsi="FrankRuehl" w:cs="FrankRuehl"/>
          <w:sz w:val="24"/>
          <w:szCs w:val="24"/>
          <w:rtl/>
        </w:rPr>
        <w:t xml:space="preserve"> </w:t>
      </w:r>
      <w:r w:rsidRPr="00DF0F99">
        <w:rPr>
          <w:rFonts w:ascii="FrankRuehl" w:hAnsi="FrankRuehl" w:cs="FrankRuehl" w:hint="cs"/>
          <w:sz w:val="24"/>
          <w:szCs w:val="24"/>
          <w:rtl/>
        </w:rPr>
        <w:t>לפני</w:t>
      </w:r>
      <w:r w:rsidRPr="00DF0F99">
        <w:rPr>
          <w:rFonts w:ascii="FrankRuehl" w:hAnsi="FrankRuehl" w:cs="FrankRuehl"/>
          <w:sz w:val="24"/>
          <w:szCs w:val="24"/>
          <w:rtl/>
        </w:rPr>
        <w:t xml:space="preserve"> </w:t>
      </w:r>
      <w:r w:rsidRPr="00DF0F99">
        <w:rPr>
          <w:rFonts w:ascii="FrankRuehl" w:hAnsi="FrankRuehl" w:cs="FrankRuehl" w:hint="cs"/>
          <w:sz w:val="24"/>
          <w:szCs w:val="24"/>
          <w:rtl/>
        </w:rPr>
        <w:t>ה</w:t>
      </w:r>
      <w:r w:rsidRPr="00DF0F99">
        <w:rPr>
          <w:rFonts w:ascii="FrankRuehl" w:hAnsi="FrankRuehl" w:cs="FrankRuehl"/>
          <w:sz w:val="24"/>
          <w:szCs w:val="24"/>
          <w:rtl/>
        </w:rPr>
        <w:t xml:space="preserve">' </w:t>
      </w:r>
      <w:r w:rsidRPr="00DF0F99">
        <w:rPr>
          <w:rFonts w:ascii="FrankRuehl" w:hAnsi="FrankRuehl" w:cs="FrankRuehl" w:hint="cs"/>
          <w:sz w:val="24"/>
          <w:szCs w:val="24"/>
          <w:rtl/>
        </w:rPr>
        <w:t>על</w:t>
      </w:r>
      <w:r w:rsidRPr="00DF0F99">
        <w:rPr>
          <w:rFonts w:ascii="FrankRuehl" w:hAnsi="FrankRuehl" w:cs="FrankRuehl"/>
          <w:sz w:val="24"/>
          <w:szCs w:val="24"/>
          <w:rtl/>
        </w:rPr>
        <w:t xml:space="preserve"> </w:t>
      </w:r>
      <w:r w:rsidRPr="00DF0F99">
        <w:rPr>
          <w:rFonts w:ascii="FrankRuehl" w:hAnsi="FrankRuehl" w:cs="FrankRuehl" w:hint="cs"/>
          <w:sz w:val="24"/>
          <w:szCs w:val="24"/>
          <w:rtl/>
        </w:rPr>
        <w:t>כל</w:t>
      </w:r>
      <w:r w:rsidRPr="00DF0F99">
        <w:rPr>
          <w:rFonts w:ascii="FrankRuehl" w:hAnsi="FrankRuehl" w:cs="FrankRuehl"/>
          <w:sz w:val="24"/>
          <w:szCs w:val="24"/>
          <w:rtl/>
        </w:rPr>
        <w:t xml:space="preserve"> </w:t>
      </w:r>
      <w:r w:rsidRPr="00DF0F99">
        <w:rPr>
          <w:rFonts w:ascii="FrankRuehl" w:hAnsi="FrankRuehl" w:cs="FrankRuehl" w:hint="cs"/>
          <w:sz w:val="24"/>
          <w:szCs w:val="24"/>
          <w:rtl/>
        </w:rPr>
        <w:t>החטאים</w:t>
      </w:r>
      <w:r w:rsidRPr="00DF0F99">
        <w:rPr>
          <w:rFonts w:ascii="FrankRuehl" w:hAnsi="FrankRuehl" w:cs="FrankRuehl"/>
          <w:sz w:val="24"/>
          <w:szCs w:val="24"/>
          <w:rtl/>
        </w:rPr>
        <w:t xml:space="preserve"> </w:t>
      </w:r>
      <w:r w:rsidRPr="00DF0F99">
        <w:rPr>
          <w:rFonts w:ascii="FrankRuehl" w:hAnsi="FrankRuehl" w:cs="FrankRuehl" w:hint="cs"/>
          <w:sz w:val="24"/>
          <w:szCs w:val="24"/>
          <w:rtl/>
        </w:rPr>
        <w:t>שחטאנו</w:t>
      </w:r>
      <w:r w:rsidRPr="00DF0F99">
        <w:rPr>
          <w:rFonts w:ascii="FrankRuehl" w:hAnsi="FrankRuehl" w:cs="FrankRuehl"/>
          <w:sz w:val="24"/>
          <w:szCs w:val="24"/>
          <w:rtl/>
        </w:rPr>
        <w:t xml:space="preserve"> </w:t>
      </w:r>
      <w:r w:rsidRPr="00DF0F99">
        <w:rPr>
          <w:rFonts w:ascii="FrankRuehl" w:hAnsi="FrankRuehl" w:cs="FrankRuehl" w:hint="cs"/>
          <w:sz w:val="24"/>
          <w:szCs w:val="24"/>
          <w:rtl/>
        </w:rPr>
        <w:t>בעת</w:t>
      </w:r>
      <w:r w:rsidRPr="00DF0F99">
        <w:rPr>
          <w:rFonts w:ascii="FrankRuehl" w:hAnsi="FrankRuehl" w:cs="FrankRuehl"/>
          <w:sz w:val="24"/>
          <w:szCs w:val="24"/>
          <w:rtl/>
        </w:rPr>
        <w:t xml:space="preserve"> </w:t>
      </w:r>
      <w:r w:rsidRPr="00DF0F99">
        <w:rPr>
          <w:rFonts w:ascii="FrankRuehl" w:hAnsi="FrankRuehl" w:cs="FrankRuehl" w:hint="cs"/>
          <w:sz w:val="24"/>
          <w:szCs w:val="24"/>
          <w:rtl/>
        </w:rPr>
        <w:t>שנתנחם</w:t>
      </w:r>
      <w:r w:rsidRPr="00DF0F99">
        <w:rPr>
          <w:rFonts w:ascii="FrankRuehl" w:hAnsi="FrankRuehl" w:cs="FrankRuehl"/>
          <w:sz w:val="24"/>
          <w:szCs w:val="24"/>
          <w:rtl/>
        </w:rPr>
        <w:t xml:space="preserve"> </w:t>
      </w:r>
      <w:r w:rsidRPr="00DF0F99">
        <w:rPr>
          <w:rFonts w:ascii="FrankRuehl" w:hAnsi="FrankRuehl" w:cs="FrankRuehl" w:hint="cs"/>
          <w:sz w:val="24"/>
          <w:szCs w:val="24"/>
          <w:rtl/>
        </w:rPr>
        <w:t>עליהן</w:t>
      </w:r>
      <w:r w:rsidRPr="00DF0F99">
        <w:rPr>
          <w:rFonts w:ascii="FrankRuehl" w:hAnsi="FrankRuehl" w:cs="FrankRuehl"/>
          <w:sz w:val="24"/>
          <w:szCs w:val="24"/>
          <w:rtl/>
        </w:rPr>
        <w:t xml:space="preserve">, </w:t>
      </w:r>
      <w:r w:rsidRPr="00DF0F99">
        <w:rPr>
          <w:rFonts w:ascii="FrankRuehl" w:hAnsi="FrankRuehl" w:cs="FrankRuehl" w:hint="cs"/>
          <w:sz w:val="24"/>
          <w:szCs w:val="24"/>
          <w:rtl/>
        </w:rPr>
        <w:t>וזהו</w:t>
      </w:r>
      <w:r w:rsidRPr="00DF0F99">
        <w:rPr>
          <w:rFonts w:ascii="FrankRuehl" w:hAnsi="FrankRuehl" w:cs="FrankRuehl"/>
          <w:sz w:val="24"/>
          <w:szCs w:val="24"/>
          <w:rtl/>
        </w:rPr>
        <w:t xml:space="preserve"> </w:t>
      </w:r>
      <w:r w:rsidRPr="00DF0F99">
        <w:rPr>
          <w:rFonts w:ascii="FrankRuehl" w:hAnsi="FrankRuehl" w:cs="FrankRuehl" w:hint="cs"/>
          <w:sz w:val="24"/>
          <w:szCs w:val="24"/>
          <w:rtl/>
        </w:rPr>
        <w:t>ענין</w:t>
      </w:r>
      <w:r w:rsidRPr="00DF0F99">
        <w:rPr>
          <w:rFonts w:ascii="FrankRuehl" w:hAnsi="FrankRuehl" w:cs="FrankRuehl"/>
          <w:sz w:val="24"/>
          <w:szCs w:val="24"/>
          <w:rtl/>
        </w:rPr>
        <w:t xml:space="preserve"> </w:t>
      </w:r>
      <w:r w:rsidRPr="00DF0F99">
        <w:rPr>
          <w:rFonts w:ascii="FrankRuehl" w:hAnsi="FrankRuehl" w:cs="FrankRuehl" w:hint="cs"/>
          <w:sz w:val="24"/>
          <w:szCs w:val="24"/>
          <w:rtl/>
        </w:rPr>
        <w:t>הוידוי</w:t>
      </w:r>
      <w:r w:rsidRPr="00DF0F99">
        <w:rPr>
          <w:rFonts w:ascii="FrankRuehl" w:hAnsi="FrankRuehl" w:cs="FrankRuehl"/>
          <w:sz w:val="24"/>
          <w:szCs w:val="24"/>
          <w:rtl/>
        </w:rPr>
        <w:t xml:space="preserve"> </w:t>
      </w:r>
      <w:r w:rsidRPr="00DF0F99">
        <w:rPr>
          <w:rFonts w:ascii="FrankRuehl" w:hAnsi="FrankRuehl" w:cs="FrankRuehl" w:hint="cs"/>
          <w:sz w:val="24"/>
          <w:szCs w:val="24"/>
          <w:rtl/>
        </w:rPr>
        <w:t>שיאמר</w:t>
      </w:r>
      <w:r w:rsidRPr="00DF0F99">
        <w:rPr>
          <w:rFonts w:ascii="FrankRuehl" w:hAnsi="FrankRuehl" w:cs="FrankRuehl"/>
          <w:sz w:val="24"/>
          <w:szCs w:val="24"/>
          <w:rtl/>
        </w:rPr>
        <w:t xml:space="preserve"> </w:t>
      </w:r>
      <w:r w:rsidRPr="00DF0F99">
        <w:rPr>
          <w:rFonts w:ascii="FrankRuehl" w:hAnsi="FrankRuehl" w:cs="FrankRuehl" w:hint="cs"/>
          <w:sz w:val="24"/>
          <w:szCs w:val="24"/>
          <w:rtl/>
        </w:rPr>
        <w:t>האדם</w:t>
      </w:r>
      <w:r w:rsidRPr="00DF0F99">
        <w:rPr>
          <w:rFonts w:ascii="FrankRuehl" w:hAnsi="FrankRuehl" w:cs="FrankRuehl"/>
          <w:sz w:val="24"/>
          <w:szCs w:val="24"/>
          <w:rtl/>
        </w:rPr>
        <w:t xml:space="preserve"> </w:t>
      </w:r>
      <w:r w:rsidRPr="00DF0F99">
        <w:rPr>
          <w:rFonts w:ascii="FrankRuehl" w:hAnsi="FrankRuehl" w:cs="FrankRuehl" w:hint="cs"/>
          <w:sz w:val="24"/>
          <w:szCs w:val="24"/>
          <w:rtl/>
        </w:rPr>
        <w:t>בעת</w:t>
      </w:r>
      <w:r w:rsidRPr="00DF0F99">
        <w:rPr>
          <w:rFonts w:ascii="FrankRuehl" w:hAnsi="FrankRuehl" w:cs="FrankRuehl"/>
          <w:sz w:val="24"/>
          <w:szCs w:val="24"/>
          <w:rtl/>
        </w:rPr>
        <w:t xml:space="preserve"> </w:t>
      </w:r>
      <w:r w:rsidRPr="00DF0F99">
        <w:rPr>
          <w:rFonts w:ascii="FrankRuehl" w:hAnsi="FrankRuehl" w:cs="FrankRuehl" w:hint="cs"/>
          <w:sz w:val="24"/>
          <w:szCs w:val="24"/>
          <w:rtl/>
        </w:rPr>
        <w:t>התשובה</w:t>
      </w:r>
      <w:r w:rsidRPr="00DF0F99">
        <w:rPr>
          <w:rFonts w:ascii="FrankRuehl" w:hAnsi="FrankRuehl" w:cs="FrankRuehl"/>
          <w:sz w:val="24"/>
          <w:szCs w:val="24"/>
          <w:rtl/>
        </w:rPr>
        <w:t xml:space="preserve"> </w:t>
      </w:r>
      <w:r w:rsidRPr="00DF0F99">
        <w:rPr>
          <w:rFonts w:ascii="FrankRuehl" w:hAnsi="FrankRuehl" w:cs="FrankRuehl" w:hint="cs"/>
          <w:sz w:val="24"/>
          <w:szCs w:val="24"/>
          <w:rtl/>
        </w:rPr>
        <w:t>אנא</w:t>
      </w:r>
      <w:r w:rsidRPr="00DF0F99">
        <w:rPr>
          <w:rFonts w:ascii="FrankRuehl" w:hAnsi="FrankRuehl" w:cs="FrankRuehl"/>
          <w:sz w:val="24"/>
          <w:szCs w:val="24"/>
          <w:rtl/>
        </w:rPr>
        <w:t xml:space="preserve"> </w:t>
      </w:r>
      <w:r w:rsidRPr="00DF0F99">
        <w:rPr>
          <w:rFonts w:ascii="FrankRuehl" w:hAnsi="FrankRuehl" w:cs="FrankRuehl" w:hint="cs"/>
          <w:sz w:val="24"/>
          <w:szCs w:val="24"/>
          <w:rtl/>
        </w:rPr>
        <w:t>השם</w:t>
      </w:r>
      <w:r w:rsidRPr="00DF0F99">
        <w:rPr>
          <w:rFonts w:ascii="FrankRuehl" w:hAnsi="FrankRuehl" w:cs="FrankRuehl"/>
          <w:sz w:val="24"/>
          <w:szCs w:val="24"/>
          <w:rtl/>
        </w:rPr>
        <w:t xml:space="preserve"> </w:t>
      </w:r>
      <w:r w:rsidRPr="00DF0F99">
        <w:rPr>
          <w:rFonts w:ascii="FrankRuehl" w:hAnsi="FrankRuehl" w:cs="FrankRuehl" w:hint="cs"/>
          <w:sz w:val="24"/>
          <w:szCs w:val="24"/>
          <w:rtl/>
        </w:rPr>
        <w:t>חטאתי</w:t>
      </w:r>
      <w:r w:rsidRPr="00DF0F99">
        <w:rPr>
          <w:rFonts w:ascii="FrankRuehl" w:hAnsi="FrankRuehl" w:cs="FrankRuehl"/>
          <w:sz w:val="24"/>
          <w:szCs w:val="24"/>
          <w:rtl/>
        </w:rPr>
        <w:t xml:space="preserve"> </w:t>
      </w:r>
      <w:r w:rsidRPr="00DF0F99">
        <w:rPr>
          <w:rFonts w:ascii="FrankRuehl" w:hAnsi="FrankRuehl" w:cs="FrankRuehl" w:hint="cs"/>
          <w:sz w:val="24"/>
          <w:szCs w:val="24"/>
          <w:rtl/>
        </w:rPr>
        <w:t>עויתי</w:t>
      </w:r>
      <w:r w:rsidRPr="00DF0F99">
        <w:rPr>
          <w:rFonts w:ascii="FrankRuehl" w:hAnsi="FrankRuehl" w:cs="FrankRuehl"/>
          <w:sz w:val="24"/>
          <w:szCs w:val="24"/>
          <w:rtl/>
        </w:rPr>
        <w:t xml:space="preserve"> </w:t>
      </w:r>
      <w:r w:rsidRPr="00DF0F99">
        <w:rPr>
          <w:rFonts w:ascii="FrankRuehl" w:hAnsi="FrankRuehl" w:cs="FrankRuehl" w:hint="cs"/>
          <w:sz w:val="24"/>
          <w:szCs w:val="24"/>
          <w:rtl/>
        </w:rPr>
        <w:t>ופשעתי</w:t>
      </w:r>
      <w:r w:rsidRPr="00DF0F99">
        <w:rPr>
          <w:rFonts w:ascii="FrankRuehl" w:hAnsi="FrankRuehl" w:cs="FrankRuehl"/>
          <w:sz w:val="24"/>
          <w:szCs w:val="24"/>
          <w:rtl/>
        </w:rPr>
        <w:t xml:space="preserve"> </w:t>
      </w:r>
      <w:r w:rsidRPr="00DF0F99">
        <w:rPr>
          <w:rFonts w:ascii="FrankRuehl" w:hAnsi="FrankRuehl" w:cs="FrankRuehl" w:hint="cs"/>
          <w:sz w:val="24"/>
          <w:szCs w:val="24"/>
          <w:rtl/>
        </w:rPr>
        <w:t>כן</w:t>
      </w:r>
      <w:r w:rsidRPr="00DF0F99">
        <w:rPr>
          <w:rFonts w:ascii="FrankRuehl" w:hAnsi="FrankRuehl" w:cs="FrankRuehl"/>
          <w:sz w:val="24"/>
          <w:szCs w:val="24"/>
          <w:rtl/>
        </w:rPr>
        <w:t xml:space="preserve"> </w:t>
      </w:r>
      <w:r w:rsidRPr="00DF0F99">
        <w:rPr>
          <w:rFonts w:ascii="FrankRuehl" w:hAnsi="FrankRuehl" w:cs="FrankRuehl" w:hint="cs"/>
          <w:sz w:val="24"/>
          <w:szCs w:val="24"/>
          <w:rtl/>
        </w:rPr>
        <w:t>וכן</w:t>
      </w:r>
      <w:r w:rsidRPr="00DF0F99">
        <w:rPr>
          <w:rFonts w:ascii="FrankRuehl" w:hAnsi="FrankRuehl" w:cs="FrankRuehl"/>
          <w:sz w:val="24"/>
          <w:szCs w:val="24"/>
          <w:rtl/>
        </w:rPr>
        <w:t xml:space="preserve">, </w:t>
      </w:r>
      <w:r w:rsidRPr="00DF0F99">
        <w:rPr>
          <w:rFonts w:ascii="FrankRuehl" w:hAnsi="FrankRuehl" w:cs="FrankRuehl" w:hint="cs"/>
          <w:sz w:val="24"/>
          <w:szCs w:val="24"/>
          <w:rtl/>
        </w:rPr>
        <w:t>כלומר</w:t>
      </w:r>
      <w:r w:rsidRPr="00DF0F99">
        <w:rPr>
          <w:rFonts w:ascii="FrankRuehl" w:hAnsi="FrankRuehl" w:cs="FrankRuehl"/>
          <w:sz w:val="24"/>
          <w:szCs w:val="24"/>
          <w:rtl/>
        </w:rPr>
        <w:t xml:space="preserve"> </w:t>
      </w:r>
      <w:r w:rsidRPr="00DF0F99">
        <w:rPr>
          <w:rFonts w:ascii="FrankRuehl" w:hAnsi="FrankRuehl" w:cs="FrankRuehl" w:hint="cs"/>
          <w:sz w:val="24"/>
          <w:szCs w:val="24"/>
          <w:rtl/>
        </w:rPr>
        <w:t>שיזכיר</w:t>
      </w:r>
      <w:r w:rsidRPr="00DF0F99">
        <w:rPr>
          <w:rFonts w:ascii="FrankRuehl" w:hAnsi="FrankRuehl" w:cs="FrankRuehl"/>
          <w:sz w:val="24"/>
          <w:szCs w:val="24"/>
          <w:rtl/>
        </w:rPr>
        <w:t xml:space="preserve"> </w:t>
      </w:r>
      <w:r w:rsidRPr="00DF0F99">
        <w:rPr>
          <w:rFonts w:ascii="FrankRuehl" w:hAnsi="FrankRuehl" w:cs="FrankRuehl" w:hint="cs"/>
          <w:sz w:val="24"/>
          <w:szCs w:val="24"/>
          <w:rtl/>
        </w:rPr>
        <w:t>החטא</w:t>
      </w:r>
      <w:r w:rsidRPr="00DF0F99">
        <w:rPr>
          <w:rFonts w:ascii="FrankRuehl" w:hAnsi="FrankRuehl" w:cs="FrankRuehl"/>
          <w:sz w:val="24"/>
          <w:szCs w:val="24"/>
          <w:rtl/>
        </w:rPr>
        <w:t xml:space="preserve"> </w:t>
      </w:r>
      <w:r w:rsidRPr="00DF0F99">
        <w:rPr>
          <w:rFonts w:ascii="FrankRuehl" w:hAnsi="FrankRuehl" w:cs="FrankRuehl" w:hint="cs"/>
          <w:sz w:val="24"/>
          <w:szCs w:val="24"/>
          <w:rtl/>
        </w:rPr>
        <w:t>שעשה</w:t>
      </w:r>
      <w:r w:rsidRPr="00DF0F99">
        <w:rPr>
          <w:rFonts w:ascii="FrankRuehl" w:hAnsi="FrankRuehl" w:cs="FrankRuehl"/>
          <w:sz w:val="24"/>
          <w:szCs w:val="24"/>
          <w:rtl/>
        </w:rPr>
        <w:t xml:space="preserve"> </w:t>
      </w:r>
      <w:r w:rsidRPr="00DF0F99">
        <w:rPr>
          <w:rFonts w:ascii="FrankRuehl" w:hAnsi="FrankRuehl" w:cs="FrankRuehl" w:hint="cs"/>
          <w:sz w:val="24"/>
          <w:szCs w:val="24"/>
          <w:rtl/>
        </w:rPr>
        <w:t>בפירוש</w:t>
      </w:r>
      <w:r w:rsidRPr="00DF0F99">
        <w:rPr>
          <w:rFonts w:ascii="FrankRuehl" w:hAnsi="FrankRuehl" w:cs="FrankRuehl"/>
          <w:sz w:val="24"/>
          <w:szCs w:val="24"/>
          <w:rtl/>
        </w:rPr>
        <w:t xml:space="preserve"> </w:t>
      </w:r>
      <w:r w:rsidRPr="00DF0F99">
        <w:rPr>
          <w:rFonts w:ascii="FrankRuehl" w:hAnsi="FrankRuehl" w:cs="FrankRuehl" w:hint="cs"/>
          <w:sz w:val="24"/>
          <w:szCs w:val="24"/>
          <w:rtl/>
        </w:rPr>
        <w:t>בפיו</w:t>
      </w:r>
      <w:r w:rsidRPr="00DF0F99">
        <w:rPr>
          <w:rFonts w:ascii="FrankRuehl" w:hAnsi="FrankRuehl" w:cs="FrankRuehl"/>
          <w:sz w:val="24"/>
          <w:szCs w:val="24"/>
          <w:rtl/>
        </w:rPr>
        <w:t xml:space="preserve">, </w:t>
      </w:r>
      <w:r w:rsidRPr="00DF0F99">
        <w:rPr>
          <w:rFonts w:ascii="FrankRuehl" w:hAnsi="FrankRuehl" w:cs="FrankRuehl" w:hint="cs"/>
          <w:sz w:val="24"/>
          <w:szCs w:val="24"/>
          <w:rtl/>
        </w:rPr>
        <w:t>ויבקש</w:t>
      </w:r>
      <w:r w:rsidRPr="00DF0F99">
        <w:rPr>
          <w:rFonts w:ascii="FrankRuehl" w:hAnsi="FrankRuehl" w:cs="FrankRuehl"/>
          <w:sz w:val="24"/>
          <w:szCs w:val="24"/>
          <w:rtl/>
        </w:rPr>
        <w:t xml:space="preserve"> </w:t>
      </w:r>
      <w:r w:rsidRPr="00DF0F99">
        <w:rPr>
          <w:rFonts w:ascii="FrankRuehl" w:hAnsi="FrankRuehl" w:cs="FrankRuehl" w:hint="cs"/>
          <w:sz w:val="24"/>
          <w:szCs w:val="24"/>
          <w:rtl/>
        </w:rPr>
        <w:t>כפרה</w:t>
      </w:r>
      <w:r w:rsidRPr="00DF0F99">
        <w:rPr>
          <w:rFonts w:ascii="FrankRuehl" w:hAnsi="FrankRuehl" w:cs="FrankRuehl"/>
          <w:sz w:val="24"/>
          <w:szCs w:val="24"/>
          <w:rtl/>
        </w:rPr>
        <w:t xml:space="preserve"> </w:t>
      </w:r>
      <w:r w:rsidRPr="00DF0F99">
        <w:rPr>
          <w:rFonts w:ascii="FrankRuehl" w:hAnsi="FrankRuehl" w:cs="FrankRuehl" w:hint="cs"/>
          <w:sz w:val="24"/>
          <w:szCs w:val="24"/>
          <w:rtl/>
        </w:rPr>
        <w:t>עליו</w:t>
      </w:r>
      <w:r w:rsidRPr="00DF0F99">
        <w:rPr>
          <w:rFonts w:ascii="FrankRuehl" w:hAnsi="FrankRuehl" w:cs="FrankRuehl"/>
          <w:sz w:val="24"/>
          <w:szCs w:val="24"/>
          <w:rtl/>
        </w:rPr>
        <w:t xml:space="preserve"> </w:t>
      </w:r>
      <w:r w:rsidRPr="00DF0F99">
        <w:rPr>
          <w:rFonts w:ascii="FrankRuehl" w:hAnsi="FrankRuehl" w:cs="FrankRuehl" w:hint="cs"/>
          <w:sz w:val="24"/>
          <w:szCs w:val="24"/>
          <w:rtl/>
        </w:rPr>
        <w:t>ויאריך</w:t>
      </w:r>
      <w:r w:rsidRPr="00DF0F99">
        <w:rPr>
          <w:rFonts w:ascii="FrankRuehl" w:hAnsi="FrankRuehl" w:cs="FrankRuehl"/>
          <w:sz w:val="24"/>
          <w:szCs w:val="24"/>
          <w:rtl/>
        </w:rPr>
        <w:t xml:space="preserve"> </w:t>
      </w:r>
      <w:r w:rsidRPr="00DF0F99">
        <w:rPr>
          <w:rFonts w:ascii="FrankRuehl" w:hAnsi="FrankRuehl" w:cs="FrankRuehl" w:hint="cs"/>
          <w:sz w:val="24"/>
          <w:szCs w:val="24"/>
          <w:rtl/>
        </w:rPr>
        <w:t>בדבר</w:t>
      </w:r>
      <w:r w:rsidRPr="00DF0F99">
        <w:rPr>
          <w:rFonts w:ascii="FrankRuehl" w:hAnsi="FrankRuehl" w:cs="FrankRuehl"/>
          <w:sz w:val="24"/>
          <w:szCs w:val="24"/>
          <w:rtl/>
        </w:rPr>
        <w:t xml:space="preserve"> </w:t>
      </w:r>
      <w:r w:rsidRPr="00DF0F99">
        <w:rPr>
          <w:rFonts w:ascii="FrankRuehl" w:hAnsi="FrankRuehl" w:cs="FrankRuehl" w:hint="cs"/>
          <w:sz w:val="24"/>
          <w:szCs w:val="24"/>
          <w:rtl/>
        </w:rPr>
        <w:t>כפי</w:t>
      </w:r>
      <w:r w:rsidRPr="00DF0F99">
        <w:rPr>
          <w:rFonts w:ascii="FrankRuehl" w:hAnsi="FrankRuehl" w:cs="FrankRuehl"/>
          <w:sz w:val="24"/>
          <w:szCs w:val="24"/>
          <w:rtl/>
        </w:rPr>
        <w:t xml:space="preserve"> </w:t>
      </w:r>
      <w:r w:rsidRPr="00DF0F99">
        <w:rPr>
          <w:rFonts w:ascii="FrankRuehl" w:hAnsi="FrankRuehl" w:cs="FrankRuehl" w:hint="cs"/>
          <w:sz w:val="24"/>
          <w:szCs w:val="24"/>
          <w:rtl/>
        </w:rPr>
        <w:t>מה</w:t>
      </w:r>
      <w:r w:rsidRPr="00DF0F99">
        <w:rPr>
          <w:rFonts w:ascii="FrankRuehl" w:hAnsi="FrankRuehl" w:cs="FrankRuehl"/>
          <w:sz w:val="24"/>
          <w:szCs w:val="24"/>
          <w:rtl/>
        </w:rPr>
        <w:t xml:space="preserve"> </w:t>
      </w:r>
      <w:r w:rsidRPr="00DF0F99">
        <w:rPr>
          <w:rFonts w:ascii="FrankRuehl" w:hAnsi="FrankRuehl" w:cs="FrankRuehl" w:hint="cs"/>
          <w:sz w:val="24"/>
          <w:szCs w:val="24"/>
          <w:rtl/>
        </w:rPr>
        <w:t>שיהיה</w:t>
      </w:r>
      <w:r w:rsidRPr="00DF0F99">
        <w:rPr>
          <w:rFonts w:ascii="FrankRuehl" w:hAnsi="FrankRuehl" w:cs="FrankRuehl"/>
          <w:sz w:val="24"/>
          <w:szCs w:val="24"/>
          <w:rtl/>
        </w:rPr>
        <w:t xml:space="preserve"> </w:t>
      </w:r>
      <w:r w:rsidRPr="00DF0F99">
        <w:rPr>
          <w:rFonts w:ascii="FrankRuehl" w:hAnsi="FrankRuehl" w:cs="FrankRuehl" w:hint="cs"/>
          <w:sz w:val="24"/>
          <w:szCs w:val="24"/>
          <w:rtl/>
        </w:rPr>
        <w:t>צחות</w:t>
      </w:r>
      <w:r w:rsidRPr="00DF0F99">
        <w:rPr>
          <w:rFonts w:ascii="FrankRuehl" w:hAnsi="FrankRuehl" w:cs="FrankRuehl"/>
          <w:sz w:val="24"/>
          <w:szCs w:val="24"/>
          <w:rtl/>
        </w:rPr>
        <w:t xml:space="preserve"> </w:t>
      </w:r>
      <w:r w:rsidRPr="00DF0F99">
        <w:rPr>
          <w:rFonts w:ascii="FrankRuehl" w:hAnsi="FrankRuehl" w:cs="FrankRuehl" w:hint="cs"/>
          <w:sz w:val="24"/>
          <w:szCs w:val="24"/>
          <w:rtl/>
        </w:rPr>
        <w:t>לשונו</w:t>
      </w:r>
      <w:r w:rsidRPr="00DF0F99">
        <w:rPr>
          <w:rFonts w:ascii="FrankRuehl" w:hAnsi="FrankRuehl" w:cs="FrankRuehl"/>
          <w:sz w:val="24"/>
          <w:szCs w:val="24"/>
          <w:rtl/>
        </w:rPr>
        <w:t>.</w:t>
      </w:r>
      <w:r>
        <w:rPr>
          <w:rFonts w:ascii="FrankRuehl" w:hAnsi="FrankRuehl" w:cs="FrankRuehl" w:hint="cs"/>
          <w:sz w:val="24"/>
          <w:szCs w:val="24"/>
          <w:rtl/>
        </w:rPr>
        <w:t xml:space="preserve">.. </w:t>
      </w:r>
      <w:r w:rsidRPr="00DF0F99">
        <w:rPr>
          <w:rFonts w:ascii="FrankRuehl" w:hAnsi="FrankRuehl" w:cs="FrankRuehl" w:hint="cs"/>
          <w:sz w:val="24"/>
          <w:szCs w:val="24"/>
          <w:rtl/>
        </w:rPr>
        <w:t>ונוהגת</w:t>
      </w:r>
      <w:r w:rsidRPr="00DF0F99">
        <w:rPr>
          <w:rFonts w:ascii="FrankRuehl" w:hAnsi="FrankRuehl" w:cs="FrankRuehl"/>
          <w:sz w:val="24"/>
          <w:szCs w:val="24"/>
          <w:rtl/>
        </w:rPr>
        <w:t xml:space="preserve"> </w:t>
      </w:r>
      <w:r w:rsidRPr="00DF0F99">
        <w:rPr>
          <w:rFonts w:ascii="FrankRuehl" w:hAnsi="FrankRuehl" w:cs="FrankRuehl" w:hint="cs"/>
          <w:sz w:val="24"/>
          <w:szCs w:val="24"/>
          <w:rtl/>
        </w:rPr>
        <w:t>מצוה</w:t>
      </w:r>
      <w:r w:rsidRPr="00DF0F99">
        <w:rPr>
          <w:rFonts w:ascii="FrankRuehl" w:hAnsi="FrankRuehl" w:cs="FrankRuehl"/>
          <w:sz w:val="24"/>
          <w:szCs w:val="24"/>
          <w:rtl/>
        </w:rPr>
        <w:t xml:space="preserve"> </w:t>
      </w:r>
      <w:r w:rsidRPr="00DF0F99">
        <w:rPr>
          <w:rFonts w:ascii="FrankRuehl" w:hAnsi="FrankRuehl" w:cs="FrankRuehl" w:hint="cs"/>
          <w:sz w:val="24"/>
          <w:szCs w:val="24"/>
          <w:rtl/>
        </w:rPr>
        <w:t>זו</w:t>
      </w:r>
      <w:r w:rsidRPr="00DF0F99">
        <w:rPr>
          <w:rFonts w:ascii="FrankRuehl" w:hAnsi="FrankRuehl" w:cs="FrankRuehl"/>
          <w:sz w:val="24"/>
          <w:szCs w:val="24"/>
          <w:rtl/>
        </w:rPr>
        <w:t xml:space="preserve"> </w:t>
      </w:r>
      <w:r w:rsidRPr="00DF0F99">
        <w:rPr>
          <w:rFonts w:ascii="FrankRuehl" w:hAnsi="FrankRuehl" w:cs="FrankRuehl" w:hint="cs"/>
          <w:sz w:val="24"/>
          <w:szCs w:val="24"/>
          <w:rtl/>
        </w:rPr>
        <w:t>בכל</w:t>
      </w:r>
      <w:r w:rsidRPr="00DF0F99">
        <w:rPr>
          <w:rFonts w:ascii="FrankRuehl" w:hAnsi="FrankRuehl" w:cs="FrankRuehl"/>
          <w:sz w:val="24"/>
          <w:szCs w:val="24"/>
          <w:rtl/>
        </w:rPr>
        <w:t xml:space="preserve"> </w:t>
      </w:r>
      <w:r w:rsidRPr="00DF0F99">
        <w:rPr>
          <w:rFonts w:ascii="FrankRuehl" w:hAnsi="FrankRuehl" w:cs="FrankRuehl" w:hint="cs"/>
          <w:sz w:val="24"/>
          <w:szCs w:val="24"/>
          <w:rtl/>
        </w:rPr>
        <w:t>מקום</w:t>
      </w:r>
      <w:r w:rsidRPr="00DF0F99">
        <w:rPr>
          <w:rFonts w:ascii="FrankRuehl" w:hAnsi="FrankRuehl" w:cs="FrankRuehl"/>
          <w:sz w:val="24"/>
          <w:szCs w:val="24"/>
          <w:rtl/>
        </w:rPr>
        <w:t xml:space="preserve"> </w:t>
      </w:r>
      <w:r w:rsidRPr="00DF0F99">
        <w:rPr>
          <w:rFonts w:ascii="FrankRuehl" w:hAnsi="FrankRuehl" w:cs="FrankRuehl" w:hint="cs"/>
          <w:sz w:val="24"/>
          <w:szCs w:val="24"/>
          <w:rtl/>
        </w:rPr>
        <w:t>ובכל</w:t>
      </w:r>
      <w:r w:rsidRPr="00DF0F99">
        <w:rPr>
          <w:rFonts w:ascii="FrankRuehl" w:hAnsi="FrankRuehl" w:cs="FrankRuehl"/>
          <w:sz w:val="24"/>
          <w:szCs w:val="24"/>
          <w:rtl/>
        </w:rPr>
        <w:t xml:space="preserve"> </w:t>
      </w:r>
      <w:r w:rsidRPr="00DF0F99">
        <w:rPr>
          <w:rFonts w:ascii="FrankRuehl" w:hAnsi="FrankRuehl" w:cs="FrankRuehl" w:hint="cs"/>
          <w:sz w:val="24"/>
          <w:szCs w:val="24"/>
          <w:rtl/>
        </w:rPr>
        <w:t>זמן</w:t>
      </w:r>
      <w:r w:rsidRPr="00DF0F99">
        <w:rPr>
          <w:rFonts w:ascii="FrankRuehl" w:hAnsi="FrankRuehl" w:cs="FrankRuehl"/>
          <w:sz w:val="24"/>
          <w:szCs w:val="24"/>
          <w:rtl/>
        </w:rPr>
        <w:t xml:space="preserve">, </w:t>
      </w:r>
      <w:r w:rsidRPr="00DF0F99">
        <w:rPr>
          <w:rFonts w:ascii="FrankRuehl" w:hAnsi="FrankRuehl" w:cs="FrankRuehl" w:hint="cs"/>
          <w:sz w:val="24"/>
          <w:szCs w:val="24"/>
          <w:rtl/>
        </w:rPr>
        <w:t>בזכרים</w:t>
      </w:r>
      <w:r w:rsidRPr="00DF0F99">
        <w:rPr>
          <w:rFonts w:ascii="FrankRuehl" w:hAnsi="FrankRuehl" w:cs="FrankRuehl"/>
          <w:sz w:val="24"/>
          <w:szCs w:val="24"/>
          <w:rtl/>
        </w:rPr>
        <w:t xml:space="preserve"> </w:t>
      </w:r>
      <w:r w:rsidRPr="00DF0F99">
        <w:rPr>
          <w:rFonts w:ascii="FrankRuehl" w:hAnsi="FrankRuehl" w:cs="FrankRuehl" w:hint="cs"/>
          <w:sz w:val="24"/>
          <w:szCs w:val="24"/>
          <w:rtl/>
        </w:rPr>
        <w:t>ונקבות</w:t>
      </w:r>
      <w:r w:rsidRPr="00DF0F99">
        <w:rPr>
          <w:rFonts w:ascii="FrankRuehl" w:hAnsi="FrankRuehl" w:cs="FrankRuehl"/>
          <w:sz w:val="24"/>
          <w:szCs w:val="24"/>
          <w:rtl/>
        </w:rPr>
        <w:t xml:space="preserve">. </w:t>
      </w:r>
      <w:r w:rsidRPr="00DF0F99">
        <w:rPr>
          <w:rFonts w:ascii="FrankRuehl" w:hAnsi="FrankRuehl" w:cs="FrankRuehl" w:hint="cs"/>
          <w:sz w:val="24"/>
          <w:szCs w:val="24"/>
          <w:rtl/>
        </w:rPr>
        <w:t>ועובר</w:t>
      </w:r>
      <w:r w:rsidRPr="00DF0F99">
        <w:rPr>
          <w:rFonts w:ascii="FrankRuehl" w:hAnsi="FrankRuehl" w:cs="FrankRuehl"/>
          <w:sz w:val="24"/>
          <w:szCs w:val="24"/>
          <w:rtl/>
        </w:rPr>
        <w:t xml:space="preserve"> </w:t>
      </w:r>
      <w:r w:rsidRPr="00DF0F99">
        <w:rPr>
          <w:rFonts w:ascii="FrankRuehl" w:hAnsi="FrankRuehl" w:cs="FrankRuehl" w:hint="cs"/>
          <w:sz w:val="24"/>
          <w:szCs w:val="24"/>
          <w:rtl/>
        </w:rPr>
        <w:t>על</w:t>
      </w:r>
      <w:r w:rsidRPr="00DF0F99">
        <w:rPr>
          <w:rFonts w:ascii="FrankRuehl" w:hAnsi="FrankRuehl" w:cs="FrankRuehl"/>
          <w:sz w:val="24"/>
          <w:szCs w:val="24"/>
          <w:rtl/>
        </w:rPr>
        <w:t xml:space="preserve"> </w:t>
      </w:r>
      <w:r w:rsidRPr="00DF0F99">
        <w:rPr>
          <w:rFonts w:ascii="FrankRuehl" w:hAnsi="FrankRuehl" w:cs="FrankRuehl" w:hint="cs"/>
          <w:sz w:val="24"/>
          <w:szCs w:val="24"/>
          <w:rtl/>
        </w:rPr>
        <w:t>זה</w:t>
      </w:r>
      <w:r w:rsidRPr="00DF0F99">
        <w:rPr>
          <w:rFonts w:ascii="FrankRuehl" w:hAnsi="FrankRuehl" w:cs="FrankRuehl"/>
          <w:sz w:val="24"/>
          <w:szCs w:val="24"/>
          <w:rtl/>
        </w:rPr>
        <w:t xml:space="preserve"> </w:t>
      </w:r>
      <w:r w:rsidRPr="00DF0F99">
        <w:rPr>
          <w:rFonts w:ascii="FrankRuehl" w:hAnsi="FrankRuehl" w:cs="FrankRuehl" w:hint="cs"/>
          <w:sz w:val="24"/>
          <w:szCs w:val="24"/>
          <w:rtl/>
        </w:rPr>
        <w:t>ולא</w:t>
      </w:r>
      <w:r w:rsidRPr="00DF0F99">
        <w:rPr>
          <w:rFonts w:ascii="FrankRuehl" w:hAnsi="FrankRuehl" w:cs="FrankRuehl"/>
          <w:sz w:val="24"/>
          <w:szCs w:val="24"/>
          <w:rtl/>
        </w:rPr>
        <w:t xml:space="preserve"> </w:t>
      </w:r>
      <w:r w:rsidRPr="00DF0F99">
        <w:rPr>
          <w:rFonts w:ascii="FrankRuehl" w:hAnsi="FrankRuehl" w:cs="FrankRuehl" w:hint="cs"/>
          <w:sz w:val="24"/>
          <w:szCs w:val="24"/>
          <w:rtl/>
        </w:rPr>
        <w:t>התודה</w:t>
      </w:r>
      <w:r w:rsidRPr="00DF0F99">
        <w:rPr>
          <w:rFonts w:ascii="FrankRuehl" w:hAnsi="FrankRuehl" w:cs="FrankRuehl"/>
          <w:sz w:val="24"/>
          <w:szCs w:val="24"/>
          <w:rtl/>
        </w:rPr>
        <w:t xml:space="preserve"> </w:t>
      </w:r>
      <w:r w:rsidRPr="00DF0F99">
        <w:rPr>
          <w:rFonts w:ascii="FrankRuehl" w:hAnsi="FrankRuehl" w:cs="FrankRuehl" w:hint="cs"/>
          <w:sz w:val="24"/>
          <w:szCs w:val="24"/>
          <w:rtl/>
        </w:rPr>
        <w:t>על</w:t>
      </w:r>
      <w:r w:rsidRPr="00DF0F99">
        <w:rPr>
          <w:rFonts w:ascii="FrankRuehl" w:hAnsi="FrankRuehl" w:cs="FrankRuehl"/>
          <w:sz w:val="24"/>
          <w:szCs w:val="24"/>
          <w:rtl/>
        </w:rPr>
        <w:t xml:space="preserve"> </w:t>
      </w:r>
      <w:r w:rsidRPr="00DF0F99">
        <w:rPr>
          <w:rFonts w:ascii="FrankRuehl" w:hAnsi="FrankRuehl" w:cs="FrankRuehl" w:hint="cs"/>
          <w:sz w:val="24"/>
          <w:szCs w:val="24"/>
          <w:rtl/>
        </w:rPr>
        <w:t>חטאיו</w:t>
      </w:r>
      <w:r w:rsidRPr="00DF0F99">
        <w:rPr>
          <w:rFonts w:ascii="FrankRuehl" w:hAnsi="FrankRuehl" w:cs="FrankRuehl"/>
          <w:sz w:val="24"/>
          <w:szCs w:val="24"/>
          <w:rtl/>
        </w:rPr>
        <w:t xml:space="preserve"> </w:t>
      </w:r>
      <w:r w:rsidRPr="00DF0F99">
        <w:rPr>
          <w:rFonts w:ascii="FrankRuehl" w:hAnsi="FrankRuehl" w:cs="FrankRuehl" w:hint="cs"/>
          <w:sz w:val="24"/>
          <w:szCs w:val="24"/>
          <w:rtl/>
        </w:rPr>
        <w:t>ביום</w:t>
      </w:r>
      <w:r w:rsidRPr="00DF0F99">
        <w:rPr>
          <w:rFonts w:ascii="FrankRuehl" w:hAnsi="FrankRuehl" w:cs="FrankRuehl"/>
          <w:sz w:val="24"/>
          <w:szCs w:val="24"/>
          <w:rtl/>
        </w:rPr>
        <w:t xml:space="preserve"> </w:t>
      </w:r>
      <w:r w:rsidRPr="00DF0F99">
        <w:rPr>
          <w:rFonts w:ascii="FrankRuehl" w:hAnsi="FrankRuehl" w:cs="FrankRuehl" w:hint="cs"/>
          <w:sz w:val="24"/>
          <w:szCs w:val="24"/>
          <w:rtl/>
        </w:rPr>
        <w:t>הכפורים</w:t>
      </w:r>
      <w:r w:rsidRPr="00DF0F99">
        <w:rPr>
          <w:rFonts w:ascii="FrankRuehl" w:hAnsi="FrankRuehl" w:cs="FrankRuehl"/>
          <w:sz w:val="24"/>
          <w:szCs w:val="24"/>
          <w:rtl/>
        </w:rPr>
        <w:t xml:space="preserve"> </w:t>
      </w:r>
      <w:r w:rsidRPr="00DF0F99">
        <w:rPr>
          <w:rFonts w:ascii="FrankRuehl" w:hAnsi="FrankRuehl" w:cs="FrankRuehl" w:hint="cs"/>
          <w:sz w:val="24"/>
          <w:szCs w:val="24"/>
          <w:rtl/>
        </w:rPr>
        <w:t>שהוא</w:t>
      </w:r>
      <w:r w:rsidRPr="00DF0F99">
        <w:rPr>
          <w:rFonts w:ascii="FrankRuehl" w:hAnsi="FrankRuehl" w:cs="FrankRuehl"/>
          <w:sz w:val="24"/>
          <w:szCs w:val="24"/>
          <w:rtl/>
        </w:rPr>
        <w:t xml:space="preserve"> </w:t>
      </w:r>
      <w:r w:rsidRPr="00DF0F99">
        <w:rPr>
          <w:rFonts w:ascii="FrankRuehl" w:hAnsi="FrankRuehl" w:cs="FrankRuehl" w:hint="cs"/>
          <w:sz w:val="24"/>
          <w:szCs w:val="24"/>
          <w:rtl/>
        </w:rPr>
        <w:t>יום</w:t>
      </w:r>
      <w:r w:rsidRPr="00DF0F99">
        <w:rPr>
          <w:rFonts w:ascii="FrankRuehl" w:hAnsi="FrankRuehl" w:cs="FrankRuehl"/>
          <w:sz w:val="24"/>
          <w:szCs w:val="24"/>
          <w:rtl/>
        </w:rPr>
        <w:t xml:space="preserve"> </w:t>
      </w:r>
      <w:r w:rsidRPr="00DF0F99">
        <w:rPr>
          <w:rFonts w:ascii="FrankRuehl" w:hAnsi="FrankRuehl" w:cs="FrankRuehl" w:hint="cs"/>
          <w:sz w:val="24"/>
          <w:szCs w:val="24"/>
          <w:rtl/>
        </w:rPr>
        <w:t>קבוע</w:t>
      </w:r>
      <w:r w:rsidRPr="00DF0F99">
        <w:rPr>
          <w:rFonts w:ascii="FrankRuehl" w:hAnsi="FrankRuehl" w:cs="FrankRuehl"/>
          <w:sz w:val="24"/>
          <w:szCs w:val="24"/>
          <w:rtl/>
        </w:rPr>
        <w:t xml:space="preserve"> </w:t>
      </w:r>
      <w:r w:rsidRPr="00DF0F99">
        <w:rPr>
          <w:rFonts w:ascii="FrankRuehl" w:hAnsi="FrankRuehl" w:cs="FrankRuehl" w:hint="cs"/>
          <w:sz w:val="24"/>
          <w:szCs w:val="24"/>
          <w:rtl/>
        </w:rPr>
        <w:t>מעולם</w:t>
      </w:r>
      <w:r w:rsidRPr="00DF0F99">
        <w:rPr>
          <w:rFonts w:ascii="FrankRuehl" w:hAnsi="FrankRuehl" w:cs="FrankRuehl"/>
          <w:sz w:val="24"/>
          <w:szCs w:val="24"/>
          <w:rtl/>
        </w:rPr>
        <w:t xml:space="preserve"> </w:t>
      </w:r>
      <w:r w:rsidRPr="00DF0F99">
        <w:rPr>
          <w:rFonts w:ascii="FrankRuehl" w:hAnsi="FrankRuehl" w:cs="FrankRuehl" w:hint="cs"/>
          <w:sz w:val="24"/>
          <w:szCs w:val="24"/>
          <w:rtl/>
        </w:rPr>
        <w:t>לסליחה</w:t>
      </w:r>
      <w:r w:rsidRPr="00DF0F99">
        <w:rPr>
          <w:rFonts w:ascii="FrankRuehl" w:hAnsi="FrankRuehl" w:cs="FrankRuehl"/>
          <w:sz w:val="24"/>
          <w:szCs w:val="24"/>
          <w:rtl/>
        </w:rPr>
        <w:t xml:space="preserve"> </w:t>
      </w:r>
      <w:r w:rsidRPr="00DF0F99">
        <w:rPr>
          <w:rFonts w:ascii="FrankRuehl" w:hAnsi="FrankRuehl" w:cs="FrankRuehl" w:hint="cs"/>
          <w:sz w:val="24"/>
          <w:szCs w:val="24"/>
          <w:rtl/>
        </w:rPr>
        <w:t>וכפרה</w:t>
      </w:r>
      <w:r w:rsidRPr="00DF0F99">
        <w:rPr>
          <w:rFonts w:ascii="FrankRuehl" w:hAnsi="FrankRuehl" w:cs="FrankRuehl"/>
          <w:sz w:val="24"/>
          <w:szCs w:val="24"/>
          <w:rtl/>
        </w:rPr>
        <w:t xml:space="preserve"> </w:t>
      </w:r>
      <w:r w:rsidRPr="00DF0F99">
        <w:rPr>
          <w:rFonts w:ascii="FrankRuehl" w:hAnsi="FrankRuehl" w:cs="FrankRuehl" w:hint="cs"/>
          <w:sz w:val="24"/>
          <w:szCs w:val="24"/>
          <w:rtl/>
        </w:rPr>
        <w:t>ביטל</w:t>
      </w:r>
      <w:r w:rsidRPr="00DF0F99">
        <w:rPr>
          <w:rFonts w:ascii="FrankRuehl" w:hAnsi="FrankRuehl" w:cs="FrankRuehl"/>
          <w:sz w:val="24"/>
          <w:szCs w:val="24"/>
          <w:rtl/>
        </w:rPr>
        <w:t xml:space="preserve"> </w:t>
      </w:r>
      <w:r w:rsidRPr="00DF0F99">
        <w:rPr>
          <w:rFonts w:ascii="FrankRuehl" w:hAnsi="FrankRuehl" w:cs="FrankRuehl" w:hint="cs"/>
          <w:sz w:val="24"/>
          <w:szCs w:val="24"/>
          <w:rtl/>
        </w:rPr>
        <w:t>עשה</w:t>
      </w:r>
      <w:r w:rsidRPr="00DF0F99">
        <w:rPr>
          <w:rFonts w:ascii="FrankRuehl" w:hAnsi="FrankRuehl" w:cs="FrankRuehl"/>
          <w:sz w:val="24"/>
          <w:szCs w:val="24"/>
          <w:rtl/>
        </w:rPr>
        <w:t xml:space="preserve"> </w:t>
      </w:r>
      <w:r w:rsidRPr="00DF0F99">
        <w:rPr>
          <w:rFonts w:ascii="FrankRuehl" w:hAnsi="FrankRuehl" w:cs="FrankRuehl" w:hint="cs"/>
          <w:sz w:val="24"/>
          <w:szCs w:val="24"/>
          <w:rtl/>
        </w:rPr>
        <w:t>זה</w:t>
      </w:r>
      <w:r w:rsidRPr="00DF0F99">
        <w:rPr>
          <w:rFonts w:ascii="FrankRuehl" w:hAnsi="FrankRuehl" w:cs="FrankRuehl"/>
          <w:sz w:val="24"/>
          <w:szCs w:val="24"/>
          <w:rtl/>
        </w:rPr>
        <w:t xml:space="preserve">, </w:t>
      </w:r>
      <w:r w:rsidRPr="00DF0F99">
        <w:rPr>
          <w:rFonts w:ascii="FrankRuehl" w:hAnsi="FrankRuehl" w:cs="FrankRuehl" w:hint="cs"/>
          <w:sz w:val="24"/>
          <w:szCs w:val="24"/>
          <w:rtl/>
        </w:rPr>
        <w:t>ואוי</w:t>
      </w:r>
      <w:r w:rsidRPr="00DF0F99">
        <w:rPr>
          <w:rFonts w:ascii="FrankRuehl" w:hAnsi="FrankRuehl" w:cs="FrankRuehl"/>
          <w:sz w:val="24"/>
          <w:szCs w:val="24"/>
          <w:rtl/>
        </w:rPr>
        <w:t xml:space="preserve"> </w:t>
      </w:r>
      <w:r w:rsidRPr="00DF0F99">
        <w:rPr>
          <w:rFonts w:ascii="FrankRuehl" w:hAnsi="FrankRuehl" w:cs="FrankRuehl" w:hint="cs"/>
          <w:sz w:val="24"/>
          <w:szCs w:val="24"/>
          <w:rtl/>
        </w:rPr>
        <w:t>לו</w:t>
      </w:r>
      <w:r w:rsidRPr="00DF0F99">
        <w:rPr>
          <w:rFonts w:ascii="FrankRuehl" w:hAnsi="FrankRuehl" w:cs="FrankRuehl"/>
          <w:sz w:val="24"/>
          <w:szCs w:val="24"/>
          <w:rtl/>
        </w:rPr>
        <w:t xml:space="preserve"> </w:t>
      </w:r>
      <w:r w:rsidRPr="00DF0F99">
        <w:rPr>
          <w:rFonts w:ascii="FrankRuehl" w:hAnsi="FrankRuehl" w:cs="FrankRuehl" w:hint="cs"/>
          <w:sz w:val="24"/>
          <w:szCs w:val="24"/>
          <w:rtl/>
        </w:rPr>
        <w:t>לאדם</w:t>
      </w:r>
      <w:r w:rsidRPr="00DF0F99">
        <w:rPr>
          <w:rFonts w:ascii="FrankRuehl" w:hAnsi="FrankRuehl" w:cs="FrankRuehl"/>
          <w:sz w:val="24"/>
          <w:szCs w:val="24"/>
          <w:rtl/>
        </w:rPr>
        <w:t xml:space="preserve"> </w:t>
      </w:r>
      <w:r w:rsidRPr="00DF0F99">
        <w:rPr>
          <w:rFonts w:ascii="FrankRuehl" w:hAnsi="FrankRuehl" w:cs="FrankRuehl" w:hint="cs"/>
          <w:sz w:val="24"/>
          <w:szCs w:val="24"/>
          <w:rtl/>
        </w:rPr>
        <w:t>אם</w:t>
      </w:r>
      <w:r w:rsidRPr="00DF0F99">
        <w:rPr>
          <w:rFonts w:ascii="FrankRuehl" w:hAnsi="FrankRuehl" w:cs="FrankRuehl"/>
          <w:sz w:val="24"/>
          <w:szCs w:val="24"/>
          <w:rtl/>
        </w:rPr>
        <w:t xml:space="preserve"> </w:t>
      </w:r>
      <w:r w:rsidRPr="00DF0F99">
        <w:rPr>
          <w:rFonts w:ascii="FrankRuehl" w:hAnsi="FrankRuehl" w:cs="FrankRuehl" w:hint="cs"/>
          <w:sz w:val="24"/>
          <w:szCs w:val="24"/>
          <w:rtl/>
        </w:rPr>
        <w:t>ימות</w:t>
      </w:r>
      <w:r w:rsidRPr="00DF0F99">
        <w:rPr>
          <w:rFonts w:ascii="FrankRuehl" w:hAnsi="FrankRuehl" w:cs="FrankRuehl"/>
          <w:sz w:val="24"/>
          <w:szCs w:val="24"/>
          <w:rtl/>
        </w:rPr>
        <w:t xml:space="preserve"> </w:t>
      </w:r>
      <w:r w:rsidRPr="00DF0F99">
        <w:rPr>
          <w:rFonts w:ascii="FrankRuehl" w:hAnsi="FrankRuehl" w:cs="FrankRuehl" w:hint="cs"/>
          <w:sz w:val="24"/>
          <w:szCs w:val="24"/>
          <w:rtl/>
        </w:rPr>
        <w:t>בלא</w:t>
      </w:r>
      <w:r w:rsidRPr="00DF0F99">
        <w:rPr>
          <w:rFonts w:ascii="FrankRuehl" w:hAnsi="FrankRuehl" w:cs="FrankRuehl"/>
          <w:sz w:val="24"/>
          <w:szCs w:val="24"/>
          <w:rtl/>
        </w:rPr>
        <w:t xml:space="preserve"> </w:t>
      </w:r>
      <w:r w:rsidRPr="00DF0F99">
        <w:rPr>
          <w:rFonts w:ascii="FrankRuehl" w:hAnsi="FrankRuehl" w:cs="FrankRuehl" w:hint="cs"/>
          <w:sz w:val="24"/>
          <w:szCs w:val="24"/>
          <w:rtl/>
        </w:rPr>
        <w:t>וידוי</w:t>
      </w:r>
      <w:r w:rsidRPr="00DF0F99">
        <w:rPr>
          <w:rFonts w:ascii="FrankRuehl" w:hAnsi="FrankRuehl" w:cs="FrankRuehl"/>
          <w:sz w:val="24"/>
          <w:szCs w:val="24"/>
          <w:rtl/>
        </w:rPr>
        <w:t xml:space="preserve"> </w:t>
      </w:r>
      <w:r w:rsidRPr="00DF0F99">
        <w:rPr>
          <w:rFonts w:ascii="FrankRuehl" w:hAnsi="FrankRuehl" w:cs="FrankRuehl" w:hint="cs"/>
          <w:sz w:val="24"/>
          <w:szCs w:val="24"/>
          <w:rtl/>
        </w:rPr>
        <w:t>ונשא</w:t>
      </w:r>
      <w:r w:rsidRPr="00DF0F99">
        <w:rPr>
          <w:rFonts w:ascii="FrankRuehl" w:hAnsi="FrankRuehl" w:cs="FrankRuehl"/>
          <w:sz w:val="24"/>
          <w:szCs w:val="24"/>
          <w:rtl/>
        </w:rPr>
        <w:t xml:space="preserve"> </w:t>
      </w:r>
      <w:r w:rsidRPr="00DF0F99">
        <w:rPr>
          <w:rFonts w:ascii="FrankRuehl" w:hAnsi="FrankRuehl" w:cs="FrankRuehl" w:hint="cs"/>
          <w:sz w:val="24"/>
          <w:szCs w:val="24"/>
          <w:rtl/>
        </w:rPr>
        <w:t>עונו</w:t>
      </w:r>
      <w:r w:rsidRPr="00DF0F99">
        <w:rPr>
          <w:rFonts w:ascii="FrankRuehl" w:hAnsi="FrankRuehl" w:cs="FrankRuehl"/>
          <w:sz w:val="24"/>
          <w:szCs w:val="24"/>
          <w:rtl/>
        </w:rPr>
        <w:t>.</w:t>
      </w:r>
    </w:p>
    <w:p w:rsidR="0010620B" w:rsidRPr="00DF0F99" w:rsidRDefault="0010620B" w:rsidP="0010620B">
      <w:pPr>
        <w:rPr>
          <w:rFonts w:ascii="FrankRuehl" w:hAnsi="FrankRuehl" w:cs="FrankRuehl"/>
          <w:sz w:val="24"/>
          <w:szCs w:val="24"/>
          <w:highlight w:val="green"/>
          <w:rtl/>
        </w:rPr>
      </w:pPr>
    </w:p>
    <w:p w:rsidR="0010620B" w:rsidRPr="00F56E93" w:rsidRDefault="0010620B" w:rsidP="0010620B">
      <w:pPr>
        <w:spacing w:after="120" w:line="276" w:lineRule="exact"/>
        <w:rPr>
          <w:rFonts w:ascii="FrankRuehl" w:hAnsi="FrankRuehl" w:cs="FrankRuehl"/>
          <w:sz w:val="24"/>
          <w:szCs w:val="24"/>
          <w:highlight w:val="green"/>
          <w:rtl/>
        </w:rPr>
      </w:pPr>
    </w:p>
    <w:p w:rsidR="0010620B" w:rsidRDefault="0010620B" w:rsidP="0010620B">
      <w:pPr>
        <w:spacing w:before="200" w:line="276" w:lineRule="exact"/>
        <w:ind w:firstLine="227"/>
        <w:rPr>
          <w:sz w:val="24"/>
          <w:szCs w:val="24"/>
          <w:rtl/>
        </w:rPr>
      </w:pPr>
      <w:r w:rsidRPr="00F56E93">
        <w:rPr>
          <w:rFonts w:hint="cs"/>
          <w:sz w:val="24"/>
          <w:szCs w:val="24"/>
          <w:rtl/>
        </w:rPr>
        <w:t>ה</w:t>
      </w:r>
      <w:r>
        <w:rPr>
          <w:rFonts w:hint="cs"/>
          <w:sz w:val="24"/>
          <w:szCs w:val="24"/>
          <w:rtl/>
        </w:rPr>
        <w:t>גמרא בסוף המסכת אומרת:</w:t>
      </w:r>
    </w:p>
    <w:p w:rsidR="0010620B" w:rsidRDefault="0010620B" w:rsidP="0010620B">
      <w:pPr>
        <w:spacing w:before="200" w:line="276" w:lineRule="exact"/>
        <w:ind w:left="720"/>
        <w:rPr>
          <w:sz w:val="20"/>
          <w:szCs w:val="20"/>
          <w:rtl/>
        </w:rPr>
      </w:pPr>
      <w:r w:rsidRPr="00F56E93">
        <w:rPr>
          <w:sz w:val="24"/>
          <w:szCs w:val="24"/>
          <w:rtl/>
        </w:rPr>
        <w:t>תנו רבנן</w:t>
      </w:r>
      <w:r>
        <w:rPr>
          <w:rFonts w:hint="cs"/>
          <w:sz w:val="24"/>
          <w:szCs w:val="24"/>
          <w:rtl/>
        </w:rPr>
        <w:t>,</w:t>
      </w:r>
      <w:r w:rsidRPr="00F56E93">
        <w:rPr>
          <w:sz w:val="24"/>
          <w:szCs w:val="24"/>
          <w:rtl/>
        </w:rPr>
        <w:t xml:space="preserve"> מצות וידוי ערב יום הכפורים עם חשכה</w:t>
      </w:r>
      <w:r>
        <w:rPr>
          <w:rFonts w:hint="cs"/>
          <w:sz w:val="24"/>
          <w:szCs w:val="24"/>
          <w:rtl/>
        </w:rPr>
        <w:t>,</w:t>
      </w:r>
      <w:r w:rsidRPr="00F56E93">
        <w:rPr>
          <w:sz w:val="24"/>
          <w:szCs w:val="24"/>
          <w:rtl/>
        </w:rPr>
        <w:t xml:space="preserve"> אבל אמרו חכמים יתודה קודם שיאכל וישתה שמא תטרף דעתו בסעודה</w:t>
      </w:r>
      <w:r>
        <w:rPr>
          <w:rFonts w:hint="cs"/>
          <w:sz w:val="24"/>
          <w:szCs w:val="24"/>
          <w:rtl/>
        </w:rPr>
        <w:t>.</w:t>
      </w:r>
      <w:r w:rsidRPr="00F56E93">
        <w:rPr>
          <w:sz w:val="24"/>
          <w:szCs w:val="24"/>
          <w:rtl/>
        </w:rPr>
        <w:t xml:space="preserve"> ואף על פי שהתודה קודם שאכל ושתה מתודה לאחר שיאכל וישתה</w:t>
      </w:r>
      <w:r>
        <w:rPr>
          <w:rFonts w:hint="cs"/>
          <w:sz w:val="24"/>
          <w:szCs w:val="24"/>
          <w:rtl/>
        </w:rPr>
        <w:t>,</w:t>
      </w:r>
      <w:r w:rsidRPr="00F56E93">
        <w:rPr>
          <w:sz w:val="24"/>
          <w:szCs w:val="24"/>
          <w:rtl/>
        </w:rPr>
        <w:t xml:space="preserve"> שמא אירע דבר קלקלה בסעוד</w:t>
      </w:r>
      <w:r>
        <w:rPr>
          <w:rFonts w:hint="cs"/>
          <w:sz w:val="24"/>
          <w:szCs w:val="24"/>
          <w:rtl/>
        </w:rPr>
        <w:t>ה.</w:t>
      </w:r>
      <w:r w:rsidRPr="00F56E93">
        <w:rPr>
          <w:sz w:val="24"/>
          <w:szCs w:val="24"/>
          <w:rtl/>
        </w:rPr>
        <w:t xml:space="preserve"> ואף על פי שהתודה ערבית יתודה שחרית</w:t>
      </w:r>
      <w:r>
        <w:rPr>
          <w:rFonts w:hint="cs"/>
          <w:sz w:val="24"/>
          <w:szCs w:val="24"/>
          <w:rtl/>
        </w:rPr>
        <w:t>,</w:t>
      </w:r>
      <w:r w:rsidRPr="00F56E93">
        <w:rPr>
          <w:sz w:val="24"/>
          <w:szCs w:val="24"/>
          <w:rtl/>
        </w:rPr>
        <w:t xml:space="preserve"> שחרית יתודה במוסף</w:t>
      </w:r>
      <w:r>
        <w:rPr>
          <w:rFonts w:hint="cs"/>
          <w:sz w:val="24"/>
          <w:szCs w:val="24"/>
          <w:rtl/>
        </w:rPr>
        <w:t>,</w:t>
      </w:r>
      <w:r w:rsidRPr="00F56E93">
        <w:rPr>
          <w:sz w:val="24"/>
          <w:szCs w:val="24"/>
          <w:rtl/>
        </w:rPr>
        <w:t xml:space="preserve"> במוסף יתודה במנחה</w:t>
      </w:r>
      <w:r>
        <w:rPr>
          <w:rFonts w:hint="cs"/>
          <w:sz w:val="24"/>
          <w:szCs w:val="24"/>
          <w:rtl/>
        </w:rPr>
        <w:t>,</w:t>
      </w:r>
      <w:r w:rsidRPr="00F56E93">
        <w:rPr>
          <w:sz w:val="24"/>
          <w:szCs w:val="24"/>
          <w:rtl/>
        </w:rPr>
        <w:t xml:space="preserve"> ב</w:t>
      </w:r>
      <w:r>
        <w:rPr>
          <w:sz w:val="24"/>
          <w:szCs w:val="24"/>
          <w:rtl/>
        </w:rPr>
        <w:t>מנחה</w:t>
      </w:r>
      <w:r w:rsidRPr="00F56E93">
        <w:rPr>
          <w:sz w:val="24"/>
          <w:szCs w:val="24"/>
          <w:rtl/>
        </w:rPr>
        <w:t xml:space="preserve"> יתודה בנעילה</w:t>
      </w:r>
      <w:r>
        <w:rPr>
          <w:rFonts w:hint="cs"/>
          <w:sz w:val="24"/>
          <w:szCs w:val="24"/>
          <w:rtl/>
        </w:rPr>
        <w:t>.</w:t>
      </w:r>
      <w:r w:rsidRPr="00F56E93">
        <w:rPr>
          <w:sz w:val="24"/>
          <w:szCs w:val="24"/>
          <w:rtl/>
        </w:rPr>
        <w:t xml:space="preserve"> והיכן אומרו</w:t>
      </w:r>
      <w:r>
        <w:rPr>
          <w:rFonts w:hint="cs"/>
          <w:sz w:val="24"/>
          <w:szCs w:val="24"/>
          <w:rtl/>
        </w:rPr>
        <w:t>?</w:t>
      </w:r>
      <w:r w:rsidRPr="00F56E93">
        <w:rPr>
          <w:sz w:val="24"/>
          <w:szCs w:val="24"/>
          <w:rtl/>
        </w:rPr>
        <w:t xml:space="preserve"> יחיד אחר תפלתו</w:t>
      </w:r>
      <w:r>
        <w:rPr>
          <w:rFonts w:hint="cs"/>
          <w:sz w:val="24"/>
          <w:szCs w:val="24"/>
          <w:rtl/>
        </w:rPr>
        <w:t>,</w:t>
      </w:r>
      <w:r w:rsidRPr="00F56E93">
        <w:rPr>
          <w:sz w:val="24"/>
          <w:szCs w:val="24"/>
          <w:rtl/>
        </w:rPr>
        <w:t xml:space="preserve"> ושליח צבור אומרו באמצע</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[יומא פז:]</w:t>
      </w:r>
    </w:p>
    <w:p w:rsidR="0010620B" w:rsidRDefault="0010620B" w:rsidP="0010620B">
      <w:pPr>
        <w:spacing w:before="200" w:line="276" w:lineRule="exact"/>
        <w:ind w:firstLine="227"/>
        <w:rPr>
          <w:sz w:val="24"/>
          <w:szCs w:val="24"/>
          <w:rtl/>
        </w:rPr>
      </w:pPr>
      <w:r>
        <w:rPr>
          <w:rFonts w:hint="cs"/>
          <w:sz w:val="24"/>
          <w:szCs w:val="24"/>
          <w:rtl/>
        </w:rPr>
        <w:t>מבואר בדברי הברייתא שיש חובת וידוי בכל אחת מתפילות יום הכיפורים. אמנם, טיבה של חובה זו אינו מבואר בגמרא, ונראה שנחלקו בכך הראשונים.</w:t>
      </w:r>
    </w:p>
    <w:p w:rsidR="0010620B" w:rsidRDefault="0010620B" w:rsidP="0010620B">
      <w:pPr>
        <w:spacing w:before="200" w:line="276" w:lineRule="exact"/>
        <w:ind w:firstLine="227"/>
        <w:rPr>
          <w:sz w:val="24"/>
          <w:szCs w:val="24"/>
          <w:rtl/>
        </w:rPr>
      </w:pPr>
      <w:r>
        <w:rPr>
          <w:rFonts w:hint="cs"/>
          <w:sz w:val="24"/>
          <w:szCs w:val="24"/>
          <w:rtl/>
        </w:rPr>
        <w:t>בעל הלכות גדולות כותב:</w:t>
      </w:r>
    </w:p>
    <w:p w:rsidR="0010620B" w:rsidRDefault="0010620B" w:rsidP="0010620B">
      <w:pPr>
        <w:spacing w:before="200" w:line="276" w:lineRule="exact"/>
        <w:ind w:left="720"/>
        <w:rPr>
          <w:sz w:val="24"/>
          <w:szCs w:val="24"/>
          <w:rtl/>
        </w:rPr>
      </w:pPr>
      <w:r w:rsidRPr="00D02BAB">
        <w:rPr>
          <w:sz w:val="24"/>
          <w:szCs w:val="24"/>
          <w:rtl/>
        </w:rPr>
        <w:t>ומיחייב בר ישראל לאודוי ביו</w:t>
      </w:r>
      <w:r>
        <w:rPr>
          <w:sz w:val="24"/>
          <w:szCs w:val="24"/>
          <w:rtl/>
        </w:rPr>
        <w:t xml:space="preserve">מא דכיפורי, שנאמר </w:t>
      </w:r>
      <w:r>
        <w:rPr>
          <w:rFonts w:hint="cs"/>
          <w:sz w:val="24"/>
          <w:szCs w:val="24"/>
          <w:rtl/>
        </w:rPr>
        <w:t>'</w:t>
      </w:r>
      <w:r w:rsidRPr="00D02BAB">
        <w:rPr>
          <w:sz w:val="24"/>
          <w:szCs w:val="24"/>
          <w:rtl/>
        </w:rPr>
        <w:t>כי ביום הזה יכפר עליכם</w:t>
      </w:r>
      <w:r>
        <w:rPr>
          <w:rFonts w:hint="cs"/>
          <w:sz w:val="24"/>
          <w:szCs w:val="24"/>
          <w:rtl/>
        </w:rPr>
        <w:t>',</w:t>
      </w:r>
      <w:r w:rsidRPr="00D02BAB">
        <w:rPr>
          <w:sz w:val="24"/>
          <w:szCs w:val="24"/>
          <w:rtl/>
        </w:rPr>
        <w:t xml:space="preserve"> ואשכחן </w:t>
      </w:r>
      <w:r>
        <w:rPr>
          <w:sz w:val="24"/>
          <w:szCs w:val="24"/>
          <w:rtl/>
        </w:rPr>
        <w:t>דהא כפרה וידוי דברים היא, דתניא</w:t>
      </w:r>
      <w:r>
        <w:rPr>
          <w:rFonts w:hint="cs"/>
          <w:sz w:val="24"/>
          <w:szCs w:val="24"/>
          <w:rtl/>
        </w:rPr>
        <w:t>: '</w:t>
      </w:r>
      <w:r w:rsidRPr="00D02BAB">
        <w:rPr>
          <w:sz w:val="24"/>
          <w:szCs w:val="24"/>
          <w:rtl/>
        </w:rPr>
        <w:t>וכפר בעדו ובעד ביתו</w:t>
      </w:r>
      <w:r>
        <w:rPr>
          <w:rFonts w:hint="cs"/>
          <w:sz w:val="24"/>
          <w:szCs w:val="24"/>
          <w:rtl/>
        </w:rPr>
        <w:t>'</w:t>
      </w:r>
      <w:r w:rsidRPr="00D02BAB">
        <w:rPr>
          <w:sz w:val="24"/>
          <w:szCs w:val="24"/>
          <w:rtl/>
        </w:rPr>
        <w:t xml:space="preserve"> </w:t>
      </w:r>
      <w:r>
        <w:rPr>
          <w:sz w:val="24"/>
          <w:szCs w:val="24"/>
          <w:rtl/>
        </w:rPr>
        <w:t>–</w:t>
      </w:r>
      <w:r>
        <w:rPr>
          <w:rFonts w:hint="cs"/>
          <w:sz w:val="24"/>
          <w:szCs w:val="24"/>
          <w:rtl/>
        </w:rPr>
        <w:t xml:space="preserve"> </w:t>
      </w:r>
      <w:r w:rsidRPr="00D02BAB">
        <w:rPr>
          <w:sz w:val="24"/>
          <w:szCs w:val="24"/>
          <w:rtl/>
        </w:rPr>
        <w:t>בהרצאת דברים הכתוב מדבר</w:t>
      </w:r>
      <w:r>
        <w:rPr>
          <w:rFonts w:hint="cs"/>
          <w:sz w:val="24"/>
          <w:szCs w:val="24"/>
          <w:rtl/>
        </w:rPr>
        <w:t>.</w:t>
      </w:r>
    </w:p>
    <w:p w:rsidR="0010620B" w:rsidRPr="00D02BAB" w:rsidRDefault="0010620B" w:rsidP="0010620B">
      <w:pPr>
        <w:spacing w:before="200" w:line="276" w:lineRule="exact"/>
        <w:ind w:left="720"/>
        <w:jc w:val="right"/>
        <w:rPr>
          <w:sz w:val="20"/>
          <w:szCs w:val="20"/>
          <w:rtl/>
        </w:rPr>
      </w:pPr>
      <w:r>
        <w:rPr>
          <w:rFonts w:hint="cs"/>
          <w:sz w:val="20"/>
          <w:szCs w:val="20"/>
          <w:rtl/>
        </w:rPr>
        <w:t>[הלכות גדולות הל' יום הכיפורים]</w:t>
      </w:r>
    </w:p>
    <w:p w:rsidR="0010620B" w:rsidRDefault="0010620B" w:rsidP="0010620B">
      <w:pPr>
        <w:spacing w:before="200" w:line="276" w:lineRule="exact"/>
        <w:ind w:firstLine="227"/>
        <w:rPr>
          <w:sz w:val="24"/>
          <w:szCs w:val="24"/>
          <w:rtl/>
        </w:rPr>
      </w:pPr>
      <w:r>
        <w:rPr>
          <w:rFonts w:hint="cs"/>
          <w:sz w:val="24"/>
          <w:szCs w:val="24"/>
          <w:rtl/>
        </w:rPr>
        <w:t>לדברי בה"ג, מקור חובת הוידוי הוא בכתוב "כי ביום הזה יכפר עליכם". כתוב זה מלמד על כפרת יום הכיפורים, וכפרה זו נעשית על ידי הוידוי.</w:t>
      </w:r>
    </w:p>
    <w:p w:rsidR="0010620B" w:rsidRDefault="0010620B" w:rsidP="0010620B">
      <w:pPr>
        <w:spacing w:before="200" w:line="276" w:lineRule="exact"/>
        <w:ind w:firstLine="227"/>
        <w:rPr>
          <w:sz w:val="24"/>
          <w:szCs w:val="24"/>
          <w:rtl/>
        </w:rPr>
      </w:pPr>
      <w:r>
        <w:rPr>
          <w:rFonts w:hint="cs"/>
          <w:sz w:val="24"/>
          <w:szCs w:val="24"/>
          <w:rtl/>
        </w:rPr>
        <w:t xml:space="preserve">בה"ג בדבריו משווה בין הוידוי הנאמר על ידי כל אחד בתפילות יום הכיפורים לבין וידוייו של הכהן הגדול: כשם שהכתוב "וכפר בעדו ובעד ביתו" מתפרש על ידי חז"ל </w:t>
      </w:r>
      <w:r>
        <w:rPr>
          <w:rFonts w:hint="cs"/>
          <w:sz w:val="20"/>
          <w:szCs w:val="20"/>
          <w:rtl/>
        </w:rPr>
        <w:t>[יומא לו:]</w:t>
      </w:r>
      <w:r>
        <w:rPr>
          <w:rFonts w:hint="cs"/>
          <w:sz w:val="24"/>
          <w:szCs w:val="24"/>
          <w:rtl/>
        </w:rPr>
        <w:t xml:space="preserve"> כוידוי דברים, כך הכתוב "כי ביום הזה יכפר עליכם" מלמד על חובת וידוי דברים ביום הכיפורים.</w:t>
      </w:r>
    </w:p>
    <w:p w:rsidR="0010620B" w:rsidRDefault="0010620B" w:rsidP="0010620B">
      <w:pPr>
        <w:spacing w:before="200" w:line="276" w:lineRule="exact"/>
        <w:ind w:firstLine="227"/>
        <w:rPr>
          <w:sz w:val="24"/>
          <w:szCs w:val="24"/>
          <w:rtl/>
        </w:rPr>
      </w:pPr>
      <w:r>
        <w:rPr>
          <w:rFonts w:hint="cs"/>
          <w:sz w:val="24"/>
          <w:szCs w:val="24"/>
          <w:rtl/>
        </w:rPr>
        <w:t>ההשוואה בין הוידוי שבתפילה לוידוייו של הכהן הגדול מופיעה גם בדברי היראים, אם כי באופן שונה:</w:t>
      </w:r>
    </w:p>
    <w:p w:rsidR="0010620B" w:rsidRDefault="0010620B" w:rsidP="0010620B">
      <w:pPr>
        <w:spacing w:before="200" w:line="276" w:lineRule="exact"/>
        <w:ind w:left="720"/>
        <w:rPr>
          <w:sz w:val="24"/>
          <w:szCs w:val="24"/>
          <w:rtl/>
        </w:rPr>
      </w:pPr>
      <w:r w:rsidRPr="00D02BAB">
        <w:rPr>
          <w:sz w:val="24"/>
          <w:szCs w:val="24"/>
          <w:rtl/>
        </w:rPr>
        <w:t>וידוי יום הכפורים. צ</w:t>
      </w:r>
      <w:r>
        <w:rPr>
          <w:rFonts w:hint="cs"/>
          <w:sz w:val="24"/>
          <w:szCs w:val="24"/>
          <w:rtl/>
        </w:rPr>
        <w:t>יו</w:t>
      </w:r>
      <w:r w:rsidRPr="00D02BAB">
        <w:rPr>
          <w:sz w:val="24"/>
          <w:szCs w:val="24"/>
          <w:rtl/>
        </w:rPr>
        <w:t>וה יוצרינו לכהן גדול שיתודה על חטאת יום הכפורים ב' וידויין</w:t>
      </w:r>
      <w:r>
        <w:rPr>
          <w:rFonts w:hint="cs"/>
          <w:sz w:val="24"/>
          <w:szCs w:val="24"/>
          <w:rtl/>
        </w:rPr>
        <w:t>,</w:t>
      </w:r>
      <w:r w:rsidRPr="00D02BAB">
        <w:rPr>
          <w:sz w:val="24"/>
          <w:szCs w:val="24"/>
          <w:rtl/>
        </w:rPr>
        <w:t xml:space="preserve"> אחד עליו ועל ביתו ועל שעיר המשת</w:t>
      </w:r>
      <w:r>
        <w:rPr>
          <w:sz w:val="24"/>
          <w:szCs w:val="24"/>
          <w:rtl/>
        </w:rPr>
        <w:t xml:space="preserve">לח עון ישראל... </w:t>
      </w:r>
      <w:r w:rsidRPr="00E65EC0">
        <w:rPr>
          <w:b/>
          <w:bCs/>
          <w:sz w:val="24"/>
          <w:szCs w:val="24"/>
          <w:rtl/>
        </w:rPr>
        <w:t>תולדה למצות עשה</w:t>
      </w:r>
      <w:r w:rsidRPr="00E65EC0">
        <w:rPr>
          <w:rFonts w:hint="cs"/>
          <w:b/>
          <w:bCs/>
          <w:sz w:val="24"/>
          <w:szCs w:val="24"/>
          <w:rtl/>
        </w:rPr>
        <w:t>,</w:t>
      </w:r>
      <w:r w:rsidRPr="00E65EC0">
        <w:rPr>
          <w:b/>
          <w:bCs/>
          <w:sz w:val="24"/>
          <w:szCs w:val="24"/>
          <w:rtl/>
        </w:rPr>
        <w:t xml:space="preserve"> צ</w:t>
      </w:r>
      <w:r>
        <w:rPr>
          <w:rFonts w:hint="cs"/>
          <w:b/>
          <w:bCs/>
          <w:sz w:val="24"/>
          <w:szCs w:val="24"/>
          <w:rtl/>
        </w:rPr>
        <w:t>י</w:t>
      </w:r>
      <w:r w:rsidRPr="00E65EC0">
        <w:rPr>
          <w:b/>
          <w:bCs/>
          <w:sz w:val="24"/>
          <w:szCs w:val="24"/>
          <w:rtl/>
        </w:rPr>
        <w:t>וו חכמים שכל ישראל ית</w:t>
      </w:r>
      <w:r>
        <w:rPr>
          <w:rFonts w:hint="cs"/>
          <w:b/>
          <w:bCs/>
          <w:sz w:val="24"/>
          <w:szCs w:val="24"/>
          <w:rtl/>
        </w:rPr>
        <w:t>ו</w:t>
      </w:r>
      <w:r w:rsidRPr="00E65EC0">
        <w:rPr>
          <w:b/>
          <w:bCs/>
          <w:sz w:val="24"/>
          <w:szCs w:val="24"/>
          <w:rtl/>
        </w:rPr>
        <w:t>ודו בין איש בין אשה ביום הכפורים</w:t>
      </w:r>
      <w:r>
        <w:rPr>
          <w:sz w:val="24"/>
          <w:szCs w:val="24"/>
          <w:rtl/>
        </w:rPr>
        <w:t>.</w:t>
      </w:r>
      <w:r>
        <w:rPr>
          <w:sz w:val="24"/>
          <w:szCs w:val="24"/>
          <w:rtl/>
        </w:rPr>
        <w:tab/>
      </w:r>
      <w:r>
        <w:rPr>
          <w:sz w:val="24"/>
          <w:szCs w:val="24"/>
          <w:rtl/>
        </w:rPr>
        <w:tab/>
      </w:r>
      <w:r>
        <w:rPr>
          <w:sz w:val="24"/>
          <w:szCs w:val="24"/>
          <w:rtl/>
        </w:rPr>
        <w:tab/>
      </w:r>
      <w:r>
        <w:rPr>
          <w:sz w:val="24"/>
          <w:szCs w:val="24"/>
          <w:rtl/>
        </w:rPr>
        <w:tab/>
      </w:r>
      <w:r>
        <w:rPr>
          <w:rFonts w:hint="cs"/>
          <w:sz w:val="20"/>
          <w:szCs w:val="20"/>
          <w:rtl/>
        </w:rPr>
        <w:t>[יראים סי' רסג]</w:t>
      </w:r>
    </w:p>
    <w:p w:rsidR="0010620B" w:rsidRDefault="0010620B" w:rsidP="0010620B">
      <w:pPr>
        <w:spacing w:before="200" w:line="276" w:lineRule="exact"/>
        <w:ind w:firstLine="227"/>
        <w:rPr>
          <w:sz w:val="24"/>
          <w:szCs w:val="24"/>
          <w:rtl/>
        </w:rPr>
      </w:pPr>
      <w:r>
        <w:rPr>
          <w:rFonts w:hint="cs"/>
          <w:sz w:val="24"/>
          <w:szCs w:val="24"/>
          <w:rtl/>
        </w:rPr>
        <w:t>היראים מונה כמצות עשה את וידויי הכהן הגדול</w:t>
      </w:r>
      <w:r>
        <w:rPr>
          <w:rStyle w:val="a7"/>
          <w:sz w:val="24"/>
          <w:szCs w:val="24"/>
          <w:rtl/>
        </w:rPr>
        <w:footnoteReference w:id="218"/>
      </w:r>
      <w:r>
        <w:rPr>
          <w:rFonts w:hint="cs"/>
          <w:sz w:val="24"/>
          <w:szCs w:val="24"/>
          <w:rtl/>
        </w:rPr>
        <w:t>, ואת חובת הוידוי המוטלת על כל יחיד ויחיד רואה היראים כ"תולדה" למצוה זו, כלומר כדין דרבנן שיסודו במצות התורה</w:t>
      </w:r>
      <w:r>
        <w:rPr>
          <w:rStyle w:val="a7"/>
          <w:sz w:val="24"/>
          <w:szCs w:val="24"/>
          <w:rtl/>
        </w:rPr>
        <w:footnoteReference w:id="219"/>
      </w:r>
      <w:r>
        <w:rPr>
          <w:rFonts w:hint="cs"/>
          <w:sz w:val="24"/>
          <w:szCs w:val="24"/>
          <w:rtl/>
        </w:rPr>
        <w:t>.</w:t>
      </w:r>
    </w:p>
    <w:p w:rsidR="0010620B" w:rsidRDefault="0010620B" w:rsidP="0010620B">
      <w:pPr>
        <w:spacing w:before="200" w:line="276" w:lineRule="exact"/>
        <w:ind w:firstLine="227"/>
        <w:rPr>
          <w:sz w:val="24"/>
          <w:szCs w:val="24"/>
          <w:rtl/>
        </w:rPr>
      </w:pPr>
      <w:r>
        <w:rPr>
          <w:rFonts w:hint="cs"/>
          <w:sz w:val="24"/>
          <w:szCs w:val="24"/>
          <w:rtl/>
        </w:rPr>
        <w:lastRenderedPageBreak/>
        <w:t>הלבוש מביא לחובת הוידוי ביום הכיפורים מקור שונה:</w:t>
      </w:r>
    </w:p>
    <w:p w:rsidR="0010620B" w:rsidRDefault="0010620B" w:rsidP="0010620B">
      <w:pPr>
        <w:spacing w:before="200" w:line="276" w:lineRule="exact"/>
        <w:ind w:left="720"/>
        <w:rPr>
          <w:sz w:val="24"/>
          <w:szCs w:val="24"/>
          <w:rtl/>
        </w:rPr>
      </w:pPr>
      <w:r w:rsidRPr="008873A1">
        <w:rPr>
          <w:sz w:val="24"/>
          <w:szCs w:val="24"/>
          <w:rtl/>
        </w:rPr>
        <w:t xml:space="preserve">כיון שיום כיפור הוא </w:t>
      </w:r>
      <w:r>
        <w:rPr>
          <w:rFonts w:hint="cs"/>
          <w:sz w:val="24"/>
          <w:szCs w:val="24"/>
          <w:rtl/>
        </w:rPr>
        <w:t xml:space="preserve">יום </w:t>
      </w:r>
      <w:r w:rsidRPr="008873A1">
        <w:rPr>
          <w:sz w:val="24"/>
          <w:szCs w:val="24"/>
          <w:rtl/>
        </w:rPr>
        <w:t>סליחה וכפרה</w:t>
      </w:r>
      <w:r>
        <w:rPr>
          <w:rFonts w:hint="cs"/>
          <w:sz w:val="24"/>
          <w:szCs w:val="24"/>
          <w:rtl/>
        </w:rPr>
        <w:t>,</w:t>
      </w:r>
      <w:r>
        <w:rPr>
          <w:sz w:val="24"/>
          <w:szCs w:val="24"/>
          <w:rtl/>
        </w:rPr>
        <w:t xml:space="preserve"> דכתיב </w:t>
      </w:r>
      <w:r>
        <w:rPr>
          <w:rFonts w:hint="cs"/>
          <w:sz w:val="24"/>
          <w:szCs w:val="24"/>
          <w:rtl/>
        </w:rPr>
        <w:t>'</w:t>
      </w:r>
      <w:r w:rsidRPr="008873A1">
        <w:rPr>
          <w:sz w:val="24"/>
          <w:szCs w:val="24"/>
          <w:rtl/>
        </w:rPr>
        <w:t>כי ביום הזה יכפר עליכם</w:t>
      </w:r>
      <w:r>
        <w:rPr>
          <w:rFonts w:hint="cs"/>
          <w:sz w:val="24"/>
          <w:szCs w:val="24"/>
          <w:rtl/>
        </w:rPr>
        <w:t>'</w:t>
      </w:r>
      <w:r w:rsidRPr="008873A1">
        <w:rPr>
          <w:sz w:val="24"/>
          <w:szCs w:val="24"/>
          <w:rtl/>
        </w:rPr>
        <w:t xml:space="preserve"> וגו', צריך כל אדם שיתוודה על חטאיו, כי כן מצינו בכל קרבנות שבאו </w:t>
      </w:r>
      <w:r>
        <w:rPr>
          <w:sz w:val="24"/>
          <w:szCs w:val="24"/>
          <w:rtl/>
        </w:rPr>
        <w:t xml:space="preserve">על הכפרה דכתיב בהם </w:t>
      </w:r>
      <w:r>
        <w:rPr>
          <w:rFonts w:hint="cs"/>
          <w:sz w:val="24"/>
          <w:szCs w:val="24"/>
          <w:rtl/>
        </w:rPr>
        <w:t>'</w:t>
      </w:r>
      <w:r w:rsidRPr="008873A1">
        <w:rPr>
          <w:sz w:val="24"/>
          <w:szCs w:val="24"/>
          <w:rtl/>
        </w:rPr>
        <w:t>והתוודו את חטאתם אשר עשו</w:t>
      </w:r>
      <w:r>
        <w:rPr>
          <w:rFonts w:hint="cs"/>
          <w:sz w:val="24"/>
          <w:szCs w:val="24"/>
          <w:rtl/>
        </w:rPr>
        <w:t>'</w:t>
      </w:r>
      <w:r>
        <w:rPr>
          <w:sz w:val="24"/>
          <w:szCs w:val="24"/>
          <w:rtl/>
        </w:rPr>
        <w:t xml:space="preserve"> וגו</w:t>
      </w:r>
      <w:r>
        <w:rPr>
          <w:rFonts w:hint="cs"/>
          <w:sz w:val="24"/>
          <w:szCs w:val="24"/>
          <w:rtl/>
        </w:rPr>
        <w:t>.</w:t>
      </w:r>
      <w:r w:rsidRPr="008873A1">
        <w:rPr>
          <w:sz w:val="24"/>
          <w:szCs w:val="24"/>
          <w:rtl/>
        </w:rPr>
        <w:t xml:space="preserve"> וכמו שעשה כהן גדול ביום הכיפורים שהתוודה בעדו ו</w:t>
      </w:r>
      <w:r>
        <w:rPr>
          <w:sz w:val="24"/>
          <w:szCs w:val="24"/>
          <w:rtl/>
        </w:rPr>
        <w:t>בעד כל ישראל, דכתי</w:t>
      </w:r>
      <w:r>
        <w:rPr>
          <w:rFonts w:hint="cs"/>
          <w:sz w:val="24"/>
          <w:szCs w:val="24"/>
          <w:rtl/>
        </w:rPr>
        <w:t>ב '</w:t>
      </w:r>
      <w:r w:rsidRPr="008873A1">
        <w:rPr>
          <w:sz w:val="24"/>
          <w:szCs w:val="24"/>
          <w:rtl/>
        </w:rPr>
        <w:t>וכפר בעדו ובעד ביתו ובעד כל קהל ישראל</w:t>
      </w:r>
      <w:r>
        <w:rPr>
          <w:rFonts w:hint="cs"/>
          <w:sz w:val="24"/>
          <w:szCs w:val="24"/>
          <w:rtl/>
        </w:rPr>
        <w:t>'</w:t>
      </w:r>
      <w:r>
        <w:rPr>
          <w:sz w:val="24"/>
          <w:szCs w:val="24"/>
          <w:rtl/>
        </w:rPr>
        <w:t>, שפירושו שיתוודה חטאתו ואח</w:t>
      </w:r>
      <w:r>
        <w:rPr>
          <w:rFonts w:hint="cs"/>
          <w:sz w:val="24"/>
          <w:szCs w:val="24"/>
          <w:rtl/>
        </w:rPr>
        <w:t>ר כך</w:t>
      </w:r>
      <w:r w:rsidRPr="008873A1">
        <w:rPr>
          <w:sz w:val="24"/>
          <w:szCs w:val="24"/>
          <w:rtl/>
        </w:rPr>
        <w:t xml:space="preserve"> חטאת ישראל.</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[לבוש או"ח סי' תרז סעי' א]</w:t>
      </w:r>
    </w:p>
    <w:p w:rsidR="0010620B" w:rsidRPr="008873A1" w:rsidRDefault="0010620B" w:rsidP="0010620B">
      <w:pPr>
        <w:spacing w:before="200" w:line="276" w:lineRule="exact"/>
        <w:ind w:firstLine="227"/>
        <w:rPr>
          <w:sz w:val="24"/>
          <w:szCs w:val="24"/>
          <w:rtl/>
        </w:rPr>
      </w:pPr>
      <w:r>
        <w:rPr>
          <w:rFonts w:hint="cs"/>
          <w:sz w:val="24"/>
          <w:szCs w:val="24"/>
          <w:rtl/>
        </w:rPr>
        <w:t>הלבוש טוען כי הוידוי ביום הכיפורים דומה במהותו לוידוי על הקרבן: כשם שכפרת הקרבנות טעונה וידוי, כך כפרת יום הכיפורים טעונה וידוי</w:t>
      </w:r>
      <w:r>
        <w:rPr>
          <w:rStyle w:val="a7"/>
          <w:sz w:val="24"/>
          <w:szCs w:val="24"/>
          <w:rtl/>
        </w:rPr>
        <w:footnoteReference w:id="220"/>
      </w:r>
      <w:r>
        <w:rPr>
          <w:rFonts w:hint="cs"/>
          <w:sz w:val="24"/>
          <w:szCs w:val="24"/>
          <w:rtl/>
        </w:rPr>
        <w:t xml:space="preserve">. </w:t>
      </w:r>
    </w:p>
    <w:p w:rsidR="0010620B" w:rsidRDefault="0010620B" w:rsidP="0010620B">
      <w:pPr>
        <w:spacing w:before="200" w:line="276" w:lineRule="exact"/>
        <w:ind w:firstLine="227"/>
        <w:rPr>
          <w:sz w:val="24"/>
          <w:szCs w:val="24"/>
          <w:rtl/>
        </w:rPr>
      </w:pPr>
    </w:p>
    <w:p w:rsidR="0010620B" w:rsidRPr="00D02BAB" w:rsidRDefault="0010620B" w:rsidP="0010620B">
      <w:pPr>
        <w:spacing w:before="200" w:line="276" w:lineRule="exact"/>
        <w:ind w:firstLine="227"/>
        <w:rPr>
          <w:sz w:val="24"/>
          <w:szCs w:val="24"/>
          <w:rtl/>
        </w:rPr>
      </w:pPr>
      <w:r>
        <w:rPr>
          <w:rFonts w:hint="cs"/>
          <w:sz w:val="24"/>
          <w:szCs w:val="24"/>
          <w:rtl/>
        </w:rPr>
        <w:t xml:space="preserve">לפי שיטות אלו, הכפרה הנעשית ב'עיצומו של יום' היא המחייבת את הוידוי </w:t>
      </w:r>
      <w:r>
        <w:rPr>
          <w:sz w:val="24"/>
          <w:szCs w:val="24"/>
          <w:rtl/>
        </w:rPr>
        <w:t>–</w:t>
      </w:r>
      <w:r>
        <w:rPr>
          <w:rFonts w:hint="cs"/>
          <w:sz w:val="24"/>
          <w:szCs w:val="24"/>
          <w:rtl/>
        </w:rPr>
        <w:t xml:space="preserve"> בדומה לוידוי של כהן גדול, או בדומה לוידוי על הקרבן. אמנם, מדברי הרמב"ם עולה שיטה שונה בהבנת מקורה וטיבה של חובת הוידוי ביום הכיפורים.</w:t>
      </w:r>
      <w:r w:rsidRPr="00D02BAB">
        <w:rPr>
          <w:rFonts w:hint="cs"/>
          <w:sz w:val="24"/>
          <w:szCs w:val="24"/>
          <w:rtl/>
        </w:rPr>
        <w:t xml:space="preserve"> </w:t>
      </w:r>
    </w:p>
    <w:p w:rsidR="0010620B" w:rsidRDefault="0010620B" w:rsidP="0010620B">
      <w:pPr>
        <w:spacing w:before="200" w:line="276" w:lineRule="exact"/>
        <w:ind w:firstLine="227"/>
        <w:rPr>
          <w:sz w:val="24"/>
          <w:szCs w:val="24"/>
          <w:rtl/>
        </w:rPr>
      </w:pPr>
      <w:r>
        <w:rPr>
          <w:rFonts w:hint="cs"/>
          <w:sz w:val="24"/>
          <w:szCs w:val="24"/>
          <w:rtl/>
        </w:rPr>
        <w:t>הרמב"ם כותב בהלכות תשובה:</w:t>
      </w:r>
    </w:p>
    <w:p w:rsidR="0010620B" w:rsidRDefault="0010620B" w:rsidP="0010620B">
      <w:pPr>
        <w:spacing w:before="200" w:line="276" w:lineRule="exact"/>
        <w:ind w:left="720"/>
        <w:rPr>
          <w:sz w:val="24"/>
          <w:szCs w:val="24"/>
          <w:rtl/>
        </w:rPr>
      </w:pPr>
      <w:r w:rsidRPr="003F2ED8">
        <w:rPr>
          <w:sz w:val="24"/>
          <w:szCs w:val="24"/>
          <w:rtl/>
        </w:rPr>
        <w:t>יום הכ</w:t>
      </w:r>
      <w:r>
        <w:rPr>
          <w:rFonts w:hint="cs"/>
          <w:sz w:val="24"/>
          <w:szCs w:val="24"/>
          <w:rtl/>
        </w:rPr>
        <w:t>י</w:t>
      </w:r>
      <w:r w:rsidRPr="003F2ED8">
        <w:rPr>
          <w:sz w:val="24"/>
          <w:szCs w:val="24"/>
          <w:rtl/>
        </w:rPr>
        <w:t>פורים הוא זמן תשובה לכל ליחיד ולרבים והוא קץ מחילה וסליחה לישראל, לפיכך חייבים הכל לעשות תשובה ולהתו</w:t>
      </w:r>
      <w:r>
        <w:rPr>
          <w:rFonts w:hint="cs"/>
          <w:sz w:val="24"/>
          <w:szCs w:val="24"/>
          <w:rtl/>
        </w:rPr>
        <w:t>ו</w:t>
      </w:r>
      <w:r w:rsidRPr="003F2ED8">
        <w:rPr>
          <w:sz w:val="24"/>
          <w:szCs w:val="24"/>
          <w:rtl/>
        </w:rPr>
        <w:t>דות ביום הכ</w:t>
      </w:r>
      <w:r>
        <w:rPr>
          <w:rFonts w:hint="cs"/>
          <w:sz w:val="24"/>
          <w:szCs w:val="24"/>
          <w:rtl/>
        </w:rPr>
        <w:t>י</w:t>
      </w:r>
      <w:r w:rsidRPr="003F2ED8">
        <w:rPr>
          <w:sz w:val="24"/>
          <w:szCs w:val="24"/>
          <w:rtl/>
        </w:rPr>
        <w:t>פורים</w:t>
      </w:r>
      <w:r>
        <w:rPr>
          <w:rFonts w:hint="cs"/>
          <w:sz w:val="24"/>
          <w:szCs w:val="24"/>
          <w:rtl/>
        </w:rPr>
        <w:t>.</w:t>
      </w:r>
      <w:r>
        <w:rPr>
          <w:sz w:val="24"/>
          <w:szCs w:val="24"/>
          <w:rtl/>
        </w:rPr>
        <w:tab/>
      </w:r>
      <w:r>
        <w:rPr>
          <w:sz w:val="24"/>
          <w:szCs w:val="24"/>
          <w:rtl/>
        </w:rPr>
        <w:tab/>
      </w:r>
      <w:r>
        <w:rPr>
          <w:rFonts w:hint="cs"/>
          <w:sz w:val="24"/>
          <w:szCs w:val="24"/>
          <w:rtl/>
        </w:rPr>
        <w:t xml:space="preserve">     </w:t>
      </w:r>
      <w:r>
        <w:rPr>
          <w:rFonts w:hint="cs"/>
          <w:sz w:val="20"/>
          <w:szCs w:val="20"/>
          <w:rtl/>
        </w:rPr>
        <w:t>[הל' תשובה פ"ב ה"ז]</w:t>
      </w:r>
    </w:p>
    <w:p w:rsidR="0010620B" w:rsidRDefault="0010620B" w:rsidP="0010620B">
      <w:pPr>
        <w:spacing w:before="200" w:line="276" w:lineRule="exact"/>
        <w:ind w:firstLine="227"/>
        <w:rPr>
          <w:sz w:val="24"/>
          <w:szCs w:val="24"/>
          <w:rtl/>
        </w:rPr>
      </w:pPr>
      <w:r>
        <w:rPr>
          <w:rFonts w:hint="cs"/>
          <w:sz w:val="24"/>
          <w:szCs w:val="24"/>
          <w:rtl/>
        </w:rPr>
        <w:t xml:space="preserve">דברי הרמב"ם הללו מובאים כהקדמה לדברי הברייתא דלעיל, המפרטת את חובת הוידוי בתפילות יום הכיפורים, ובדברים אלו הרמב"ם מבאר את יסוד חובה זו. לשם כך הרמב"ם מקדים ואומר כי "יום הכיפורים הוא זמן תשובה לכל... והוא קץ מחילה וסליחה לישראל", ועל פי הגדרה זו קובע הרמב"ם: "לפיכך חייבים הכל לעשות </w:t>
      </w:r>
      <w:r w:rsidRPr="00543018">
        <w:rPr>
          <w:rFonts w:hint="cs"/>
          <w:sz w:val="24"/>
          <w:szCs w:val="24"/>
          <w:rtl/>
        </w:rPr>
        <w:t>תשובה ולהתוודות ביום הכיפורים". בדבריו אלו מבאר הרמב"ם, כי חובת הוידוי נובעת מחובת התשובה הקיימת ביום הכיפורים</w:t>
      </w:r>
      <w:r w:rsidRPr="003E7785">
        <w:rPr>
          <w:rFonts w:hint="cs"/>
          <w:sz w:val="24"/>
          <w:szCs w:val="24"/>
          <w:rtl/>
        </w:rPr>
        <w:t xml:space="preserve"> </w:t>
      </w:r>
      <w:r w:rsidRPr="003E7785">
        <w:rPr>
          <w:sz w:val="24"/>
          <w:szCs w:val="24"/>
          <w:rtl/>
        </w:rPr>
        <w:t>–</w:t>
      </w:r>
      <w:r w:rsidRPr="003E7785">
        <w:rPr>
          <w:rFonts w:hint="cs"/>
          <w:sz w:val="24"/>
          <w:szCs w:val="24"/>
          <w:rtl/>
        </w:rPr>
        <w:t xml:space="preserve"> יום</w:t>
      </w:r>
      <w:r>
        <w:rPr>
          <w:rFonts w:hint="cs"/>
          <w:sz w:val="24"/>
          <w:szCs w:val="24"/>
          <w:rtl/>
        </w:rPr>
        <w:t xml:space="preserve"> הכיפורים הוא "זמן תשובה לכל", ומהגדרה זו עולה חובה לעשות תשובה ולהתוודות ביום זה.</w:t>
      </w:r>
      <w:r w:rsidRPr="00BE643D">
        <w:rPr>
          <w:rFonts w:hint="cs"/>
          <w:sz w:val="24"/>
          <w:szCs w:val="24"/>
          <w:rtl/>
        </w:rPr>
        <w:t xml:space="preserve"> </w:t>
      </w:r>
    </w:p>
    <w:p w:rsidR="0010620B" w:rsidRDefault="0010620B" w:rsidP="0010620B">
      <w:pPr>
        <w:spacing w:before="200" w:line="276" w:lineRule="exact"/>
        <w:ind w:firstLine="227"/>
        <w:rPr>
          <w:sz w:val="24"/>
          <w:szCs w:val="24"/>
          <w:rtl/>
        </w:rPr>
      </w:pPr>
      <w:r>
        <w:rPr>
          <w:rFonts w:hint="cs"/>
          <w:sz w:val="24"/>
          <w:szCs w:val="24"/>
          <w:rtl/>
        </w:rPr>
        <w:t xml:space="preserve">על פי האמור, בה"ג וסיעתו רואים את הוידוי ביום הכיפורים כנובע מכפרת העוונות </w:t>
      </w:r>
      <w:r w:rsidRPr="00C06382">
        <w:rPr>
          <w:rFonts w:hint="cs"/>
          <w:b/>
          <w:bCs/>
          <w:sz w:val="24"/>
          <w:szCs w:val="24"/>
          <w:rtl/>
        </w:rPr>
        <w:t>הנעשית על ידי ה'</w:t>
      </w:r>
      <w:r>
        <w:rPr>
          <w:rFonts w:hint="cs"/>
          <w:sz w:val="24"/>
          <w:szCs w:val="24"/>
          <w:rtl/>
        </w:rPr>
        <w:t xml:space="preserve"> </w:t>
      </w:r>
      <w:r>
        <w:rPr>
          <w:sz w:val="24"/>
          <w:szCs w:val="24"/>
          <w:rtl/>
        </w:rPr>
        <w:t>–</w:t>
      </w:r>
      <w:r>
        <w:rPr>
          <w:rFonts w:hint="cs"/>
          <w:sz w:val="24"/>
          <w:szCs w:val="24"/>
          <w:rtl/>
        </w:rPr>
        <w:t xml:space="preserve"> </w:t>
      </w:r>
      <w:r w:rsidRPr="00FF08D0">
        <w:rPr>
          <w:sz w:val="24"/>
          <w:szCs w:val="24"/>
          <w:rtl/>
        </w:rPr>
        <w:t xml:space="preserve">ביום זה מכפר ה' עלינו ומוחה את כל עוונותינו, ובשל כך </w:t>
      </w:r>
      <w:r>
        <w:rPr>
          <w:rFonts w:hint="cs"/>
          <w:sz w:val="24"/>
          <w:szCs w:val="24"/>
          <w:rtl/>
        </w:rPr>
        <w:t>עלינו</w:t>
      </w:r>
      <w:r>
        <w:rPr>
          <w:sz w:val="24"/>
          <w:szCs w:val="24"/>
          <w:rtl/>
        </w:rPr>
        <w:t xml:space="preserve"> להתוודות על חטאינו </w:t>
      </w:r>
      <w:r>
        <w:rPr>
          <w:rFonts w:hint="cs"/>
          <w:sz w:val="24"/>
          <w:szCs w:val="24"/>
          <w:rtl/>
        </w:rPr>
        <w:t>לצורך</w:t>
      </w:r>
      <w:r w:rsidRPr="00FF08D0">
        <w:rPr>
          <w:sz w:val="24"/>
          <w:szCs w:val="24"/>
          <w:rtl/>
        </w:rPr>
        <w:t xml:space="preserve"> כפרתם</w:t>
      </w:r>
      <w:r>
        <w:rPr>
          <w:rStyle w:val="a7"/>
          <w:sz w:val="24"/>
          <w:szCs w:val="24"/>
          <w:rtl/>
        </w:rPr>
        <w:footnoteReference w:id="221"/>
      </w:r>
      <w:r>
        <w:rPr>
          <w:rFonts w:hint="cs"/>
          <w:sz w:val="24"/>
          <w:szCs w:val="24"/>
          <w:rtl/>
        </w:rPr>
        <w:t xml:space="preserve">. לעומת זאת, הרמב"ם רואה את הוידוי ביום הכיפורים כנובע מחובת התשובה המוטלת </w:t>
      </w:r>
      <w:r w:rsidRPr="00C06382">
        <w:rPr>
          <w:rFonts w:hint="cs"/>
          <w:b/>
          <w:bCs/>
          <w:sz w:val="24"/>
          <w:szCs w:val="24"/>
          <w:rtl/>
        </w:rPr>
        <w:t>על האדם</w:t>
      </w:r>
      <w:r>
        <w:rPr>
          <w:rFonts w:hint="cs"/>
          <w:sz w:val="24"/>
          <w:szCs w:val="24"/>
          <w:rtl/>
        </w:rPr>
        <w:t xml:space="preserve"> </w:t>
      </w:r>
      <w:r>
        <w:rPr>
          <w:sz w:val="24"/>
          <w:szCs w:val="24"/>
          <w:rtl/>
        </w:rPr>
        <w:t>–</w:t>
      </w:r>
      <w:r>
        <w:rPr>
          <w:rFonts w:hint="cs"/>
          <w:sz w:val="24"/>
          <w:szCs w:val="24"/>
          <w:rtl/>
        </w:rPr>
        <w:t xml:space="preserve"> ביום זה האדם נתבע לשוב בתשובה ולתקן את מעשיו, ולשם כך עליו להתוודות על עוונותיו בכל אחת מתפילות היום.</w:t>
      </w:r>
    </w:p>
    <w:p w:rsidR="0010620B" w:rsidRDefault="0010620B" w:rsidP="0010620B">
      <w:pPr>
        <w:spacing w:before="200" w:line="276" w:lineRule="exact"/>
        <w:ind w:firstLine="227"/>
        <w:rPr>
          <w:sz w:val="24"/>
          <w:szCs w:val="24"/>
          <w:rtl/>
        </w:rPr>
      </w:pPr>
    </w:p>
    <w:p w:rsidR="0010620B" w:rsidRDefault="0010620B" w:rsidP="0010620B">
      <w:pPr>
        <w:spacing w:before="200" w:line="276" w:lineRule="exact"/>
        <w:ind w:firstLine="227"/>
        <w:rPr>
          <w:sz w:val="24"/>
          <w:szCs w:val="24"/>
          <w:rtl/>
        </w:rPr>
      </w:pPr>
      <w:r>
        <w:rPr>
          <w:rFonts w:hint="cs"/>
          <w:sz w:val="24"/>
          <w:szCs w:val="24"/>
          <w:rtl/>
        </w:rPr>
        <w:t xml:space="preserve">בדברי הרמב"ם הללו קיים חידוש גדול. בפשטות, יום </w:t>
      </w:r>
      <w:r w:rsidRPr="000772CE">
        <w:rPr>
          <w:rFonts w:hint="cs"/>
          <w:b/>
          <w:bCs/>
          <w:sz w:val="24"/>
          <w:szCs w:val="24"/>
          <w:rtl/>
        </w:rPr>
        <w:t>הכיפורים</w:t>
      </w:r>
      <w:r>
        <w:rPr>
          <w:rFonts w:hint="cs"/>
          <w:sz w:val="24"/>
          <w:szCs w:val="24"/>
          <w:rtl/>
        </w:rPr>
        <w:t xml:space="preserve">, כשמו, הוא יום </w:t>
      </w:r>
      <w:r w:rsidRPr="00D25299">
        <w:rPr>
          <w:rFonts w:hint="cs"/>
          <w:b/>
          <w:bCs/>
          <w:sz w:val="24"/>
          <w:szCs w:val="24"/>
          <w:rtl/>
        </w:rPr>
        <w:t>כפרה</w:t>
      </w:r>
      <w:r>
        <w:rPr>
          <w:rFonts w:hint="cs"/>
          <w:sz w:val="24"/>
          <w:szCs w:val="24"/>
          <w:rtl/>
        </w:rPr>
        <w:t xml:space="preserve"> </w:t>
      </w:r>
      <w:r>
        <w:rPr>
          <w:sz w:val="24"/>
          <w:szCs w:val="24"/>
          <w:rtl/>
        </w:rPr>
        <w:t>–</w:t>
      </w:r>
      <w:r>
        <w:rPr>
          <w:rFonts w:hint="cs"/>
          <w:sz w:val="24"/>
          <w:szCs w:val="24"/>
          <w:rtl/>
        </w:rPr>
        <w:t xml:space="preserve"> כפרת המקדש וכפרת ישראל, ולכן ברורה שיטת בה"ג וסיעתו, הרואים את חובת הוידוי כנובעת מהכפרה הנעשית ביום זה. לעומת זאת, שיטת הרמב"ם טעונה ביאור: מניין שיום הכיפורים הוא יום המיוחד </w:t>
      </w:r>
      <w:r w:rsidRPr="00D25299">
        <w:rPr>
          <w:rFonts w:hint="cs"/>
          <w:b/>
          <w:bCs/>
          <w:sz w:val="24"/>
          <w:szCs w:val="24"/>
          <w:rtl/>
        </w:rPr>
        <w:t>לתשובה</w:t>
      </w:r>
      <w:r>
        <w:rPr>
          <w:rFonts w:hint="cs"/>
          <w:sz w:val="24"/>
          <w:szCs w:val="24"/>
          <w:rtl/>
        </w:rPr>
        <w:t xml:space="preserve">?  </w:t>
      </w:r>
    </w:p>
    <w:p w:rsidR="0010620B" w:rsidRDefault="0010620B" w:rsidP="0010620B">
      <w:pPr>
        <w:spacing w:before="200" w:line="276" w:lineRule="exact"/>
        <w:ind w:firstLine="227"/>
        <w:rPr>
          <w:sz w:val="24"/>
          <w:szCs w:val="24"/>
          <w:rtl/>
        </w:rPr>
      </w:pPr>
      <w:r>
        <w:rPr>
          <w:rFonts w:hint="cs"/>
          <w:sz w:val="24"/>
          <w:szCs w:val="24"/>
          <w:rtl/>
        </w:rPr>
        <w:t xml:space="preserve">יש להעמיק תמיהה זו, על בסיס ההבחנה היסודית הקיימת בין שני מושגים אלו </w:t>
      </w:r>
      <w:r>
        <w:rPr>
          <w:sz w:val="24"/>
          <w:szCs w:val="24"/>
          <w:rtl/>
        </w:rPr>
        <w:t>–</w:t>
      </w:r>
      <w:r>
        <w:rPr>
          <w:rFonts w:hint="cs"/>
          <w:sz w:val="24"/>
          <w:szCs w:val="24"/>
          <w:rtl/>
        </w:rPr>
        <w:t xml:space="preserve"> תשובה וכפרה. </w:t>
      </w:r>
      <w:r w:rsidRPr="00D25299">
        <w:rPr>
          <w:rFonts w:hint="cs"/>
          <w:sz w:val="24"/>
          <w:szCs w:val="24"/>
          <w:rtl/>
        </w:rPr>
        <w:t>תשובה</w:t>
      </w:r>
      <w:r w:rsidRPr="00D25299">
        <w:rPr>
          <w:sz w:val="24"/>
          <w:szCs w:val="24"/>
          <w:rtl/>
        </w:rPr>
        <w:t xml:space="preserve"> </w:t>
      </w:r>
      <w:r w:rsidRPr="00D25299">
        <w:rPr>
          <w:rFonts w:hint="cs"/>
          <w:sz w:val="24"/>
          <w:szCs w:val="24"/>
          <w:rtl/>
        </w:rPr>
        <w:t>היא</w:t>
      </w:r>
      <w:r w:rsidRPr="00D25299">
        <w:rPr>
          <w:sz w:val="24"/>
          <w:szCs w:val="24"/>
          <w:rtl/>
        </w:rPr>
        <w:t xml:space="preserve"> </w:t>
      </w:r>
      <w:r>
        <w:rPr>
          <w:rFonts w:hint="cs"/>
          <w:sz w:val="24"/>
          <w:szCs w:val="24"/>
          <w:rtl/>
        </w:rPr>
        <w:t>פעולת</w:t>
      </w:r>
      <w:r w:rsidRPr="00D25299">
        <w:rPr>
          <w:sz w:val="24"/>
          <w:szCs w:val="24"/>
          <w:rtl/>
        </w:rPr>
        <w:t xml:space="preserve"> </w:t>
      </w:r>
      <w:r w:rsidRPr="00D25299">
        <w:rPr>
          <w:rFonts w:hint="cs"/>
          <w:sz w:val="24"/>
          <w:szCs w:val="24"/>
          <w:rtl/>
        </w:rPr>
        <w:t>האדם</w:t>
      </w:r>
      <w:r w:rsidRPr="00D25299">
        <w:rPr>
          <w:sz w:val="24"/>
          <w:szCs w:val="24"/>
          <w:rtl/>
        </w:rPr>
        <w:t xml:space="preserve"> </w:t>
      </w:r>
      <w:r w:rsidRPr="00D25299">
        <w:rPr>
          <w:rFonts w:hint="cs"/>
          <w:sz w:val="24"/>
          <w:szCs w:val="24"/>
          <w:rtl/>
        </w:rPr>
        <w:t>המתקן</w:t>
      </w:r>
      <w:r w:rsidRPr="00D25299">
        <w:rPr>
          <w:sz w:val="24"/>
          <w:szCs w:val="24"/>
          <w:rtl/>
        </w:rPr>
        <w:t xml:space="preserve"> </w:t>
      </w:r>
      <w:r w:rsidRPr="00D25299">
        <w:rPr>
          <w:rFonts w:hint="cs"/>
          <w:sz w:val="24"/>
          <w:szCs w:val="24"/>
          <w:rtl/>
        </w:rPr>
        <w:t>את</w:t>
      </w:r>
      <w:r w:rsidRPr="00D25299">
        <w:rPr>
          <w:sz w:val="24"/>
          <w:szCs w:val="24"/>
          <w:rtl/>
        </w:rPr>
        <w:t xml:space="preserve"> </w:t>
      </w:r>
      <w:r w:rsidRPr="00D25299">
        <w:rPr>
          <w:rFonts w:hint="cs"/>
          <w:sz w:val="24"/>
          <w:szCs w:val="24"/>
          <w:rtl/>
        </w:rPr>
        <w:t>מעשיו</w:t>
      </w:r>
      <w:r w:rsidRPr="00D25299">
        <w:rPr>
          <w:sz w:val="24"/>
          <w:szCs w:val="24"/>
          <w:rtl/>
        </w:rPr>
        <w:t xml:space="preserve"> </w:t>
      </w:r>
      <w:r w:rsidRPr="00D25299">
        <w:rPr>
          <w:rFonts w:hint="cs"/>
          <w:sz w:val="24"/>
          <w:szCs w:val="24"/>
          <w:rtl/>
        </w:rPr>
        <w:t>הרעים</w:t>
      </w:r>
      <w:r w:rsidRPr="00D25299">
        <w:rPr>
          <w:sz w:val="24"/>
          <w:szCs w:val="24"/>
          <w:rtl/>
        </w:rPr>
        <w:t xml:space="preserve"> </w:t>
      </w:r>
      <w:r w:rsidRPr="00D25299">
        <w:rPr>
          <w:rFonts w:hint="cs"/>
          <w:sz w:val="24"/>
          <w:szCs w:val="24"/>
          <w:rtl/>
        </w:rPr>
        <w:t>ושב</w:t>
      </w:r>
      <w:r w:rsidRPr="00D25299">
        <w:rPr>
          <w:sz w:val="24"/>
          <w:szCs w:val="24"/>
          <w:rtl/>
        </w:rPr>
        <w:t xml:space="preserve"> </w:t>
      </w:r>
      <w:r w:rsidRPr="00D25299">
        <w:rPr>
          <w:rFonts w:hint="cs"/>
          <w:sz w:val="24"/>
          <w:szCs w:val="24"/>
          <w:rtl/>
        </w:rPr>
        <w:t>לדרך</w:t>
      </w:r>
      <w:r w:rsidRPr="00D25299">
        <w:rPr>
          <w:sz w:val="24"/>
          <w:szCs w:val="24"/>
          <w:rtl/>
        </w:rPr>
        <w:t xml:space="preserve"> </w:t>
      </w:r>
      <w:r w:rsidRPr="00D25299">
        <w:rPr>
          <w:rFonts w:hint="cs"/>
          <w:sz w:val="24"/>
          <w:szCs w:val="24"/>
          <w:rtl/>
        </w:rPr>
        <w:t>הישר</w:t>
      </w:r>
      <w:r w:rsidRPr="00D25299">
        <w:rPr>
          <w:sz w:val="24"/>
          <w:szCs w:val="24"/>
          <w:rtl/>
        </w:rPr>
        <w:t xml:space="preserve">. </w:t>
      </w:r>
      <w:r w:rsidRPr="00D25299">
        <w:rPr>
          <w:rFonts w:hint="cs"/>
          <w:sz w:val="24"/>
          <w:szCs w:val="24"/>
          <w:rtl/>
        </w:rPr>
        <w:t>כפרה</w:t>
      </w:r>
      <w:r w:rsidRPr="00D25299">
        <w:rPr>
          <w:sz w:val="24"/>
          <w:szCs w:val="24"/>
          <w:rtl/>
        </w:rPr>
        <w:t xml:space="preserve">, </w:t>
      </w:r>
      <w:r w:rsidRPr="00D25299">
        <w:rPr>
          <w:rFonts w:hint="cs"/>
          <w:sz w:val="24"/>
          <w:szCs w:val="24"/>
          <w:rtl/>
        </w:rPr>
        <w:t>לעומת</w:t>
      </w:r>
      <w:r w:rsidRPr="00D25299">
        <w:rPr>
          <w:sz w:val="24"/>
          <w:szCs w:val="24"/>
          <w:rtl/>
        </w:rPr>
        <w:t xml:space="preserve"> </w:t>
      </w:r>
      <w:r w:rsidRPr="00D25299">
        <w:rPr>
          <w:rFonts w:hint="cs"/>
          <w:sz w:val="24"/>
          <w:szCs w:val="24"/>
          <w:rtl/>
        </w:rPr>
        <w:t>זאת</w:t>
      </w:r>
      <w:r w:rsidRPr="00D25299">
        <w:rPr>
          <w:sz w:val="24"/>
          <w:szCs w:val="24"/>
          <w:rtl/>
        </w:rPr>
        <w:t xml:space="preserve">, </w:t>
      </w:r>
      <w:r w:rsidRPr="00D25299">
        <w:rPr>
          <w:rFonts w:hint="cs"/>
          <w:sz w:val="24"/>
          <w:szCs w:val="24"/>
          <w:rtl/>
        </w:rPr>
        <w:t>היא</w:t>
      </w:r>
      <w:r w:rsidRPr="00D25299">
        <w:rPr>
          <w:sz w:val="24"/>
          <w:szCs w:val="24"/>
          <w:rtl/>
        </w:rPr>
        <w:t xml:space="preserve"> </w:t>
      </w:r>
      <w:r>
        <w:rPr>
          <w:rFonts w:hint="cs"/>
          <w:sz w:val="24"/>
          <w:szCs w:val="24"/>
          <w:rtl/>
        </w:rPr>
        <w:t>פעולת</w:t>
      </w:r>
      <w:r w:rsidRPr="00D25299">
        <w:rPr>
          <w:sz w:val="24"/>
          <w:szCs w:val="24"/>
          <w:rtl/>
        </w:rPr>
        <w:t xml:space="preserve"> </w:t>
      </w:r>
      <w:r w:rsidRPr="00D25299">
        <w:rPr>
          <w:rFonts w:hint="cs"/>
          <w:sz w:val="24"/>
          <w:szCs w:val="24"/>
          <w:rtl/>
        </w:rPr>
        <w:t>ה</w:t>
      </w:r>
      <w:r w:rsidRPr="00D25299">
        <w:rPr>
          <w:sz w:val="24"/>
          <w:szCs w:val="24"/>
          <w:rtl/>
        </w:rPr>
        <w:t xml:space="preserve">', </w:t>
      </w:r>
      <w:r w:rsidRPr="00D25299">
        <w:rPr>
          <w:rFonts w:hint="cs"/>
          <w:sz w:val="24"/>
          <w:szCs w:val="24"/>
          <w:rtl/>
        </w:rPr>
        <w:t>המוחה</w:t>
      </w:r>
      <w:r w:rsidRPr="00D25299">
        <w:rPr>
          <w:sz w:val="24"/>
          <w:szCs w:val="24"/>
          <w:rtl/>
        </w:rPr>
        <w:t xml:space="preserve"> </w:t>
      </w:r>
      <w:r w:rsidRPr="00D25299">
        <w:rPr>
          <w:rFonts w:hint="cs"/>
          <w:sz w:val="24"/>
          <w:szCs w:val="24"/>
          <w:rtl/>
        </w:rPr>
        <w:t>את</w:t>
      </w:r>
      <w:r w:rsidRPr="00D25299">
        <w:rPr>
          <w:sz w:val="24"/>
          <w:szCs w:val="24"/>
          <w:rtl/>
        </w:rPr>
        <w:t xml:space="preserve"> </w:t>
      </w:r>
      <w:r w:rsidRPr="00D25299">
        <w:rPr>
          <w:rFonts w:hint="cs"/>
          <w:sz w:val="24"/>
          <w:szCs w:val="24"/>
          <w:rtl/>
        </w:rPr>
        <w:t>עוונותיו</w:t>
      </w:r>
      <w:r w:rsidRPr="00D25299">
        <w:rPr>
          <w:sz w:val="24"/>
          <w:szCs w:val="24"/>
          <w:rtl/>
        </w:rPr>
        <w:t xml:space="preserve"> </w:t>
      </w:r>
      <w:r w:rsidRPr="00D25299">
        <w:rPr>
          <w:rFonts w:hint="cs"/>
          <w:sz w:val="24"/>
          <w:szCs w:val="24"/>
          <w:rtl/>
        </w:rPr>
        <w:t>של</w:t>
      </w:r>
      <w:r w:rsidRPr="00D25299">
        <w:rPr>
          <w:sz w:val="24"/>
          <w:szCs w:val="24"/>
          <w:rtl/>
        </w:rPr>
        <w:t xml:space="preserve"> </w:t>
      </w:r>
      <w:r w:rsidRPr="00D25299">
        <w:rPr>
          <w:rFonts w:hint="cs"/>
          <w:sz w:val="24"/>
          <w:szCs w:val="24"/>
          <w:rtl/>
        </w:rPr>
        <w:t>האדם</w:t>
      </w:r>
      <w:r w:rsidRPr="00D25299">
        <w:rPr>
          <w:sz w:val="24"/>
          <w:szCs w:val="24"/>
          <w:rtl/>
        </w:rPr>
        <w:t xml:space="preserve"> </w:t>
      </w:r>
      <w:r w:rsidRPr="00D25299">
        <w:rPr>
          <w:rFonts w:hint="cs"/>
          <w:sz w:val="24"/>
          <w:szCs w:val="24"/>
          <w:rtl/>
        </w:rPr>
        <w:t>ומנקה</w:t>
      </w:r>
      <w:r w:rsidRPr="00D25299">
        <w:rPr>
          <w:sz w:val="24"/>
          <w:szCs w:val="24"/>
          <w:rtl/>
        </w:rPr>
        <w:t xml:space="preserve"> </w:t>
      </w:r>
      <w:r w:rsidRPr="00D25299">
        <w:rPr>
          <w:rFonts w:hint="cs"/>
          <w:sz w:val="24"/>
          <w:szCs w:val="24"/>
          <w:rtl/>
        </w:rPr>
        <w:t>אותו</w:t>
      </w:r>
      <w:r w:rsidRPr="00D25299">
        <w:rPr>
          <w:sz w:val="24"/>
          <w:szCs w:val="24"/>
          <w:rtl/>
        </w:rPr>
        <w:t xml:space="preserve"> </w:t>
      </w:r>
      <w:r w:rsidRPr="00D25299">
        <w:rPr>
          <w:rFonts w:hint="cs"/>
          <w:sz w:val="24"/>
          <w:szCs w:val="24"/>
          <w:rtl/>
        </w:rPr>
        <w:t>מזוהמת</w:t>
      </w:r>
      <w:r w:rsidRPr="00D25299">
        <w:rPr>
          <w:sz w:val="24"/>
          <w:szCs w:val="24"/>
          <w:rtl/>
        </w:rPr>
        <w:t xml:space="preserve"> </w:t>
      </w:r>
      <w:r w:rsidRPr="00D25299">
        <w:rPr>
          <w:rFonts w:hint="cs"/>
          <w:sz w:val="24"/>
          <w:szCs w:val="24"/>
          <w:rtl/>
        </w:rPr>
        <w:t>החטא</w:t>
      </w:r>
      <w:r w:rsidRPr="00D25299">
        <w:rPr>
          <w:sz w:val="24"/>
          <w:szCs w:val="24"/>
          <w:rtl/>
        </w:rPr>
        <w:t>.</w:t>
      </w:r>
      <w:r>
        <w:rPr>
          <w:rFonts w:hint="cs"/>
          <w:sz w:val="24"/>
          <w:szCs w:val="24"/>
          <w:rtl/>
        </w:rPr>
        <w:t xml:space="preserve"> לפי זה נראה שיום הכיפורים ביסודו הוא יום כפרה, יום מחיית העוונות, ואם כן כיצד הרמב"ם מגדיר את יום הכיפורים כ"זמן תשובה לכל"?</w:t>
      </w:r>
    </w:p>
    <w:p w:rsidR="0010620B" w:rsidRDefault="0010620B" w:rsidP="0010620B">
      <w:pPr>
        <w:spacing w:before="200" w:line="276" w:lineRule="exact"/>
        <w:ind w:firstLine="227"/>
        <w:rPr>
          <w:sz w:val="24"/>
          <w:szCs w:val="24"/>
          <w:rtl/>
        </w:rPr>
      </w:pPr>
      <w:r>
        <w:rPr>
          <w:rFonts w:hint="cs"/>
          <w:sz w:val="24"/>
          <w:szCs w:val="24"/>
          <w:rtl/>
        </w:rPr>
        <w:lastRenderedPageBreak/>
        <w:t>בדברי רבנו יונה ב'שערי תשובה' מובא מקור למצות עשיית תשובה ביום הכיפורים:</w:t>
      </w:r>
    </w:p>
    <w:p w:rsidR="0010620B" w:rsidRPr="00E80BE0" w:rsidRDefault="0010620B" w:rsidP="0010620B">
      <w:pPr>
        <w:spacing w:before="200" w:line="276" w:lineRule="exact"/>
        <w:ind w:left="720"/>
        <w:rPr>
          <w:sz w:val="20"/>
          <w:szCs w:val="20"/>
          <w:rtl/>
        </w:rPr>
      </w:pPr>
      <w:r w:rsidRPr="00E80BE0">
        <w:rPr>
          <w:sz w:val="24"/>
          <w:szCs w:val="24"/>
          <w:rtl/>
        </w:rPr>
        <w:t>ומצות עשה מן התורה להעיר אדם את רוחו לחזור בתשובה ביום הכפורים, שנאמר</w:t>
      </w:r>
      <w:r>
        <w:rPr>
          <w:sz w:val="24"/>
          <w:szCs w:val="24"/>
          <w:rtl/>
        </w:rPr>
        <w:t xml:space="preserve">: </w:t>
      </w:r>
      <w:r>
        <w:rPr>
          <w:rFonts w:hint="cs"/>
          <w:sz w:val="24"/>
          <w:szCs w:val="24"/>
          <w:rtl/>
        </w:rPr>
        <w:t>'</w:t>
      </w:r>
      <w:r>
        <w:rPr>
          <w:sz w:val="24"/>
          <w:szCs w:val="24"/>
          <w:rtl/>
        </w:rPr>
        <w:t>מכל חטאתיכם לפני ה' תטהרו</w:t>
      </w:r>
      <w:r>
        <w:rPr>
          <w:rFonts w:hint="cs"/>
          <w:sz w:val="24"/>
          <w:szCs w:val="24"/>
          <w:rtl/>
        </w:rPr>
        <w:t>'</w:t>
      </w:r>
      <w:r w:rsidRPr="00E80BE0">
        <w:rPr>
          <w:sz w:val="24"/>
          <w:szCs w:val="24"/>
          <w:rtl/>
        </w:rPr>
        <w:t>, על כן הזהירנו הכתוב שנטהר לפני ה' בתשובתנו והוא יכפר עלינו ביום הזה לטהר אותנו.</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[שערי תשובה ב, יד]</w:t>
      </w:r>
    </w:p>
    <w:p w:rsidR="0010620B" w:rsidRDefault="0010620B" w:rsidP="0010620B">
      <w:pPr>
        <w:spacing w:before="200" w:line="276" w:lineRule="exact"/>
        <w:ind w:firstLine="227"/>
        <w:rPr>
          <w:sz w:val="24"/>
          <w:szCs w:val="24"/>
          <w:rtl/>
        </w:rPr>
      </w:pPr>
      <w:r>
        <w:rPr>
          <w:rFonts w:hint="cs"/>
          <w:sz w:val="24"/>
          <w:szCs w:val="24"/>
          <w:rtl/>
        </w:rPr>
        <w:t xml:space="preserve">לדברי רבנו יונה קיימת מצות עשה מן התורה לשוב בתשובה ביום הכיפורים, ומקורה של מצוה זו בכתוב "מכל חטאתיכם לפני ה' תטהרו" </w:t>
      </w:r>
      <w:r>
        <w:rPr>
          <w:sz w:val="24"/>
          <w:szCs w:val="24"/>
          <w:rtl/>
        </w:rPr>
        <w:t>–</w:t>
      </w:r>
      <w:r>
        <w:rPr>
          <w:rFonts w:hint="cs"/>
          <w:sz w:val="24"/>
          <w:szCs w:val="24"/>
          <w:rtl/>
        </w:rPr>
        <w:t xml:space="preserve"> חובה להיטהר ולשוב בתשובה ביום הכיפורים</w:t>
      </w:r>
      <w:r>
        <w:rPr>
          <w:rStyle w:val="a7"/>
          <w:sz w:val="24"/>
          <w:szCs w:val="24"/>
          <w:rtl/>
        </w:rPr>
        <w:footnoteReference w:id="222"/>
      </w:r>
      <w:r>
        <w:rPr>
          <w:rFonts w:hint="cs"/>
          <w:sz w:val="24"/>
          <w:szCs w:val="24"/>
          <w:rtl/>
        </w:rPr>
        <w:t xml:space="preserve">. לפי דבריו נראה שיום הכיפורים הוא בעל אופי כפול: הוא גם יום בו ה' מכפר על האדם </w:t>
      </w:r>
      <w:r>
        <w:rPr>
          <w:sz w:val="24"/>
          <w:szCs w:val="24"/>
          <w:rtl/>
        </w:rPr>
        <w:t>–</w:t>
      </w:r>
      <w:r>
        <w:rPr>
          <w:rFonts w:hint="cs"/>
          <w:sz w:val="24"/>
          <w:szCs w:val="24"/>
          <w:rtl/>
        </w:rPr>
        <w:t xml:space="preserve"> "כי ביום הזה יכפר עליכם לטהר אתכם", וגם יום בו מוטלת על האדם חובה לשוב בתשובה ולהיטהר לפני ה' </w:t>
      </w:r>
      <w:r>
        <w:rPr>
          <w:sz w:val="24"/>
          <w:szCs w:val="24"/>
          <w:rtl/>
        </w:rPr>
        <w:t>–</w:t>
      </w:r>
      <w:r>
        <w:rPr>
          <w:rFonts w:hint="cs"/>
          <w:sz w:val="24"/>
          <w:szCs w:val="24"/>
          <w:rtl/>
        </w:rPr>
        <w:t xml:space="preserve"> "מכל חטאתיכם לפני ה' תטהרו". אמנם, מדברי הרמב"ם נראה שלא כדברי רבנו יונה. הרמב"ם אינו מבסס את דבריו על הכתוב "מכל חטאתיכם לפני ה' תטהרו", והוא אינו מונה את מצות התשובה ביום הכיפורים כמצוה בפני עצמה. מכך נראה שלשיטתו אין מצוה פורמאלית על תשובה ביום הכיפורים, ואף על פי כן קיימת חובה לשוב בתשובה ולהתוודות ביום הכיפורים, הואיל והתשובה היא מהותו ומגמתו של יום הכיפורים.</w:t>
      </w:r>
    </w:p>
    <w:p w:rsidR="0010620B" w:rsidRDefault="0010620B" w:rsidP="0010620B">
      <w:pPr>
        <w:spacing w:before="200" w:line="276" w:lineRule="exact"/>
        <w:ind w:firstLine="227"/>
        <w:rPr>
          <w:sz w:val="24"/>
          <w:szCs w:val="24"/>
          <w:rtl/>
        </w:rPr>
      </w:pPr>
      <w:r>
        <w:rPr>
          <w:rFonts w:hint="cs"/>
          <w:sz w:val="24"/>
          <w:szCs w:val="24"/>
          <w:rtl/>
        </w:rPr>
        <w:t>הגדרה זו מפורשת בדברי הרמב"ם במורה הנבוכים:</w:t>
      </w:r>
    </w:p>
    <w:p w:rsidR="0010620B" w:rsidRDefault="0010620B" w:rsidP="0010620B">
      <w:pPr>
        <w:spacing w:before="200" w:line="276" w:lineRule="exact"/>
        <w:ind w:left="720"/>
        <w:rPr>
          <w:sz w:val="24"/>
          <w:szCs w:val="24"/>
        </w:rPr>
      </w:pPr>
      <w:r>
        <w:rPr>
          <w:rFonts w:hint="cs"/>
          <w:b/>
          <w:bCs/>
          <w:sz w:val="24"/>
          <w:szCs w:val="24"/>
          <w:rtl/>
        </w:rPr>
        <w:t xml:space="preserve">וגם עניין יום צום כיפור טעמו ברור למתן רעיון </w:t>
      </w:r>
      <w:r w:rsidRPr="001D27F7">
        <w:rPr>
          <w:rFonts w:hint="cs"/>
          <w:b/>
          <w:bCs/>
          <w:sz w:val="24"/>
          <w:szCs w:val="24"/>
          <w:rtl/>
        </w:rPr>
        <w:t>התשובה</w:t>
      </w:r>
      <w:r>
        <w:rPr>
          <w:rFonts w:hint="cs"/>
          <w:sz w:val="24"/>
          <w:szCs w:val="24"/>
          <w:rtl/>
        </w:rPr>
        <w:t>, והוא היום אשר ירד בו אדון הנביאים בלוחות שניות ובשרם במחילת חטאם הגדול, ונעשה אותו היום לעולם יום תשובה ועבודה בלבד, ולפיכך נמנעה בו כל הנאה גופנית, וכל עסק בתועלת גופנית, כלומר עשיית המלאכות, ונצטמצמנו בו על הוידויים, כלומר ההודאה בחטאים והתשובה מהן.</w:t>
      </w:r>
    </w:p>
    <w:p w:rsidR="0010620B" w:rsidRPr="00EA1802" w:rsidRDefault="0010620B" w:rsidP="0010620B">
      <w:pPr>
        <w:spacing w:before="200" w:line="276" w:lineRule="exact"/>
        <w:ind w:left="720"/>
        <w:jc w:val="right"/>
        <w:rPr>
          <w:sz w:val="20"/>
          <w:szCs w:val="20"/>
          <w:rtl/>
        </w:rPr>
      </w:pPr>
      <w:r>
        <w:rPr>
          <w:rFonts w:hint="cs"/>
          <w:sz w:val="20"/>
          <w:szCs w:val="20"/>
          <w:rtl/>
        </w:rPr>
        <w:t>[מורה הנבוכים ג, מג]</w:t>
      </w:r>
    </w:p>
    <w:p w:rsidR="0010620B" w:rsidRDefault="0010620B" w:rsidP="0010620B">
      <w:pPr>
        <w:spacing w:before="200" w:line="276" w:lineRule="exact"/>
        <w:ind w:firstLine="227"/>
        <w:rPr>
          <w:sz w:val="24"/>
          <w:szCs w:val="24"/>
          <w:rtl/>
        </w:rPr>
      </w:pPr>
      <w:r>
        <w:rPr>
          <w:rFonts w:hint="cs"/>
          <w:sz w:val="24"/>
          <w:szCs w:val="24"/>
          <w:rtl/>
        </w:rPr>
        <w:t>הרמב"ם מגדיר את התשובה ותיקון המעשים הרעים כתכליתו של יום הכיפורים. נראה כי לשיטתו התורה קבעה את יום הכיפורים כיום כפרת העוונות בכל שנה, כדי שהאדם ישוב ביום זה בתשובה</w:t>
      </w:r>
      <w:r>
        <w:rPr>
          <w:rStyle w:val="a7"/>
          <w:sz w:val="24"/>
          <w:szCs w:val="24"/>
          <w:rtl/>
        </w:rPr>
        <w:footnoteReference w:id="223"/>
      </w:r>
      <w:r>
        <w:rPr>
          <w:rFonts w:hint="cs"/>
          <w:sz w:val="24"/>
          <w:szCs w:val="24"/>
          <w:rtl/>
        </w:rPr>
        <w:t>. על פי תפיסתו זו, התשובה היא ליבו של יום הכיפורים. לכן, על אף שאין מצוה פורמאלית על עשיית תשובה ביום הכיפורים, העובדה שזו מהותו ומגמתו של היום מטילה על האדם חובה לעשות תשובה ביום זה.</w:t>
      </w:r>
    </w:p>
    <w:p w:rsidR="0010620B" w:rsidRDefault="0010620B" w:rsidP="0010620B">
      <w:pPr>
        <w:spacing w:before="200" w:line="276" w:lineRule="exact"/>
        <w:ind w:firstLine="227"/>
        <w:rPr>
          <w:sz w:val="24"/>
          <w:szCs w:val="24"/>
          <w:rtl/>
        </w:rPr>
      </w:pPr>
      <w:r>
        <w:rPr>
          <w:rFonts w:hint="cs"/>
          <w:sz w:val="24"/>
          <w:szCs w:val="24"/>
          <w:rtl/>
        </w:rPr>
        <w:t xml:space="preserve">נראה שבין בה"ג וסיעתו לבין הרמב"ם קיימת מחלוקת מהותית בהבנת היחס בין התשובה לכפרה ביום הכיפורים. לפי בה"ג וסיעתו, </w:t>
      </w:r>
      <w:r w:rsidRPr="00D363DE">
        <w:rPr>
          <w:rFonts w:hint="cs"/>
          <w:b/>
          <w:bCs/>
          <w:sz w:val="24"/>
          <w:szCs w:val="24"/>
          <w:rtl/>
        </w:rPr>
        <w:t>מגמת יום הכיפורים היא כפרת העוונות</w:t>
      </w:r>
      <w:r>
        <w:rPr>
          <w:rFonts w:hint="cs"/>
          <w:sz w:val="24"/>
          <w:szCs w:val="24"/>
          <w:rtl/>
        </w:rPr>
        <w:t xml:space="preserve">, וחובת הוידוי נובעת מחמת הכפרה הנעשית ביום זה. לעומת זאת, לפי הרמב"ם, </w:t>
      </w:r>
      <w:r w:rsidRPr="00D363DE">
        <w:rPr>
          <w:rFonts w:hint="cs"/>
          <w:b/>
          <w:bCs/>
          <w:sz w:val="24"/>
          <w:szCs w:val="24"/>
          <w:rtl/>
        </w:rPr>
        <w:t>מגמת יום הכיפורים היא תשובת האדם</w:t>
      </w:r>
      <w:r>
        <w:rPr>
          <w:rFonts w:hint="cs"/>
          <w:sz w:val="24"/>
          <w:szCs w:val="24"/>
          <w:rtl/>
        </w:rPr>
        <w:t xml:space="preserve"> ותיקון מעשיו הרעים, ובשל כך קיימת חובת וידוי ביום הכיפורים, ואילו הכפרה הנעשית ביום זה באה כדי ליצור יום המיוחד לתשובה.</w:t>
      </w:r>
    </w:p>
    <w:p w:rsidR="0010620B" w:rsidRDefault="0010620B" w:rsidP="0010620B">
      <w:pPr>
        <w:spacing w:before="200" w:line="276" w:lineRule="exact"/>
        <w:ind w:firstLine="227"/>
        <w:rPr>
          <w:sz w:val="24"/>
          <w:szCs w:val="24"/>
          <w:rtl/>
        </w:rPr>
      </w:pPr>
    </w:p>
    <w:p w:rsidR="0010620B" w:rsidRDefault="0010620B" w:rsidP="0010620B">
      <w:pPr>
        <w:spacing w:before="200" w:line="276" w:lineRule="exact"/>
        <w:ind w:firstLine="227"/>
        <w:rPr>
          <w:sz w:val="24"/>
          <w:szCs w:val="24"/>
          <w:rtl/>
        </w:rPr>
      </w:pPr>
      <w:r>
        <w:rPr>
          <w:rFonts w:hint="cs"/>
          <w:sz w:val="24"/>
          <w:szCs w:val="24"/>
          <w:rtl/>
        </w:rPr>
        <w:t>מדברי ספר החינוך עולה שיטה ייחודית בעניין זה. ספר החינוך מונה את הוידוי כמצות עשה:</w:t>
      </w:r>
    </w:p>
    <w:p w:rsidR="0010620B" w:rsidRDefault="0010620B" w:rsidP="0010620B">
      <w:pPr>
        <w:spacing w:before="200" w:line="276" w:lineRule="exact"/>
        <w:ind w:left="720"/>
        <w:rPr>
          <w:sz w:val="24"/>
          <w:szCs w:val="24"/>
          <w:rtl/>
        </w:rPr>
      </w:pPr>
      <w:r w:rsidRPr="0084414C">
        <w:rPr>
          <w:rFonts w:hint="cs"/>
          <w:sz w:val="24"/>
          <w:szCs w:val="24"/>
          <w:rtl/>
        </w:rPr>
        <w:t>שנצט</w:t>
      </w:r>
      <w:r>
        <w:rPr>
          <w:rFonts w:hint="cs"/>
          <w:sz w:val="24"/>
          <w:szCs w:val="24"/>
          <w:rtl/>
        </w:rPr>
        <w:t>ו</w:t>
      </w:r>
      <w:r w:rsidRPr="0084414C">
        <w:rPr>
          <w:rFonts w:hint="cs"/>
          <w:sz w:val="24"/>
          <w:szCs w:val="24"/>
          <w:rtl/>
        </w:rPr>
        <w:t>וינו</w:t>
      </w:r>
      <w:r w:rsidRPr="0084414C">
        <w:rPr>
          <w:sz w:val="24"/>
          <w:szCs w:val="24"/>
          <w:rtl/>
        </w:rPr>
        <w:t xml:space="preserve"> </w:t>
      </w:r>
      <w:r w:rsidRPr="0084414C">
        <w:rPr>
          <w:rFonts w:hint="cs"/>
          <w:sz w:val="24"/>
          <w:szCs w:val="24"/>
          <w:rtl/>
        </w:rPr>
        <w:t>להתו</w:t>
      </w:r>
      <w:r>
        <w:rPr>
          <w:rFonts w:hint="cs"/>
          <w:sz w:val="24"/>
          <w:szCs w:val="24"/>
          <w:rtl/>
        </w:rPr>
        <w:t>ו</w:t>
      </w:r>
      <w:r w:rsidRPr="0084414C">
        <w:rPr>
          <w:rFonts w:hint="cs"/>
          <w:sz w:val="24"/>
          <w:szCs w:val="24"/>
          <w:rtl/>
        </w:rPr>
        <w:t>דות</w:t>
      </w:r>
      <w:r w:rsidRPr="0084414C">
        <w:rPr>
          <w:sz w:val="24"/>
          <w:szCs w:val="24"/>
          <w:rtl/>
        </w:rPr>
        <w:t xml:space="preserve"> </w:t>
      </w:r>
      <w:r w:rsidRPr="0084414C">
        <w:rPr>
          <w:rFonts w:hint="cs"/>
          <w:sz w:val="24"/>
          <w:szCs w:val="24"/>
          <w:rtl/>
        </w:rPr>
        <w:t>לפני</w:t>
      </w:r>
      <w:r w:rsidRPr="0084414C">
        <w:rPr>
          <w:sz w:val="24"/>
          <w:szCs w:val="24"/>
          <w:rtl/>
        </w:rPr>
        <w:t xml:space="preserve"> </w:t>
      </w:r>
      <w:r w:rsidRPr="0084414C">
        <w:rPr>
          <w:rFonts w:hint="cs"/>
          <w:sz w:val="24"/>
          <w:szCs w:val="24"/>
          <w:rtl/>
        </w:rPr>
        <w:t>ה</w:t>
      </w:r>
      <w:r w:rsidRPr="0084414C">
        <w:rPr>
          <w:sz w:val="24"/>
          <w:szCs w:val="24"/>
          <w:rtl/>
        </w:rPr>
        <w:t xml:space="preserve">' </w:t>
      </w:r>
      <w:r w:rsidRPr="0084414C">
        <w:rPr>
          <w:rFonts w:hint="cs"/>
          <w:sz w:val="24"/>
          <w:szCs w:val="24"/>
          <w:rtl/>
        </w:rPr>
        <w:t>על</w:t>
      </w:r>
      <w:r w:rsidRPr="0084414C">
        <w:rPr>
          <w:sz w:val="24"/>
          <w:szCs w:val="24"/>
          <w:rtl/>
        </w:rPr>
        <w:t xml:space="preserve"> </w:t>
      </w:r>
      <w:r w:rsidRPr="0084414C">
        <w:rPr>
          <w:rFonts w:hint="cs"/>
          <w:sz w:val="24"/>
          <w:szCs w:val="24"/>
          <w:rtl/>
        </w:rPr>
        <w:t>כל</w:t>
      </w:r>
      <w:r w:rsidRPr="0084414C">
        <w:rPr>
          <w:sz w:val="24"/>
          <w:szCs w:val="24"/>
          <w:rtl/>
        </w:rPr>
        <w:t xml:space="preserve"> </w:t>
      </w:r>
      <w:r w:rsidRPr="0084414C">
        <w:rPr>
          <w:rFonts w:hint="cs"/>
          <w:sz w:val="24"/>
          <w:szCs w:val="24"/>
          <w:rtl/>
        </w:rPr>
        <w:t>החטאים</w:t>
      </w:r>
      <w:r w:rsidRPr="0084414C">
        <w:rPr>
          <w:sz w:val="24"/>
          <w:szCs w:val="24"/>
          <w:rtl/>
        </w:rPr>
        <w:t xml:space="preserve"> </w:t>
      </w:r>
      <w:r w:rsidRPr="0084414C">
        <w:rPr>
          <w:rFonts w:hint="cs"/>
          <w:sz w:val="24"/>
          <w:szCs w:val="24"/>
          <w:rtl/>
        </w:rPr>
        <w:t>שחטאנו</w:t>
      </w:r>
      <w:r w:rsidRPr="0084414C">
        <w:rPr>
          <w:sz w:val="24"/>
          <w:szCs w:val="24"/>
          <w:rtl/>
        </w:rPr>
        <w:t xml:space="preserve"> </w:t>
      </w:r>
      <w:r w:rsidRPr="0084414C">
        <w:rPr>
          <w:rFonts w:hint="cs"/>
          <w:sz w:val="24"/>
          <w:szCs w:val="24"/>
          <w:rtl/>
        </w:rPr>
        <w:t>בעת</w:t>
      </w:r>
      <w:r w:rsidRPr="0084414C">
        <w:rPr>
          <w:sz w:val="24"/>
          <w:szCs w:val="24"/>
          <w:rtl/>
        </w:rPr>
        <w:t xml:space="preserve"> </w:t>
      </w:r>
      <w:r w:rsidRPr="0084414C">
        <w:rPr>
          <w:rFonts w:hint="cs"/>
          <w:sz w:val="24"/>
          <w:szCs w:val="24"/>
          <w:rtl/>
        </w:rPr>
        <w:t>שנתנחם</w:t>
      </w:r>
      <w:r w:rsidRPr="0084414C">
        <w:rPr>
          <w:sz w:val="24"/>
          <w:szCs w:val="24"/>
          <w:rtl/>
        </w:rPr>
        <w:t xml:space="preserve"> </w:t>
      </w:r>
      <w:r w:rsidRPr="0084414C">
        <w:rPr>
          <w:rFonts w:hint="cs"/>
          <w:sz w:val="24"/>
          <w:szCs w:val="24"/>
          <w:rtl/>
        </w:rPr>
        <w:t>עליהן</w:t>
      </w:r>
      <w:r w:rsidRPr="0084414C">
        <w:rPr>
          <w:sz w:val="24"/>
          <w:szCs w:val="24"/>
          <w:rtl/>
        </w:rPr>
        <w:t xml:space="preserve">, </w:t>
      </w:r>
      <w:r w:rsidRPr="0084414C">
        <w:rPr>
          <w:rFonts w:hint="cs"/>
          <w:sz w:val="24"/>
          <w:szCs w:val="24"/>
          <w:rtl/>
        </w:rPr>
        <w:t>וזהו</w:t>
      </w:r>
      <w:r w:rsidRPr="0084414C">
        <w:rPr>
          <w:sz w:val="24"/>
          <w:szCs w:val="24"/>
          <w:rtl/>
        </w:rPr>
        <w:t xml:space="preserve"> </w:t>
      </w:r>
      <w:r w:rsidRPr="0084414C">
        <w:rPr>
          <w:rFonts w:hint="cs"/>
          <w:sz w:val="24"/>
          <w:szCs w:val="24"/>
          <w:rtl/>
        </w:rPr>
        <w:t>ענין</w:t>
      </w:r>
      <w:r w:rsidRPr="0084414C">
        <w:rPr>
          <w:sz w:val="24"/>
          <w:szCs w:val="24"/>
          <w:rtl/>
        </w:rPr>
        <w:t xml:space="preserve"> </w:t>
      </w:r>
      <w:r w:rsidRPr="0084414C">
        <w:rPr>
          <w:rFonts w:hint="cs"/>
          <w:sz w:val="24"/>
          <w:szCs w:val="24"/>
          <w:rtl/>
        </w:rPr>
        <w:t>הוידוי</w:t>
      </w:r>
      <w:r w:rsidRPr="0084414C">
        <w:rPr>
          <w:sz w:val="24"/>
          <w:szCs w:val="24"/>
          <w:rtl/>
        </w:rPr>
        <w:t xml:space="preserve"> </w:t>
      </w:r>
      <w:r w:rsidRPr="0084414C">
        <w:rPr>
          <w:rFonts w:hint="cs"/>
          <w:sz w:val="24"/>
          <w:szCs w:val="24"/>
          <w:rtl/>
        </w:rPr>
        <w:t>שיאמר</w:t>
      </w:r>
      <w:r w:rsidRPr="0084414C">
        <w:rPr>
          <w:sz w:val="24"/>
          <w:szCs w:val="24"/>
          <w:rtl/>
        </w:rPr>
        <w:t xml:space="preserve"> </w:t>
      </w:r>
      <w:r w:rsidRPr="0084414C">
        <w:rPr>
          <w:rFonts w:hint="cs"/>
          <w:sz w:val="24"/>
          <w:szCs w:val="24"/>
          <w:rtl/>
        </w:rPr>
        <w:t>האדם</w:t>
      </w:r>
      <w:r w:rsidRPr="0084414C">
        <w:rPr>
          <w:sz w:val="24"/>
          <w:szCs w:val="24"/>
          <w:rtl/>
        </w:rPr>
        <w:t xml:space="preserve"> </w:t>
      </w:r>
      <w:r w:rsidRPr="0084414C">
        <w:rPr>
          <w:rFonts w:hint="cs"/>
          <w:sz w:val="24"/>
          <w:szCs w:val="24"/>
          <w:rtl/>
        </w:rPr>
        <w:t>בעת</w:t>
      </w:r>
      <w:r w:rsidRPr="0084414C">
        <w:rPr>
          <w:sz w:val="24"/>
          <w:szCs w:val="24"/>
          <w:rtl/>
        </w:rPr>
        <w:t xml:space="preserve"> </w:t>
      </w:r>
      <w:r w:rsidRPr="0084414C">
        <w:rPr>
          <w:rFonts w:hint="cs"/>
          <w:sz w:val="24"/>
          <w:szCs w:val="24"/>
          <w:rtl/>
        </w:rPr>
        <w:t>התשובה</w:t>
      </w:r>
      <w:r>
        <w:rPr>
          <w:rFonts w:hint="cs"/>
          <w:sz w:val="24"/>
          <w:szCs w:val="24"/>
          <w:rtl/>
        </w:rPr>
        <w:t>:</w:t>
      </w:r>
      <w:r w:rsidRPr="0084414C">
        <w:rPr>
          <w:sz w:val="24"/>
          <w:szCs w:val="24"/>
          <w:rtl/>
        </w:rPr>
        <w:t xml:space="preserve"> </w:t>
      </w:r>
      <w:r>
        <w:rPr>
          <w:rFonts w:hint="cs"/>
          <w:sz w:val="24"/>
          <w:szCs w:val="24"/>
          <w:rtl/>
        </w:rPr>
        <w:t>'</w:t>
      </w:r>
      <w:r w:rsidRPr="0084414C">
        <w:rPr>
          <w:rFonts w:hint="cs"/>
          <w:sz w:val="24"/>
          <w:szCs w:val="24"/>
          <w:rtl/>
        </w:rPr>
        <w:t>אנא</w:t>
      </w:r>
      <w:r w:rsidRPr="0084414C">
        <w:rPr>
          <w:sz w:val="24"/>
          <w:szCs w:val="24"/>
          <w:rtl/>
        </w:rPr>
        <w:t xml:space="preserve"> </w:t>
      </w:r>
      <w:r w:rsidRPr="0084414C">
        <w:rPr>
          <w:rFonts w:hint="cs"/>
          <w:sz w:val="24"/>
          <w:szCs w:val="24"/>
          <w:rtl/>
        </w:rPr>
        <w:t>השם</w:t>
      </w:r>
      <w:r w:rsidRPr="0084414C">
        <w:rPr>
          <w:sz w:val="24"/>
          <w:szCs w:val="24"/>
          <w:rtl/>
        </w:rPr>
        <w:t xml:space="preserve"> </w:t>
      </w:r>
      <w:r w:rsidRPr="0084414C">
        <w:rPr>
          <w:rFonts w:hint="cs"/>
          <w:sz w:val="24"/>
          <w:szCs w:val="24"/>
          <w:rtl/>
        </w:rPr>
        <w:t>חטאתי</w:t>
      </w:r>
      <w:r w:rsidRPr="0084414C">
        <w:rPr>
          <w:sz w:val="24"/>
          <w:szCs w:val="24"/>
          <w:rtl/>
        </w:rPr>
        <w:t xml:space="preserve"> </w:t>
      </w:r>
      <w:r w:rsidRPr="0084414C">
        <w:rPr>
          <w:rFonts w:hint="cs"/>
          <w:sz w:val="24"/>
          <w:szCs w:val="24"/>
          <w:rtl/>
        </w:rPr>
        <w:t>עויתי</w:t>
      </w:r>
      <w:r w:rsidRPr="0084414C">
        <w:rPr>
          <w:sz w:val="24"/>
          <w:szCs w:val="24"/>
          <w:rtl/>
        </w:rPr>
        <w:t xml:space="preserve"> </w:t>
      </w:r>
      <w:r w:rsidRPr="0084414C">
        <w:rPr>
          <w:rFonts w:hint="cs"/>
          <w:sz w:val="24"/>
          <w:szCs w:val="24"/>
          <w:rtl/>
        </w:rPr>
        <w:t>ופשעתי</w:t>
      </w:r>
      <w:r w:rsidRPr="0084414C">
        <w:rPr>
          <w:sz w:val="24"/>
          <w:szCs w:val="24"/>
          <w:rtl/>
        </w:rPr>
        <w:t xml:space="preserve"> </w:t>
      </w:r>
      <w:r w:rsidRPr="0084414C">
        <w:rPr>
          <w:rFonts w:hint="cs"/>
          <w:sz w:val="24"/>
          <w:szCs w:val="24"/>
          <w:rtl/>
        </w:rPr>
        <w:t>כן</w:t>
      </w:r>
      <w:r w:rsidRPr="0084414C">
        <w:rPr>
          <w:sz w:val="24"/>
          <w:szCs w:val="24"/>
          <w:rtl/>
        </w:rPr>
        <w:t xml:space="preserve"> </w:t>
      </w:r>
      <w:r w:rsidRPr="0084414C">
        <w:rPr>
          <w:rFonts w:hint="cs"/>
          <w:sz w:val="24"/>
          <w:szCs w:val="24"/>
          <w:rtl/>
        </w:rPr>
        <w:t>וכן</w:t>
      </w:r>
      <w:r>
        <w:rPr>
          <w:rFonts w:hint="cs"/>
          <w:sz w:val="24"/>
          <w:szCs w:val="24"/>
          <w:rtl/>
        </w:rPr>
        <w:t>'</w:t>
      </w:r>
      <w:r w:rsidRPr="0084414C">
        <w:rPr>
          <w:sz w:val="24"/>
          <w:szCs w:val="24"/>
          <w:rtl/>
        </w:rPr>
        <w:t xml:space="preserve">, </w:t>
      </w:r>
      <w:r w:rsidRPr="0084414C">
        <w:rPr>
          <w:rFonts w:hint="cs"/>
          <w:sz w:val="24"/>
          <w:szCs w:val="24"/>
          <w:rtl/>
        </w:rPr>
        <w:t>כלומר</w:t>
      </w:r>
      <w:r w:rsidRPr="0084414C">
        <w:rPr>
          <w:sz w:val="24"/>
          <w:szCs w:val="24"/>
          <w:rtl/>
        </w:rPr>
        <w:t xml:space="preserve"> </w:t>
      </w:r>
      <w:r w:rsidRPr="0084414C">
        <w:rPr>
          <w:rFonts w:hint="cs"/>
          <w:sz w:val="24"/>
          <w:szCs w:val="24"/>
          <w:rtl/>
        </w:rPr>
        <w:t>שיזכיר</w:t>
      </w:r>
      <w:r w:rsidRPr="0084414C">
        <w:rPr>
          <w:sz w:val="24"/>
          <w:szCs w:val="24"/>
          <w:rtl/>
        </w:rPr>
        <w:t xml:space="preserve"> </w:t>
      </w:r>
      <w:r w:rsidRPr="0084414C">
        <w:rPr>
          <w:rFonts w:hint="cs"/>
          <w:sz w:val="24"/>
          <w:szCs w:val="24"/>
          <w:rtl/>
        </w:rPr>
        <w:t>החטא</w:t>
      </w:r>
      <w:r w:rsidRPr="0084414C">
        <w:rPr>
          <w:sz w:val="24"/>
          <w:szCs w:val="24"/>
          <w:rtl/>
        </w:rPr>
        <w:t xml:space="preserve"> </w:t>
      </w:r>
      <w:r w:rsidRPr="0084414C">
        <w:rPr>
          <w:rFonts w:hint="cs"/>
          <w:sz w:val="24"/>
          <w:szCs w:val="24"/>
          <w:rtl/>
        </w:rPr>
        <w:t>שעשה</w:t>
      </w:r>
      <w:r w:rsidRPr="0084414C">
        <w:rPr>
          <w:sz w:val="24"/>
          <w:szCs w:val="24"/>
          <w:rtl/>
        </w:rPr>
        <w:t xml:space="preserve"> </w:t>
      </w:r>
      <w:r w:rsidRPr="0084414C">
        <w:rPr>
          <w:rFonts w:hint="cs"/>
          <w:sz w:val="24"/>
          <w:szCs w:val="24"/>
          <w:rtl/>
        </w:rPr>
        <w:t>בפירוש</w:t>
      </w:r>
      <w:r w:rsidRPr="0084414C">
        <w:rPr>
          <w:sz w:val="24"/>
          <w:szCs w:val="24"/>
          <w:rtl/>
        </w:rPr>
        <w:t xml:space="preserve"> </w:t>
      </w:r>
      <w:r w:rsidRPr="0084414C">
        <w:rPr>
          <w:rFonts w:hint="cs"/>
          <w:sz w:val="24"/>
          <w:szCs w:val="24"/>
          <w:rtl/>
        </w:rPr>
        <w:t>בפיו</w:t>
      </w:r>
      <w:r w:rsidRPr="0084414C">
        <w:rPr>
          <w:sz w:val="24"/>
          <w:szCs w:val="24"/>
          <w:rtl/>
        </w:rPr>
        <w:t xml:space="preserve">, </w:t>
      </w:r>
      <w:r w:rsidRPr="0084414C">
        <w:rPr>
          <w:rFonts w:hint="cs"/>
          <w:sz w:val="24"/>
          <w:szCs w:val="24"/>
          <w:rtl/>
        </w:rPr>
        <w:t>ויבקש</w:t>
      </w:r>
      <w:r w:rsidRPr="0084414C">
        <w:rPr>
          <w:sz w:val="24"/>
          <w:szCs w:val="24"/>
          <w:rtl/>
        </w:rPr>
        <w:t xml:space="preserve"> </w:t>
      </w:r>
      <w:r w:rsidRPr="0084414C">
        <w:rPr>
          <w:rFonts w:hint="cs"/>
          <w:sz w:val="24"/>
          <w:szCs w:val="24"/>
          <w:rtl/>
        </w:rPr>
        <w:t>כפרה</w:t>
      </w:r>
      <w:r w:rsidRPr="0084414C">
        <w:rPr>
          <w:sz w:val="24"/>
          <w:szCs w:val="24"/>
          <w:rtl/>
        </w:rPr>
        <w:t xml:space="preserve"> </w:t>
      </w:r>
      <w:r w:rsidRPr="0084414C">
        <w:rPr>
          <w:rFonts w:hint="cs"/>
          <w:sz w:val="24"/>
          <w:szCs w:val="24"/>
          <w:rtl/>
        </w:rPr>
        <w:t>עליו</w:t>
      </w:r>
      <w:r w:rsidRPr="0084414C">
        <w:rPr>
          <w:sz w:val="24"/>
          <w:szCs w:val="24"/>
          <w:rtl/>
        </w:rPr>
        <w:t xml:space="preserve"> </w:t>
      </w:r>
      <w:r w:rsidRPr="0084414C">
        <w:rPr>
          <w:rFonts w:hint="cs"/>
          <w:sz w:val="24"/>
          <w:szCs w:val="24"/>
          <w:rtl/>
        </w:rPr>
        <w:t>ויאריך</w:t>
      </w:r>
      <w:r w:rsidRPr="0084414C">
        <w:rPr>
          <w:sz w:val="24"/>
          <w:szCs w:val="24"/>
          <w:rtl/>
        </w:rPr>
        <w:t xml:space="preserve"> </w:t>
      </w:r>
      <w:r w:rsidRPr="0084414C">
        <w:rPr>
          <w:rFonts w:hint="cs"/>
          <w:sz w:val="24"/>
          <w:szCs w:val="24"/>
          <w:rtl/>
        </w:rPr>
        <w:t>בדבר</w:t>
      </w:r>
      <w:r w:rsidRPr="0084414C">
        <w:rPr>
          <w:sz w:val="24"/>
          <w:szCs w:val="24"/>
          <w:rtl/>
        </w:rPr>
        <w:t xml:space="preserve"> </w:t>
      </w:r>
      <w:r w:rsidRPr="0084414C">
        <w:rPr>
          <w:rFonts w:hint="cs"/>
          <w:sz w:val="24"/>
          <w:szCs w:val="24"/>
          <w:rtl/>
        </w:rPr>
        <w:t>כפי</w:t>
      </w:r>
      <w:r w:rsidRPr="0084414C">
        <w:rPr>
          <w:sz w:val="24"/>
          <w:szCs w:val="24"/>
          <w:rtl/>
        </w:rPr>
        <w:t xml:space="preserve"> </w:t>
      </w:r>
      <w:r w:rsidRPr="0084414C">
        <w:rPr>
          <w:rFonts w:hint="cs"/>
          <w:sz w:val="24"/>
          <w:szCs w:val="24"/>
          <w:rtl/>
        </w:rPr>
        <w:t>מה</w:t>
      </w:r>
      <w:r w:rsidRPr="0084414C">
        <w:rPr>
          <w:sz w:val="24"/>
          <w:szCs w:val="24"/>
          <w:rtl/>
        </w:rPr>
        <w:t xml:space="preserve"> </w:t>
      </w:r>
      <w:r w:rsidRPr="0084414C">
        <w:rPr>
          <w:rFonts w:hint="cs"/>
          <w:sz w:val="24"/>
          <w:szCs w:val="24"/>
          <w:rtl/>
        </w:rPr>
        <w:t>שיהיה</w:t>
      </w:r>
      <w:r w:rsidRPr="0084414C">
        <w:rPr>
          <w:sz w:val="24"/>
          <w:szCs w:val="24"/>
          <w:rtl/>
        </w:rPr>
        <w:t xml:space="preserve"> </w:t>
      </w:r>
      <w:r w:rsidRPr="0084414C">
        <w:rPr>
          <w:rFonts w:hint="cs"/>
          <w:sz w:val="24"/>
          <w:szCs w:val="24"/>
          <w:rtl/>
        </w:rPr>
        <w:t>צחות</w:t>
      </w:r>
      <w:r w:rsidRPr="0084414C">
        <w:rPr>
          <w:sz w:val="24"/>
          <w:szCs w:val="24"/>
          <w:rtl/>
        </w:rPr>
        <w:t xml:space="preserve"> </w:t>
      </w:r>
      <w:r w:rsidRPr="0084414C">
        <w:rPr>
          <w:rFonts w:hint="cs"/>
          <w:sz w:val="24"/>
          <w:szCs w:val="24"/>
          <w:rtl/>
        </w:rPr>
        <w:t>לשונו</w:t>
      </w:r>
      <w:r w:rsidRPr="0084414C">
        <w:rPr>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 xml:space="preserve"> </w:t>
      </w:r>
      <w:r>
        <w:rPr>
          <w:rFonts w:hint="cs"/>
          <w:sz w:val="20"/>
          <w:szCs w:val="20"/>
          <w:rtl/>
        </w:rPr>
        <w:t>[ספר החינוך מצוה שסד]</w:t>
      </w:r>
    </w:p>
    <w:p w:rsidR="0010620B" w:rsidRDefault="0010620B" w:rsidP="0010620B">
      <w:pPr>
        <w:spacing w:before="200" w:line="276" w:lineRule="exact"/>
        <w:ind w:firstLine="227"/>
        <w:rPr>
          <w:sz w:val="24"/>
          <w:szCs w:val="24"/>
          <w:rtl/>
        </w:rPr>
      </w:pPr>
      <w:r>
        <w:rPr>
          <w:rFonts w:hint="cs"/>
          <w:sz w:val="24"/>
          <w:szCs w:val="24"/>
          <w:rtl/>
        </w:rPr>
        <w:lastRenderedPageBreak/>
        <w:t>ובשלהי מצוה זו כותב ספר החינוך:</w:t>
      </w:r>
    </w:p>
    <w:p w:rsidR="0010620B" w:rsidRDefault="0010620B" w:rsidP="0010620B">
      <w:pPr>
        <w:spacing w:before="200" w:line="276" w:lineRule="exact"/>
        <w:ind w:left="720"/>
        <w:rPr>
          <w:sz w:val="20"/>
          <w:szCs w:val="20"/>
          <w:rtl/>
        </w:rPr>
      </w:pPr>
      <w:r w:rsidRPr="00732806">
        <w:rPr>
          <w:rFonts w:hint="cs"/>
          <w:sz w:val="24"/>
          <w:szCs w:val="24"/>
          <w:rtl/>
        </w:rPr>
        <w:t>ועובר</w:t>
      </w:r>
      <w:r w:rsidRPr="00732806">
        <w:rPr>
          <w:sz w:val="24"/>
          <w:szCs w:val="24"/>
          <w:rtl/>
        </w:rPr>
        <w:t xml:space="preserve"> </w:t>
      </w:r>
      <w:r w:rsidRPr="00732806">
        <w:rPr>
          <w:rFonts w:hint="cs"/>
          <w:sz w:val="24"/>
          <w:szCs w:val="24"/>
          <w:rtl/>
        </w:rPr>
        <w:t>על</w:t>
      </w:r>
      <w:r w:rsidRPr="00732806">
        <w:rPr>
          <w:sz w:val="24"/>
          <w:szCs w:val="24"/>
          <w:rtl/>
        </w:rPr>
        <w:t xml:space="preserve"> </w:t>
      </w:r>
      <w:r w:rsidRPr="00732806">
        <w:rPr>
          <w:rFonts w:hint="cs"/>
          <w:sz w:val="24"/>
          <w:szCs w:val="24"/>
          <w:rtl/>
        </w:rPr>
        <w:t>זה</w:t>
      </w:r>
      <w:r w:rsidRPr="00732806">
        <w:rPr>
          <w:sz w:val="24"/>
          <w:szCs w:val="24"/>
          <w:rtl/>
        </w:rPr>
        <w:t xml:space="preserve"> </w:t>
      </w:r>
      <w:r w:rsidRPr="00732806">
        <w:rPr>
          <w:rFonts w:hint="cs"/>
          <w:sz w:val="24"/>
          <w:szCs w:val="24"/>
          <w:rtl/>
        </w:rPr>
        <w:t>ולא</w:t>
      </w:r>
      <w:r w:rsidRPr="00732806">
        <w:rPr>
          <w:sz w:val="24"/>
          <w:szCs w:val="24"/>
          <w:rtl/>
        </w:rPr>
        <w:t xml:space="preserve"> </w:t>
      </w:r>
      <w:r w:rsidRPr="00732806">
        <w:rPr>
          <w:rFonts w:hint="cs"/>
          <w:sz w:val="24"/>
          <w:szCs w:val="24"/>
          <w:rtl/>
        </w:rPr>
        <w:t>התודה</w:t>
      </w:r>
      <w:r w:rsidRPr="00732806">
        <w:rPr>
          <w:sz w:val="24"/>
          <w:szCs w:val="24"/>
          <w:rtl/>
        </w:rPr>
        <w:t xml:space="preserve"> </w:t>
      </w:r>
      <w:r w:rsidRPr="00732806">
        <w:rPr>
          <w:rFonts w:hint="cs"/>
          <w:sz w:val="24"/>
          <w:szCs w:val="24"/>
          <w:rtl/>
        </w:rPr>
        <w:t>על</w:t>
      </w:r>
      <w:r w:rsidRPr="00732806">
        <w:rPr>
          <w:sz w:val="24"/>
          <w:szCs w:val="24"/>
          <w:rtl/>
        </w:rPr>
        <w:t xml:space="preserve"> </w:t>
      </w:r>
      <w:r w:rsidRPr="00732806">
        <w:rPr>
          <w:rFonts w:hint="cs"/>
          <w:sz w:val="24"/>
          <w:szCs w:val="24"/>
          <w:rtl/>
        </w:rPr>
        <w:t>חטאיו</w:t>
      </w:r>
      <w:r w:rsidRPr="00732806">
        <w:rPr>
          <w:sz w:val="24"/>
          <w:szCs w:val="24"/>
          <w:rtl/>
        </w:rPr>
        <w:t xml:space="preserve"> </w:t>
      </w:r>
      <w:r w:rsidRPr="00732806">
        <w:rPr>
          <w:rFonts w:hint="cs"/>
          <w:sz w:val="24"/>
          <w:szCs w:val="24"/>
          <w:rtl/>
        </w:rPr>
        <w:t>ביום</w:t>
      </w:r>
      <w:r w:rsidRPr="00732806">
        <w:rPr>
          <w:sz w:val="24"/>
          <w:szCs w:val="24"/>
          <w:rtl/>
        </w:rPr>
        <w:t xml:space="preserve"> </w:t>
      </w:r>
      <w:r w:rsidRPr="00732806">
        <w:rPr>
          <w:rFonts w:hint="cs"/>
          <w:sz w:val="24"/>
          <w:szCs w:val="24"/>
          <w:rtl/>
        </w:rPr>
        <w:t>הכפורים</w:t>
      </w:r>
      <w:r w:rsidRPr="00732806">
        <w:rPr>
          <w:sz w:val="24"/>
          <w:szCs w:val="24"/>
          <w:rtl/>
        </w:rPr>
        <w:t xml:space="preserve"> </w:t>
      </w:r>
      <w:r w:rsidRPr="00732806">
        <w:rPr>
          <w:rFonts w:hint="cs"/>
          <w:sz w:val="24"/>
          <w:szCs w:val="24"/>
          <w:rtl/>
        </w:rPr>
        <w:t>שהוא</w:t>
      </w:r>
      <w:r w:rsidRPr="00732806">
        <w:rPr>
          <w:sz w:val="24"/>
          <w:szCs w:val="24"/>
          <w:rtl/>
        </w:rPr>
        <w:t xml:space="preserve"> </w:t>
      </w:r>
      <w:r w:rsidRPr="00732806">
        <w:rPr>
          <w:rFonts w:hint="cs"/>
          <w:sz w:val="24"/>
          <w:szCs w:val="24"/>
          <w:rtl/>
        </w:rPr>
        <w:t>יום</w:t>
      </w:r>
      <w:r w:rsidRPr="00732806">
        <w:rPr>
          <w:sz w:val="24"/>
          <w:szCs w:val="24"/>
          <w:rtl/>
        </w:rPr>
        <w:t xml:space="preserve"> </w:t>
      </w:r>
      <w:r w:rsidRPr="00732806">
        <w:rPr>
          <w:rFonts w:hint="cs"/>
          <w:sz w:val="24"/>
          <w:szCs w:val="24"/>
          <w:rtl/>
        </w:rPr>
        <w:t>קבוע</w:t>
      </w:r>
      <w:r w:rsidRPr="00732806">
        <w:rPr>
          <w:sz w:val="24"/>
          <w:szCs w:val="24"/>
          <w:rtl/>
        </w:rPr>
        <w:t xml:space="preserve"> </w:t>
      </w:r>
      <w:r w:rsidRPr="00732806">
        <w:rPr>
          <w:rFonts w:hint="cs"/>
          <w:sz w:val="24"/>
          <w:szCs w:val="24"/>
          <w:rtl/>
        </w:rPr>
        <w:t>מעולם</w:t>
      </w:r>
      <w:r w:rsidRPr="00732806">
        <w:rPr>
          <w:sz w:val="24"/>
          <w:szCs w:val="24"/>
          <w:rtl/>
        </w:rPr>
        <w:t xml:space="preserve"> </w:t>
      </w:r>
      <w:r w:rsidRPr="00732806">
        <w:rPr>
          <w:rFonts w:hint="cs"/>
          <w:sz w:val="24"/>
          <w:szCs w:val="24"/>
          <w:rtl/>
        </w:rPr>
        <w:t>לסליחה</w:t>
      </w:r>
      <w:r w:rsidRPr="00732806">
        <w:rPr>
          <w:sz w:val="24"/>
          <w:szCs w:val="24"/>
          <w:rtl/>
        </w:rPr>
        <w:t xml:space="preserve"> </w:t>
      </w:r>
      <w:r w:rsidRPr="00732806">
        <w:rPr>
          <w:rFonts w:hint="cs"/>
          <w:sz w:val="24"/>
          <w:szCs w:val="24"/>
          <w:rtl/>
        </w:rPr>
        <w:t>וכפרה</w:t>
      </w:r>
      <w:r w:rsidRPr="00732806">
        <w:rPr>
          <w:sz w:val="24"/>
          <w:szCs w:val="24"/>
          <w:rtl/>
        </w:rPr>
        <w:t xml:space="preserve"> </w:t>
      </w:r>
      <w:r w:rsidRPr="00732806">
        <w:rPr>
          <w:rFonts w:hint="cs"/>
          <w:sz w:val="24"/>
          <w:szCs w:val="24"/>
          <w:rtl/>
        </w:rPr>
        <w:t>ביטל</w:t>
      </w:r>
      <w:r w:rsidRPr="00732806">
        <w:rPr>
          <w:sz w:val="24"/>
          <w:szCs w:val="24"/>
          <w:rtl/>
        </w:rPr>
        <w:t xml:space="preserve"> </w:t>
      </w:r>
      <w:r w:rsidRPr="00732806">
        <w:rPr>
          <w:rFonts w:hint="cs"/>
          <w:sz w:val="24"/>
          <w:szCs w:val="24"/>
          <w:rtl/>
        </w:rPr>
        <w:t>עשה</w:t>
      </w:r>
      <w:r w:rsidRPr="00732806">
        <w:rPr>
          <w:sz w:val="24"/>
          <w:szCs w:val="24"/>
          <w:rtl/>
        </w:rPr>
        <w:t xml:space="preserve"> </w:t>
      </w:r>
      <w:r w:rsidRPr="00732806">
        <w:rPr>
          <w:rFonts w:hint="cs"/>
          <w:sz w:val="24"/>
          <w:szCs w:val="24"/>
          <w:rtl/>
        </w:rPr>
        <w:t>זה</w:t>
      </w:r>
      <w:r w:rsidRPr="00732806">
        <w:rPr>
          <w:sz w:val="24"/>
          <w:szCs w:val="24"/>
          <w:rtl/>
        </w:rPr>
        <w:t xml:space="preserve">, </w:t>
      </w:r>
      <w:r w:rsidRPr="00732806">
        <w:rPr>
          <w:rFonts w:hint="cs"/>
          <w:sz w:val="24"/>
          <w:szCs w:val="24"/>
          <w:rtl/>
        </w:rPr>
        <w:t>ואוי</w:t>
      </w:r>
      <w:r w:rsidRPr="00732806">
        <w:rPr>
          <w:sz w:val="24"/>
          <w:szCs w:val="24"/>
          <w:rtl/>
        </w:rPr>
        <w:t xml:space="preserve"> </w:t>
      </w:r>
      <w:r w:rsidRPr="00732806">
        <w:rPr>
          <w:rFonts w:hint="cs"/>
          <w:sz w:val="24"/>
          <w:szCs w:val="24"/>
          <w:rtl/>
        </w:rPr>
        <w:t>לו</w:t>
      </w:r>
      <w:r w:rsidRPr="00732806">
        <w:rPr>
          <w:sz w:val="24"/>
          <w:szCs w:val="24"/>
          <w:rtl/>
        </w:rPr>
        <w:t xml:space="preserve"> </w:t>
      </w:r>
      <w:r w:rsidRPr="00732806">
        <w:rPr>
          <w:rFonts w:hint="cs"/>
          <w:sz w:val="24"/>
          <w:szCs w:val="24"/>
          <w:rtl/>
        </w:rPr>
        <w:t>לאדם</w:t>
      </w:r>
      <w:r w:rsidRPr="00732806">
        <w:rPr>
          <w:sz w:val="24"/>
          <w:szCs w:val="24"/>
          <w:rtl/>
        </w:rPr>
        <w:t xml:space="preserve"> </w:t>
      </w:r>
      <w:r w:rsidRPr="00732806">
        <w:rPr>
          <w:rFonts w:hint="cs"/>
          <w:sz w:val="24"/>
          <w:szCs w:val="24"/>
          <w:rtl/>
        </w:rPr>
        <w:t>אם</w:t>
      </w:r>
      <w:r w:rsidRPr="00732806">
        <w:rPr>
          <w:sz w:val="24"/>
          <w:szCs w:val="24"/>
          <w:rtl/>
        </w:rPr>
        <w:t xml:space="preserve"> </w:t>
      </w:r>
      <w:r w:rsidRPr="00732806">
        <w:rPr>
          <w:rFonts w:hint="cs"/>
          <w:sz w:val="24"/>
          <w:szCs w:val="24"/>
          <w:rtl/>
        </w:rPr>
        <w:t>ימות</w:t>
      </w:r>
      <w:r w:rsidRPr="00732806">
        <w:rPr>
          <w:sz w:val="24"/>
          <w:szCs w:val="24"/>
          <w:rtl/>
        </w:rPr>
        <w:t xml:space="preserve"> </w:t>
      </w:r>
      <w:r w:rsidRPr="00732806">
        <w:rPr>
          <w:rFonts w:hint="cs"/>
          <w:sz w:val="24"/>
          <w:szCs w:val="24"/>
          <w:rtl/>
        </w:rPr>
        <w:t>בלא</w:t>
      </w:r>
      <w:r w:rsidRPr="00732806">
        <w:rPr>
          <w:sz w:val="24"/>
          <w:szCs w:val="24"/>
          <w:rtl/>
        </w:rPr>
        <w:t xml:space="preserve"> </w:t>
      </w:r>
      <w:r w:rsidRPr="00732806">
        <w:rPr>
          <w:rFonts w:hint="cs"/>
          <w:sz w:val="24"/>
          <w:szCs w:val="24"/>
          <w:rtl/>
        </w:rPr>
        <w:t>וידוי</w:t>
      </w:r>
      <w:r w:rsidRPr="00732806">
        <w:rPr>
          <w:sz w:val="24"/>
          <w:szCs w:val="24"/>
          <w:rtl/>
        </w:rPr>
        <w:t xml:space="preserve"> </w:t>
      </w:r>
      <w:r w:rsidRPr="00732806">
        <w:rPr>
          <w:rFonts w:hint="cs"/>
          <w:sz w:val="24"/>
          <w:szCs w:val="24"/>
          <w:rtl/>
        </w:rPr>
        <w:t>ונשא</w:t>
      </w:r>
      <w:r w:rsidRPr="00732806">
        <w:rPr>
          <w:sz w:val="24"/>
          <w:szCs w:val="24"/>
          <w:rtl/>
        </w:rPr>
        <w:t xml:space="preserve"> </w:t>
      </w:r>
      <w:r w:rsidRPr="00732806">
        <w:rPr>
          <w:rFonts w:hint="cs"/>
          <w:sz w:val="24"/>
          <w:szCs w:val="24"/>
          <w:rtl/>
        </w:rPr>
        <w:t>עונו</w:t>
      </w:r>
      <w:r>
        <w:rPr>
          <w:rFonts w:hint="cs"/>
          <w:sz w:val="24"/>
          <w:szCs w:val="24"/>
          <w:rtl/>
        </w:rPr>
        <w:t>.</w:t>
      </w:r>
      <w:r>
        <w:rPr>
          <w:sz w:val="24"/>
          <w:szCs w:val="24"/>
          <w:rtl/>
        </w:rPr>
        <w:tab/>
      </w:r>
      <w:r>
        <w:rPr>
          <w:sz w:val="24"/>
          <w:szCs w:val="24"/>
          <w:rtl/>
        </w:rPr>
        <w:tab/>
      </w:r>
      <w:r>
        <w:rPr>
          <w:sz w:val="24"/>
          <w:szCs w:val="24"/>
          <w:rtl/>
        </w:rPr>
        <w:tab/>
      </w:r>
      <w:r>
        <w:rPr>
          <w:rFonts w:hint="cs"/>
          <w:sz w:val="20"/>
          <w:szCs w:val="20"/>
          <w:rtl/>
        </w:rPr>
        <w:t>[שם]</w:t>
      </w:r>
    </w:p>
    <w:p w:rsidR="0010620B" w:rsidRDefault="0010620B" w:rsidP="0010620B">
      <w:pPr>
        <w:spacing w:before="200" w:line="276" w:lineRule="exact"/>
        <w:ind w:firstLine="227"/>
        <w:rPr>
          <w:sz w:val="24"/>
          <w:szCs w:val="24"/>
          <w:rtl/>
        </w:rPr>
      </w:pPr>
      <w:r>
        <w:rPr>
          <w:rFonts w:hint="cs"/>
          <w:sz w:val="24"/>
          <w:szCs w:val="24"/>
          <w:rtl/>
        </w:rPr>
        <w:t xml:space="preserve">לפי שיטתו, אדם שעבר עבירה מחויב להתוודות עליה לפני ה', והתורה קבעה זמן אחרון לאמירת הוידוי </w:t>
      </w:r>
      <w:r>
        <w:rPr>
          <w:sz w:val="24"/>
          <w:szCs w:val="24"/>
          <w:rtl/>
        </w:rPr>
        <w:t>–</w:t>
      </w:r>
      <w:r>
        <w:rPr>
          <w:rFonts w:hint="cs"/>
          <w:sz w:val="24"/>
          <w:szCs w:val="24"/>
          <w:rtl/>
        </w:rPr>
        <w:t xml:space="preserve"> יום הכיפורים, "קץ מחילה וסליחה", כאשר אם עבר יום הכיפורים ולא התוודה </w:t>
      </w:r>
      <w:r>
        <w:rPr>
          <w:sz w:val="24"/>
          <w:szCs w:val="24"/>
          <w:rtl/>
        </w:rPr>
        <w:t>–</w:t>
      </w:r>
      <w:r>
        <w:rPr>
          <w:rFonts w:hint="cs"/>
          <w:sz w:val="24"/>
          <w:szCs w:val="24"/>
          <w:rtl/>
        </w:rPr>
        <w:t xml:space="preserve"> מבטל את מצות הוידוי. </w:t>
      </w:r>
    </w:p>
    <w:p w:rsidR="0010620B" w:rsidRDefault="0010620B" w:rsidP="0010620B">
      <w:pPr>
        <w:spacing w:before="200" w:line="276" w:lineRule="exact"/>
        <w:ind w:firstLine="227"/>
        <w:rPr>
          <w:sz w:val="24"/>
          <w:szCs w:val="24"/>
          <w:rtl/>
        </w:rPr>
      </w:pPr>
      <w:r>
        <w:rPr>
          <w:rFonts w:hint="cs"/>
          <w:sz w:val="24"/>
          <w:szCs w:val="24"/>
          <w:rtl/>
        </w:rPr>
        <w:t xml:space="preserve">שיטת ספר החינוך מבוססת על תפיסתו העקרונית של הרמב"ם דלעיל, שיום הכיפורים הוא "זמן תשובה לכל ליחיד ולרבים והוא קץ מחילה וסליחה לישראל", אולם קיים הבדל עקרוני ביניהם. </w:t>
      </w:r>
    </w:p>
    <w:p w:rsidR="0010620B" w:rsidRDefault="0010620B" w:rsidP="0010620B">
      <w:pPr>
        <w:spacing w:before="200" w:line="276" w:lineRule="exact"/>
        <w:ind w:firstLine="227"/>
        <w:rPr>
          <w:sz w:val="24"/>
          <w:szCs w:val="24"/>
          <w:rtl/>
        </w:rPr>
      </w:pPr>
      <w:r>
        <w:rPr>
          <w:rFonts w:hint="cs"/>
          <w:sz w:val="24"/>
          <w:szCs w:val="24"/>
          <w:rtl/>
        </w:rPr>
        <w:t>הרמב"ם מונה גם הוא את הוידוי כמצות עשה:</w:t>
      </w:r>
    </w:p>
    <w:p w:rsidR="0010620B" w:rsidRDefault="0010620B" w:rsidP="0010620B">
      <w:pPr>
        <w:spacing w:before="200" w:line="276" w:lineRule="exact"/>
        <w:ind w:left="720"/>
        <w:rPr>
          <w:sz w:val="24"/>
          <w:szCs w:val="24"/>
          <w:rtl/>
        </w:rPr>
      </w:pPr>
      <w:r w:rsidRPr="00DF0F99">
        <w:rPr>
          <w:rFonts w:hint="cs"/>
          <w:sz w:val="24"/>
          <w:szCs w:val="24"/>
          <w:rtl/>
        </w:rPr>
        <w:t>כל</w:t>
      </w:r>
      <w:r w:rsidRPr="00DF0F99">
        <w:rPr>
          <w:sz w:val="24"/>
          <w:szCs w:val="24"/>
          <w:rtl/>
        </w:rPr>
        <w:t xml:space="preserve"> </w:t>
      </w:r>
      <w:r w:rsidRPr="00DF0F99">
        <w:rPr>
          <w:rFonts w:hint="cs"/>
          <w:sz w:val="24"/>
          <w:szCs w:val="24"/>
          <w:rtl/>
        </w:rPr>
        <w:t>מצות</w:t>
      </w:r>
      <w:r w:rsidRPr="00DF0F99">
        <w:rPr>
          <w:sz w:val="24"/>
          <w:szCs w:val="24"/>
          <w:rtl/>
        </w:rPr>
        <w:t xml:space="preserve"> </w:t>
      </w:r>
      <w:r w:rsidRPr="00DF0F99">
        <w:rPr>
          <w:rFonts w:hint="cs"/>
          <w:sz w:val="24"/>
          <w:szCs w:val="24"/>
          <w:rtl/>
        </w:rPr>
        <w:t>שבתורה</w:t>
      </w:r>
      <w:r w:rsidRPr="00DF0F99">
        <w:rPr>
          <w:sz w:val="24"/>
          <w:szCs w:val="24"/>
          <w:rtl/>
        </w:rPr>
        <w:t xml:space="preserve"> </w:t>
      </w:r>
      <w:r w:rsidRPr="00DF0F99">
        <w:rPr>
          <w:rFonts w:hint="cs"/>
          <w:sz w:val="24"/>
          <w:szCs w:val="24"/>
          <w:rtl/>
        </w:rPr>
        <w:t>בין</w:t>
      </w:r>
      <w:r w:rsidRPr="00DF0F99">
        <w:rPr>
          <w:sz w:val="24"/>
          <w:szCs w:val="24"/>
          <w:rtl/>
        </w:rPr>
        <w:t xml:space="preserve"> </w:t>
      </w:r>
      <w:r w:rsidRPr="00DF0F99">
        <w:rPr>
          <w:rFonts w:hint="cs"/>
          <w:sz w:val="24"/>
          <w:szCs w:val="24"/>
          <w:rtl/>
        </w:rPr>
        <w:t>עשה</w:t>
      </w:r>
      <w:r w:rsidRPr="00DF0F99">
        <w:rPr>
          <w:sz w:val="24"/>
          <w:szCs w:val="24"/>
          <w:rtl/>
        </w:rPr>
        <w:t xml:space="preserve"> </w:t>
      </w:r>
      <w:r w:rsidRPr="00DF0F99">
        <w:rPr>
          <w:rFonts w:hint="cs"/>
          <w:sz w:val="24"/>
          <w:szCs w:val="24"/>
          <w:rtl/>
        </w:rPr>
        <w:t>בין</w:t>
      </w:r>
      <w:r w:rsidRPr="00DF0F99">
        <w:rPr>
          <w:sz w:val="24"/>
          <w:szCs w:val="24"/>
          <w:rtl/>
        </w:rPr>
        <w:t xml:space="preserve"> </w:t>
      </w:r>
      <w:r w:rsidRPr="00DF0F99">
        <w:rPr>
          <w:rFonts w:hint="cs"/>
          <w:sz w:val="24"/>
          <w:szCs w:val="24"/>
          <w:rtl/>
        </w:rPr>
        <w:t>לא</w:t>
      </w:r>
      <w:r w:rsidRPr="00DF0F99">
        <w:rPr>
          <w:sz w:val="24"/>
          <w:szCs w:val="24"/>
          <w:rtl/>
        </w:rPr>
        <w:t xml:space="preserve"> </w:t>
      </w:r>
      <w:r w:rsidRPr="00DF0F99">
        <w:rPr>
          <w:rFonts w:hint="cs"/>
          <w:sz w:val="24"/>
          <w:szCs w:val="24"/>
          <w:rtl/>
        </w:rPr>
        <w:t>תעשה</w:t>
      </w:r>
      <w:r w:rsidRPr="00DF0F99">
        <w:rPr>
          <w:sz w:val="24"/>
          <w:szCs w:val="24"/>
          <w:rtl/>
        </w:rPr>
        <w:t xml:space="preserve">, </w:t>
      </w:r>
      <w:r w:rsidRPr="00DF0F99">
        <w:rPr>
          <w:rFonts w:hint="cs"/>
          <w:sz w:val="24"/>
          <w:szCs w:val="24"/>
          <w:rtl/>
        </w:rPr>
        <w:t>אם</w:t>
      </w:r>
      <w:r w:rsidRPr="00DF0F99">
        <w:rPr>
          <w:sz w:val="24"/>
          <w:szCs w:val="24"/>
          <w:rtl/>
        </w:rPr>
        <w:t xml:space="preserve"> </w:t>
      </w:r>
      <w:r w:rsidRPr="00DF0F99">
        <w:rPr>
          <w:rFonts w:hint="cs"/>
          <w:sz w:val="24"/>
          <w:szCs w:val="24"/>
          <w:rtl/>
        </w:rPr>
        <w:t>עבר</w:t>
      </w:r>
      <w:r w:rsidRPr="00DF0F99">
        <w:rPr>
          <w:sz w:val="24"/>
          <w:szCs w:val="24"/>
          <w:rtl/>
        </w:rPr>
        <w:t xml:space="preserve"> </w:t>
      </w:r>
      <w:r w:rsidRPr="00DF0F99">
        <w:rPr>
          <w:rFonts w:hint="cs"/>
          <w:sz w:val="24"/>
          <w:szCs w:val="24"/>
          <w:rtl/>
        </w:rPr>
        <w:t>אדם</w:t>
      </w:r>
      <w:r w:rsidRPr="00DF0F99">
        <w:rPr>
          <w:sz w:val="24"/>
          <w:szCs w:val="24"/>
          <w:rtl/>
        </w:rPr>
        <w:t xml:space="preserve"> </w:t>
      </w:r>
      <w:r w:rsidRPr="00DF0F99">
        <w:rPr>
          <w:rFonts w:hint="cs"/>
          <w:sz w:val="24"/>
          <w:szCs w:val="24"/>
          <w:rtl/>
        </w:rPr>
        <w:t>על</w:t>
      </w:r>
      <w:r w:rsidRPr="00DF0F99">
        <w:rPr>
          <w:sz w:val="24"/>
          <w:szCs w:val="24"/>
          <w:rtl/>
        </w:rPr>
        <w:t xml:space="preserve"> </w:t>
      </w:r>
      <w:r w:rsidRPr="00DF0F99">
        <w:rPr>
          <w:rFonts w:hint="cs"/>
          <w:sz w:val="24"/>
          <w:szCs w:val="24"/>
          <w:rtl/>
        </w:rPr>
        <w:t>אחת</w:t>
      </w:r>
      <w:r w:rsidRPr="00DF0F99">
        <w:rPr>
          <w:sz w:val="24"/>
          <w:szCs w:val="24"/>
          <w:rtl/>
        </w:rPr>
        <w:t xml:space="preserve"> </w:t>
      </w:r>
      <w:r w:rsidRPr="00DF0F99">
        <w:rPr>
          <w:rFonts w:hint="cs"/>
          <w:sz w:val="24"/>
          <w:szCs w:val="24"/>
          <w:rtl/>
        </w:rPr>
        <w:t>מהן</w:t>
      </w:r>
      <w:r w:rsidRPr="00DF0F99">
        <w:rPr>
          <w:sz w:val="24"/>
          <w:szCs w:val="24"/>
          <w:rtl/>
        </w:rPr>
        <w:t xml:space="preserve"> </w:t>
      </w:r>
      <w:r w:rsidRPr="00DF0F99">
        <w:rPr>
          <w:rFonts w:hint="cs"/>
          <w:sz w:val="24"/>
          <w:szCs w:val="24"/>
          <w:rtl/>
        </w:rPr>
        <w:t>בין</w:t>
      </w:r>
      <w:r w:rsidRPr="00DF0F99">
        <w:rPr>
          <w:sz w:val="24"/>
          <w:szCs w:val="24"/>
          <w:rtl/>
        </w:rPr>
        <w:t xml:space="preserve"> </w:t>
      </w:r>
      <w:r w:rsidRPr="00DF0F99">
        <w:rPr>
          <w:rFonts w:hint="cs"/>
          <w:sz w:val="24"/>
          <w:szCs w:val="24"/>
          <w:rtl/>
        </w:rPr>
        <w:t>בזדון</w:t>
      </w:r>
      <w:r w:rsidRPr="00DF0F99">
        <w:rPr>
          <w:sz w:val="24"/>
          <w:szCs w:val="24"/>
          <w:rtl/>
        </w:rPr>
        <w:t xml:space="preserve"> </w:t>
      </w:r>
      <w:r w:rsidRPr="00DF0F99">
        <w:rPr>
          <w:rFonts w:hint="cs"/>
          <w:sz w:val="24"/>
          <w:szCs w:val="24"/>
          <w:rtl/>
        </w:rPr>
        <w:t>בין</w:t>
      </w:r>
      <w:r w:rsidRPr="00DF0F99">
        <w:rPr>
          <w:sz w:val="24"/>
          <w:szCs w:val="24"/>
          <w:rtl/>
        </w:rPr>
        <w:t xml:space="preserve"> </w:t>
      </w:r>
      <w:r w:rsidRPr="00DF0F99">
        <w:rPr>
          <w:rFonts w:hint="cs"/>
          <w:sz w:val="24"/>
          <w:szCs w:val="24"/>
          <w:rtl/>
        </w:rPr>
        <w:t>בשגגה</w:t>
      </w:r>
      <w:r w:rsidRPr="00DF0F99">
        <w:rPr>
          <w:sz w:val="24"/>
          <w:szCs w:val="24"/>
          <w:rtl/>
        </w:rPr>
        <w:t xml:space="preserve"> </w:t>
      </w:r>
      <w:r w:rsidRPr="00DF0F99">
        <w:rPr>
          <w:rFonts w:hint="cs"/>
          <w:sz w:val="24"/>
          <w:szCs w:val="24"/>
          <w:rtl/>
        </w:rPr>
        <w:t>כשיעשה</w:t>
      </w:r>
      <w:r w:rsidRPr="00DF0F99">
        <w:rPr>
          <w:sz w:val="24"/>
          <w:szCs w:val="24"/>
          <w:rtl/>
        </w:rPr>
        <w:t xml:space="preserve"> </w:t>
      </w:r>
      <w:r w:rsidRPr="00DF0F99">
        <w:rPr>
          <w:rFonts w:hint="cs"/>
          <w:sz w:val="24"/>
          <w:szCs w:val="24"/>
          <w:rtl/>
        </w:rPr>
        <w:t>תשובה</w:t>
      </w:r>
      <w:r w:rsidRPr="00DF0F99">
        <w:rPr>
          <w:sz w:val="24"/>
          <w:szCs w:val="24"/>
          <w:rtl/>
        </w:rPr>
        <w:t xml:space="preserve"> </w:t>
      </w:r>
      <w:r w:rsidRPr="00DF0F99">
        <w:rPr>
          <w:rFonts w:hint="cs"/>
          <w:sz w:val="24"/>
          <w:szCs w:val="24"/>
          <w:rtl/>
        </w:rPr>
        <w:t>וישוב</w:t>
      </w:r>
      <w:r w:rsidRPr="00DF0F99">
        <w:rPr>
          <w:sz w:val="24"/>
          <w:szCs w:val="24"/>
          <w:rtl/>
        </w:rPr>
        <w:t xml:space="preserve"> </w:t>
      </w:r>
      <w:r w:rsidRPr="00DF0F99">
        <w:rPr>
          <w:rFonts w:hint="cs"/>
          <w:sz w:val="24"/>
          <w:szCs w:val="24"/>
          <w:rtl/>
        </w:rPr>
        <w:t>מחטאו</w:t>
      </w:r>
      <w:r w:rsidRPr="00DF0F99">
        <w:rPr>
          <w:sz w:val="24"/>
          <w:szCs w:val="24"/>
          <w:rtl/>
        </w:rPr>
        <w:t xml:space="preserve"> </w:t>
      </w:r>
      <w:r w:rsidRPr="00DF0F99">
        <w:rPr>
          <w:rFonts w:hint="cs"/>
          <w:sz w:val="24"/>
          <w:szCs w:val="24"/>
          <w:rtl/>
        </w:rPr>
        <w:t>חייב</w:t>
      </w:r>
      <w:r w:rsidRPr="00DF0F99">
        <w:rPr>
          <w:sz w:val="24"/>
          <w:szCs w:val="24"/>
          <w:rtl/>
        </w:rPr>
        <w:t xml:space="preserve"> </w:t>
      </w:r>
      <w:r w:rsidRPr="00DF0F99">
        <w:rPr>
          <w:rFonts w:hint="cs"/>
          <w:sz w:val="24"/>
          <w:szCs w:val="24"/>
          <w:rtl/>
        </w:rPr>
        <w:t>להתודות</w:t>
      </w:r>
      <w:r w:rsidRPr="00DF0F99">
        <w:rPr>
          <w:sz w:val="24"/>
          <w:szCs w:val="24"/>
          <w:rtl/>
        </w:rPr>
        <w:t xml:space="preserve"> </w:t>
      </w:r>
      <w:r w:rsidRPr="00DF0F99">
        <w:rPr>
          <w:rFonts w:hint="cs"/>
          <w:sz w:val="24"/>
          <w:szCs w:val="24"/>
          <w:rtl/>
        </w:rPr>
        <w:t>לפני</w:t>
      </w:r>
      <w:r w:rsidRPr="00DF0F99">
        <w:rPr>
          <w:sz w:val="24"/>
          <w:szCs w:val="24"/>
          <w:rtl/>
        </w:rPr>
        <w:t xml:space="preserve"> </w:t>
      </w:r>
      <w:r w:rsidRPr="00DF0F99">
        <w:rPr>
          <w:rFonts w:hint="cs"/>
          <w:sz w:val="24"/>
          <w:szCs w:val="24"/>
          <w:rtl/>
        </w:rPr>
        <w:t>האל</w:t>
      </w:r>
      <w:r w:rsidRPr="00DF0F99">
        <w:rPr>
          <w:sz w:val="24"/>
          <w:szCs w:val="24"/>
          <w:rtl/>
        </w:rPr>
        <w:t xml:space="preserve"> </w:t>
      </w:r>
      <w:r w:rsidRPr="00DF0F99">
        <w:rPr>
          <w:rFonts w:hint="cs"/>
          <w:sz w:val="24"/>
          <w:szCs w:val="24"/>
          <w:rtl/>
        </w:rPr>
        <w:t>ברוך</w:t>
      </w:r>
      <w:r w:rsidRPr="00DF0F99">
        <w:rPr>
          <w:sz w:val="24"/>
          <w:szCs w:val="24"/>
          <w:rtl/>
        </w:rPr>
        <w:t xml:space="preserve"> </w:t>
      </w:r>
      <w:r w:rsidRPr="00DF0F99">
        <w:rPr>
          <w:rFonts w:hint="cs"/>
          <w:sz w:val="24"/>
          <w:szCs w:val="24"/>
          <w:rtl/>
        </w:rPr>
        <w:t>הוא</w:t>
      </w:r>
      <w:r w:rsidRPr="00DF0F99">
        <w:rPr>
          <w:sz w:val="24"/>
          <w:szCs w:val="24"/>
          <w:rtl/>
        </w:rPr>
        <w:t xml:space="preserve">... </w:t>
      </w:r>
      <w:r w:rsidRPr="00DF0F99">
        <w:rPr>
          <w:rFonts w:hint="cs"/>
          <w:sz w:val="24"/>
          <w:szCs w:val="24"/>
          <w:rtl/>
        </w:rPr>
        <w:t>וידוי</w:t>
      </w:r>
      <w:r w:rsidRPr="00DF0F99">
        <w:rPr>
          <w:sz w:val="24"/>
          <w:szCs w:val="24"/>
          <w:rtl/>
        </w:rPr>
        <w:t xml:space="preserve"> </w:t>
      </w:r>
      <w:r w:rsidRPr="00DF0F99">
        <w:rPr>
          <w:rFonts w:hint="cs"/>
          <w:sz w:val="24"/>
          <w:szCs w:val="24"/>
          <w:rtl/>
        </w:rPr>
        <w:t>זה</w:t>
      </w:r>
      <w:r w:rsidRPr="00DF0F99">
        <w:rPr>
          <w:sz w:val="24"/>
          <w:szCs w:val="24"/>
          <w:rtl/>
        </w:rPr>
        <w:t xml:space="preserve"> </w:t>
      </w:r>
      <w:r w:rsidRPr="00DF0F99">
        <w:rPr>
          <w:rFonts w:hint="cs"/>
          <w:sz w:val="24"/>
          <w:szCs w:val="24"/>
          <w:rtl/>
        </w:rPr>
        <w:t>מצות</w:t>
      </w:r>
      <w:r w:rsidRPr="00DF0F99">
        <w:rPr>
          <w:sz w:val="24"/>
          <w:szCs w:val="24"/>
          <w:rtl/>
        </w:rPr>
        <w:t xml:space="preserve"> </w:t>
      </w:r>
      <w:r w:rsidRPr="00DF0F99">
        <w:rPr>
          <w:rFonts w:hint="cs"/>
          <w:sz w:val="24"/>
          <w:szCs w:val="24"/>
          <w:rtl/>
        </w:rPr>
        <w:t>עשה</w:t>
      </w:r>
      <w:r>
        <w:rPr>
          <w:rFonts w:hint="cs"/>
          <w:sz w:val="24"/>
          <w:szCs w:val="24"/>
          <w:rtl/>
        </w:rPr>
        <w:t>.</w:t>
      </w:r>
    </w:p>
    <w:p w:rsidR="0010620B" w:rsidRDefault="0010620B" w:rsidP="0010620B">
      <w:pPr>
        <w:spacing w:before="200" w:line="276" w:lineRule="exact"/>
        <w:ind w:left="720"/>
        <w:jc w:val="right"/>
        <w:rPr>
          <w:sz w:val="24"/>
          <w:szCs w:val="24"/>
          <w:rtl/>
        </w:rPr>
      </w:pPr>
      <w:r>
        <w:rPr>
          <w:rFonts w:hint="cs"/>
          <w:sz w:val="20"/>
          <w:szCs w:val="20"/>
          <w:rtl/>
        </w:rPr>
        <w:t>[הל' תשובה פ"א ה"א]</w:t>
      </w:r>
    </w:p>
    <w:p w:rsidR="0010620B" w:rsidRDefault="0010620B" w:rsidP="0010620B">
      <w:pPr>
        <w:spacing w:before="200" w:line="276" w:lineRule="exact"/>
        <w:ind w:firstLine="227"/>
        <w:rPr>
          <w:sz w:val="24"/>
          <w:szCs w:val="24"/>
          <w:rtl/>
        </w:rPr>
      </w:pPr>
      <w:r>
        <w:rPr>
          <w:rFonts w:hint="cs"/>
          <w:sz w:val="24"/>
          <w:szCs w:val="24"/>
          <w:rtl/>
        </w:rPr>
        <w:t xml:space="preserve">אמנם, הרמב"ם אינו קושר בין מצות הוידוי שבכל ימות השנה לחובת הוידוי הקיימת ביום הכיפורים. לשיטתו, מצות הוידוי אינה מוגבלת בזמן, והיא מחייבת את האדם להתוודות על כל עבירה שעבר, אלא שהעובדה שיום הכיפורים הוא יום תשובה מחייבת לעשות תשובה ולהתוודות בו. לעומת זאת, החינוך סבור שההגדרה שיום הכיפורים הוא 'זמן התשובה' משליכה על גדרי מצות הוידוי וקובעת כי מצות הוידוי מוגבלת בזמן, וחובה לעשותה עד יום הכיפורים של אותה שנה. לשיטתו, בכל שנה האדם נדרש להתוודות על עוונות אותה שנה, לשוב מהם בתשובה ולבקש כפרה עליהם, ולכן מי שעבר יום הכיפורים ולא התוודה על חטאי אותה שנה </w:t>
      </w:r>
      <w:r>
        <w:rPr>
          <w:sz w:val="24"/>
          <w:szCs w:val="24"/>
          <w:rtl/>
        </w:rPr>
        <w:t>–</w:t>
      </w:r>
      <w:r>
        <w:rPr>
          <w:rFonts w:hint="cs"/>
          <w:sz w:val="24"/>
          <w:szCs w:val="24"/>
          <w:rtl/>
        </w:rPr>
        <w:t xml:space="preserve"> ביטל את מצות הוידוי.</w:t>
      </w:r>
    </w:p>
    <w:p w:rsidR="0010620B" w:rsidRDefault="0010620B" w:rsidP="0010620B">
      <w:pPr>
        <w:spacing w:before="200" w:line="276" w:lineRule="auto"/>
        <w:ind w:firstLine="227"/>
        <w:rPr>
          <w:sz w:val="24"/>
          <w:szCs w:val="24"/>
          <w:rtl/>
        </w:rPr>
      </w:pPr>
    </w:p>
    <w:p w:rsidR="0010620B" w:rsidRDefault="0010620B" w:rsidP="0010620B">
      <w:pPr>
        <w:spacing w:before="200" w:line="276" w:lineRule="auto"/>
        <w:ind w:firstLine="227"/>
        <w:rPr>
          <w:sz w:val="24"/>
          <w:szCs w:val="24"/>
          <w:rtl/>
        </w:rPr>
      </w:pPr>
      <w:r>
        <w:rPr>
          <w:rFonts w:hint="cs"/>
          <w:sz w:val="24"/>
          <w:szCs w:val="24"/>
          <w:rtl/>
        </w:rPr>
        <w:t xml:space="preserve">בשיעור זה אנו זוכים לסיים את סדרת שיעורי 'יסודות יומא'. "הדרן עלך מסכת יומא והדרך עלן. דעתן עלך מסכת יומא ודעתך עלן. לא נתנשי מינך מסכת יומא ולא נתנשי מינן לא בעלמא הדין ולא בעלמא דאתי". </w:t>
      </w:r>
    </w:p>
    <w:p w:rsidR="0010620B" w:rsidRDefault="0010620B" w:rsidP="0010620B">
      <w:pPr>
        <w:spacing w:before="200" w:line="276" w:lineRule="exact"/>
        <w:ind w:firstLine="227"/>
        <w:rPr>
          <w:sz w:val="24"/>
          <w:szCs w:val="24"/>
          <w:rtl/>
        </w:rPr>
      </w:pPr>
    </w:p>
    <w:p w:rsidR="0010620B" w:rsidRPr="00220833" w:rsidRDefault="0010620B" w:rsidP="0010620B">
      <w:pPr>
        <w:spacing w:before="120" w:line="276" w:lineRule="exact"/>
        <w:ind w:firstLine="227"/>
        <w:jc w:val="right"/>
        <w:rPr>
          <w:sz w:val="24"/>
          <w:szCs w:val="24"/>
        </w:rPr>
      </w:pPr>
      <w:r w:rsidRPr="00220833">
        <w:rPr>
          <w:rFonts w:hint="cs"/>
          <w:sz w:val="24"/>
          <w:szCs w:val="24"/>
          <w:u w:val="single"/>
          <w:rtl/>
        </w:rPr>
        <w:t>להערות ולתגובות</w:t>
      </w:r>
      <w:r w:rsidRPr="00220833">
        <w:rPr>
          <w:rFonts w:hint="cs"/>
          <w:sz w:val="24"/>
          <w:szCs w:val="24"/>
          <w:rtl/>
        </w:rPr>
        <w:t>: שלמה ליפשיץ</w:t>
      </w:r>
    </w:p>
    <w:p w:rsidR="0010620B" w:rsidRPr="006F6608" w:rsidRDefault="0010620B" w:rsidP="00C84762">
      <w:pPr>
        <w:spacing w:line="276" w:lineRule="exact"/>
        <w:ind w:firstLine="227"/>
        <w:jc w:val="right"/>
        <w:rPr>
          <w:rtl/>
        </w:rPr>
      </w:pPr>
      <w:hyperlink r:id="rId34" w:history="1">
        <w:r w:rsidRPr="00220833">
          <w:rPr>
            <w:rStyle w:val="Hyperlink"/>
            <w:sz w:val="24"/>
            <w:szCs w:val="24"/>
          </w:rPr>
          <w:t>lshlomo26@gmail.com</w:t>
        </w:r>
      </w:hyperlink>
    </w:p>
    <w:sectPr w:rsidR="0010620B" w:rsidRPr="006F6608" w:rsidSect="009337C2">
      <w:headerReference w:type="default" r:id="rId35"/>
      <w:footerReference w:type="default" r:id="rId3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9CD" w:rsidRDefault="00A349CD" w:rsidP="00E064B4">
      <w:pPr>
        <w:spacing w:after="0" w:line="240" w:lineRule="auto"/>
      </w:pPr>
      <w:r>
        <w:separator/>
      </w:r>
    </w:p>
  </w:endnote>
  <w:endnote w:type="continuationSeparator" w:id="0">
    <w:p w:rsidR="00A349CD" w:rsidRDefault="00A349CD" w:rsidP="00E0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2249138"/>
      <w:docPartObj>
        <w:docPartGallery w:val="Page Numbers (Bottom of Page)"/>
        <w:docPartUnique/>
      </w:docPartObj>
    </w:sdtPr>
    <w:sdtEndPr>
      <w:rPr>
        <w:cs/>
      </w:rPr>
    </w:sdtEndPr>
    <w:sdtContent>
      <w:p w:rsidR="00A527D5" w:rsidRDefault="00A527D5">
        <w:pPr>
          <w:pStyle w:val="ab"/>
          <w:jc w:val="center"/>
          <w:rPr>
            <w:rtl/>
            <w:cs/>
          </w:rPr>
        </w:pPr>
        <w:r>
          <w:fldChar w:fldCharType="begin"/>
        </w:r>
        <w:r>
          <w:rPr>
            <w:rtl/>
            <w:cs/>
          </w:rPr>
          <w:instrText>PAGE   \* MERGEFORMAT</w:instrText>
        </w:r>
        <w:r>
          <w:fldChar w:fldCharType="separate"/>
        </w:r>
        <w:r w:rsidR="00804A48" w:rsidRPr="00804A48">
          <w:rPr>
            <w:noProof/>
            <w:rtl/>
            <w:lang w:val="he-IL"/>
          </w:rPr>
          <w:t>20</w:t>
        </w:r>
        <w:r>
          <w:fldChar w:fldCharType="end"/>
        </w:r>
      </w:p>
    </w:sdtContent>
  </w:sdt>
  <w:p w:rsidR="00A527D5" w:rsidRDefault="00A527D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9CD" w:rsidRDefault="00A349CD" w:rsidP="00E064B4">
      <w:pPr>
        <w:spacing w:after="0" w:line="240" w:lineRule="auto"/>
      </w:pPr>
      <w:r>
        <w:separator/>
      </w:r>
    </w:p>
  </w:footnote>
  <w:footnote w:type="continuationSeparator" w:id="0">
    <w:p w:rsidR="00A349CD" w:rsidRDefault="00A349CD" w:rsidP="00E064B4">
      <w:pPr>
        <w:spacing w:after="0" w:line="240" w:lineRule="auto"/>
      </w:pPr>
      <w:r>
        <w:continuationSeparator/>
      </w:r>
    </w:p>
  </w:footnote>
  <w:footnote w:id="1">
    <w:p w:rsidR="00A527D5" w:rsidRPr="00AF77D2" w:rsidRDefault="00A527D5" w:rsidP="00E064B4">
      <w:pPr>
        <w:pStyle w:val="a5"/>
        <w:rPr>
          <w:rtl/>
        </w:rPr>
      </w:pPr>
      <w:r>
        <w:rPr>
          <w:rStyle w:val="a7"/>
        </w:rPr>
        <w:footnoteRef/>
      </w:r>
      <w:r>
        <w:rPr>
          <w:rtl/>
        </w:rPr>
        <w:t xml:space="preserve"> </w:t>
      </w:r>
      <w:r>
        <w:rPr>
          <w:rFonts w:hint="cs"/>
          <w:rtl/>
        </w:rPr>
        <w:t xml:space="preserve">כן מבאר רש"י </w:t>
      </w:r>
      <w:r>
        <w:rPr>
          <w:rFonts w:hint="cs"/>
          <w:sz w:val="16"/>
          <w:szCs w:val="16"/>
          <w:rtl/>
        </w:rPr>
        <w:t>[שם, ב]</w:t>
      </w:r>
      <w:r>
        <w:rPr>
          <w:rFonts w:hint="cs"/>
          <w:rtl/>
        </w:rPr>
        <w:t>: "</w:t>
      </w:r>
      <w:r>
        <w:rPr>
          <w:rtl/>
        </w:rPr>
        <w:t>כי בענן אראה –</w:t>
      </w:r>
      <w:r>
        <w:rPr>
          <w:rFonts w:hint="cs"/>
          <w:rtl/>
        </w:rPr>
        <w:t xml:space="preserve"> </w:t>
      </w:r>
      <w:r w:rsidRPr="00AF77D2">
        <w:rPr>
          <w:rtl/>
        </w:rPr>
        <w:t>כי תמיד אני נראה שם עם עמוד ענני. ולפי שגלוי שכינתי שם, יזהר שלא ירגיל לבא</w:t>
      </w:r>
      <w:r>
        <w:rPr>
          <w:rFonts w:hint="cs"/>
          <w:rtl/>
        </w:rPr>
        <w:t>".</w:t>
      </w:r>
    </w:p>
  </w:footnote>
  <w:footnote w:id="2">
    <w:p w:rsidR="00A527D5" w:rsidRDefault="00A527D5" w:rsidP="00E064B4">
      <w:pPr>
        <w:pStyle w:val="a5"/>
      </w:pPr>
      <w:r>
        <w:rPr>
          <w:rStyle w:val="a7"/>
        </w:rPr>
        <w:footnoteRef/>
      </w:r>
      <w:r>
        <w:rPr>
          <w:rtl/>
        </w:rPr>
        <w:t xml:space="preserve"> ניתן ל</w:t>
      </w:r>
      <w:r>
        <w:rPr>
          <w:rFonts w:hint="cs"/>
          <w:rtl/>
        </w:rPr>
        <w:t>טעון ש</w:t>
      </w:r>
      <w:r>
        <w:rPr>
          <w:rtl/>
        </w:rPr>
        <w:t xml:space="preserve">חילוק זה נובע מייחודיותו של אהרן הכהן, אך המשך חכמה </w:t>
      </w:r>
      <w:r>
        <w:rPr>
          <w:rFonts w:hint="cs"/>
          <w:sz w:val="16"/>
          <w:szCs w:val="16"/>
          <w:rtl/>
        </w:rPr>
        <w:t>[ויקרא טז, ג]</w:t>
      </w:r>
      <w:r>
        <w:rPr>
          <w:rFonts w:hint="cs"/>
          <w:rtl/>
        </w:rPr>
        <w:t xml:space="preserve"> </w:t>
      </w:r>
      <w:r>
        <w:rPr>
          <w:rtl/>
        </w:rPr>
        <w:t>מבאר כי החילוק מבוסס על ההבדל בין השראת השכינה שבמדבר להשראת השכינה בארץ ישראל:</w:t>
      </w:r>
      <w:r>
        <w:rPr>
          <w:rFonts w:hint="cs"/>
          <w:rtl/>
        </w:rPr>
        <w:t xml:space="preserve"> "ונ</w:t>
      </w:r>
      <w:r>
        <w:rPr>
          <w:rtl/>
        </w:rPr>
        <w:t>תגלה לנו טעמו על פי מה שכתב הספורנו בסוף אמור, הא שכתוב בקטורת ובהטבה 'אהרן', משום שבאותן ארבעים שנה היה הענן שורה על המשכן יומם ולילה, וכמו שכתוב: 'כי ענן ה' על המשכן יומם'. ולכן בעבודות שבהיכל ששם היה ענן ה', היה דינו אותן ארבעים שנה כמו ביום הכיפורים, שכתוב בו 'כי בענן אראה על הכפורת', ודברי פי חכם חן. ולכן כל אותן ארבעים שנה היה לו רשות להיכנס בסדר הזה כמו כהן גדול ביום הכיפורים</w:t>
      </w:r>
      <w:r>
        <w:rPr>
          <w:rFonts w:hint="cs"/>
          <w:rtl/>
        </w:rPr>
        <w:t>"</w:t>
      </w:r>
      <w:r>
        <w:rPr>
          <w:rtl/>
        </w:rPr>
        <w:t>.</w:t>
      </w:r>
      <w:r>
        <w:rPr>
          <w:rFonts w:hint="cs"/>
          <w:rtl/>
        </w:rPr>
        <w:t xml:space="preserve"> </w:t>
      </w:r>
      <w:r>
        <w:rPr>
          <w:rtl/>
        </w:rPr>
        <w:t xml:space="preserve">על פי דברי המשך חכמה, ההפרדה הברורה בין קודש הקדשים, מקום השראת השכינה, לבין הקודש, הייתה קיימת </w:t>
      </w:r>
      <w:r>
        <w:rPr>
          <w:rFonts w:hint="cs"/>
          <w:rtl/>
        </w:rPr>
        <w:t xml:space="preserve">רק </w:t>
      </w:r>
      <w:r>
        <w:rPr>
          <w:rtl/>
        </w:rPr>
        <w:t>בארץ ישראל. במשכן, לעומת זאת, השכינה הייתה שורה בבית כולו, ולכן כשם שאהרן היה נכנס דבר יום ביומו לקודש, כך הוא היה יכול להיכנס לקודש הקדשים – כאשר עושה את 'סדר העבודה' המיוחד לכך – בכל ימות השנה.</w:t>
      </w:r>
    </w:p>
  </w:footnote>
  <w:footnote w:id="3">
    <w:p w:rsidR="00A527D5" w:rsidRPr="00705A25" w:rsidRDefault="00A527D5" w:rsidP="00E064B4">
      <w:pPr>
        <w:pStyle w:val="a5"/>
        <w:rPr>
          <w:rtl/>
        </w:rPr>
      </w:pPr>
      <w:r>
        <w:rPr>
          <w:rStyle w:val="a7"/>
        </w:rPr>
        <w:footnoteRef/>
      </w:r>
      <w:r>
        <w:rPr>
          <w:rtl/>
        </w:rPr>
        <w:t xml:space="preserve"> </w:t>
      </w:r>
      <w:r>
        <w:rPr>
          <w:rFonts w:hint="cs"/>
          <w:rtl/>
        </w:rPr>
        <w:t xml:space="preserve">וכן עולה ממדרש שמות רבה </w:t>
      </w:r>
      <w:r>
        <w:rPr>
          <w:rFonts w:hint="cs"/>
          <w:sz w:val="16"/>
          <w:szCs w:val="16"/>
          <w:rtl/>
        </w:rPr>
        <w:t>[לח, ח]</w:t>
      </w:r>
      <w:r>
        <w:rPr>
          <w:rFonts w:hint="cs"/>
          <w:rtl/>
        </w:rPr>
        <w:t>: "</w:t>
      </w:r>
      <w:r w:rsidRPr="00705A25">
        <w:rPr>
          <w:rtl/>
        </w:rPr>
        <w:t xml:space="preserve">כך </w:t>
      </w:r>
      <w:r w:rsidRPr="00705A25">
        <w:rPr>
          <w:b/>
          <w:bCs/>
          <w:rtl/>
        </w:rPr>
        <w:t>אהרן היה נכנס בכל שעה לבית קדשי הקדשים</w:t>
      </w:r>
      <w:r w:rsidRPr="00705A25">
        <w:rPr>
          <w:rtl/>
        </w:rPr>
        <w:t xml:space="preserve"> ואלולי זכיות הרבה שהיו נכנסות עמו ומסייעות אותו לא היה יכול להכנס</w:t>
      </w:r>
      <w:r>
        <w:rPr>
          <w:rFonts w:hint="cs"/>
          <w:rtl/>
        </w:rPr>
        <w:t>,</w:t>
      </w:r>
      <w:r>
        <w:rPr>
          <w:rtl/>
        </w:rPr>
        <w:t xml:space="preserve"> למ</w:t>
      </w:r>
      <w:r>
        <w:rPr>
          <w:rFonts w:hint="cs"/>
          <w:rtl/>
        </w:rPr>
        <w:t xml:space="preserve">ה? </w:t>
      </w:r>
      <w:r w:rsidRPr="00705A25">
        <w:rPr>
          <w:rtl/>
        </w:rPr>
        <w:t>שהיו מלאכי השרת שם</w:t>
      </w:r>
      <w:r>
        <w:rPr>
          <w:rFonts w:hint="cs"/>
          <w:rtl/>
        </w:rPr>
        <w:t>".</w:t>
      </w:r>
    </w:p>
  </w:footnote>
  <w:footnote w:id="4">
    <w:p w:rsidR="00A527D5" w:rsidRPr="00F33F2C" w:rsidRDefault="00A527D5" w:rsidP="00E064B4">
      <w:pPr>
        <w:pStyle w:val="a5"/>
      </w:pPr>
      <w:r>
        <w:rPr>
          <w:rStyle w:val="a7"/>
        </w:rPr>
        <w:footnoteRef/>
      </w:r>
      <w:r>
        <w:rPr>
          <w:rtl/>
        </w:rPr>
        <w:t xml:space="preserve"> </w:t>
      </w:r>
      <w:r>
        <w:rPr>
          <w:rFonts w:hint="cs"/>
          <w:rtl/>
        </w:rPr>
        <w:t xml:space="preserve">אמנם, עי' זית רענן </w:t>
      </w:r>
      <w:r>
        <w:rPr>
          <w:rFonts w:hint="cs"/>
          <w:sz w:val="16"/>
          <w:szCs w:val="16"/>
          <w:rtl/>
        </w:rPr>
        <w:t>[לבעל המגן אברהם על ילקוט שמעוני ויקרא טז, ב ד"ה בכל עת]</w:t>
      </w:r>
      <w:r>
        <w:rPr>
          <w:rFonts w:hint="cs"/>
          <w:rtl/>
        </w:rPr>
        <w:t xml:space="preserve"> ופנים יפות </w:t>
      </w:r>
      <w:r>
        <w:rPr>
          <w:rFonts w:hint="cs"/>
          <w:sz w:val="16"/>
          <w:szCs w:val="16"/>
          <w:rtl/>
        </w:rPr>
        <w:t>[ויקרא טז, ב ד"ה במדרש]</w:t>
      </w:r>
      <w:r>
        <w:rPr>
          <w:rFonts w:hint="cs"/>
          <w:rtl/>
        </w:rPr>
        <w:t xml:space="preserve"> המבארים את דברי המדרש באופן אחר, שהוא אינו עוסק בכניסה לקודש הקדשים אלא בכניסה להיכל, שהיא אכן מותרת "בכל עת".</w:t>
      </w:r>
    </w:p>
  </w:footnote>
  <w:footnote w:id="5">
    <w:p w:rsidR="00A527D5" w:rsidRPr="00EE490C" w:rsidRDefault="00A527D5" w:rsidP="00E064B4">
      <w:pPr>
        <w:pStyle w:val="a5"/>
      </w:pPr>
      <w:r>
        <w:rPr>
          <w:rStyle w:val="a7"/>
        </w:rPr>
        <w:footnoteRef/>
      </w:r>
      <w:r>
        <w:rPr>
          <w:rFonts w:hint="cs"/>
          <w:rtl/>
        </w:rPr>
        <w:t xml:space="preserve"> נראה ששיטה זו נסמכת על המשנה בכלים דלעיל </w:t>
      </w:r>
      <w:r>
        <w:rPr>
          <w:rFonts w:hint="cs"/>
          <w:sz w:val="16"/>
          <w:szCs w:val="16"/>
          <w:rtl/>
        </w:rPr>
        <w:t>[פ"א מ"ט]</w:t>
      </w:r>
      <w:r>
        <w:rPr>
          <w:rFonts w:hint="cs"/>
          <w:rtl/>
        </w:rPr>
        <w:t>: "</w:t>
      </w:r>
      <w:r w:rsidRPr="00EE490C">
        <w:rPr>
          <w:rtl/>
        </w:rPr>
        <w:t>ק</w:t>
      </w:r>
      <w:r>
        <w:rPr>
          <w:rFonts w:hint="cs"/>
          <w:rtl/>
        </w:rPr>
        <w:t>ו</w:t>
      </w:r>
      <w:r w:rsidRPr="00EE490C">
        <w:rPr>
          <w:rtl/>
        </w:rPr>
        <w:t>דש הקדשים מקודש מהם, שאין נכנס לשם אלא כהן גדול ביום הכיפורים בשעת העבודה</w:t>
      </w:r>
      <w:r>
        <w:rPr>
          <w:rFonts w:hint="cs"/>
          <w:rtl/>
        </w:rPr>
        <w:t>", ממנה עולה שאין היתר להיכנס לקודש הקדשים שלא ביום הכיפורים (והיא אינה מקבלת את חידושו של הגר"א המבחין בין אהרן הכהן לשאר הכהנים).</w:t>
      </w:r>
    </w:p>
  </w:footnote>
  <w:footnote w:id="6">
    <w:p w:rsidR="00A527D5" w:rsidRPr="0007492F" w:rsidRDefault="00A527D5" w:rsidP="00E064B4">
      <w:pPr>
        <w:pStyle w:val="a5"/>
        <w:rPr>
          <w:rtl/>
        </w:rPr>
      </w:pPr>
      <w:r>
        <w:rPr>
          <w:rStyle w:val="a7"/>
        </w:rPr>
        <w:footnoteRef/>
      </w:r>
      <w:r>
        <w:rPr>
          <w:rtl/>
        </w:rPr>
        <w:t xml:space="preserve"> </w:t>
      </w:r>
      <w:r>
        <w:rPr>
          <w:rFonts w:hint="cs"/>
          <w:rtl/>
        </w:rPr>
        <w:t xml:space="preserve">בדומה לנדב ואביהוא שהביאו אש זרה "אשר לא צוה אותם" </w:t>
      </w:r>
      <w:r>
        <w:rPr>
          <w:rFonts w:hint="cs"/>
          <w:sz w:val="16"/>
          <w:szCs w:val="16"/>
          <w:rtl/>
        </w:rPr>
        <w:t>[ויקרא י, א]</w:t>
      </w:r>
      <w:r>
        <w:rPr>
          <w:rFonts w:hint="cs"/>
          <w:rtl/>
        </w:rPr>
        <w:t>.</w:t>
      </w:r>
    </w:p>
  </w:footnote>
  <w:footnote w:id="7">
    <w:p w:rsidR="00A527D5" w:rsidRPr="00CD5D76" w:rsidRDefault="00A527D5" w:rsidP="00E064B4">
      <w:pPr>
        <w:pStyle w:val="a5"/>
      </w:pPr>
      <w:r>
        <w:rPr>
          <w:rStyle w:val="a7"/>
        </w:rPr>
        <w:footnoteRef/>
      </w:r>
      <w:r>
        <w:rPr>
          <w:rtl/>
        </w:rPr>
        <w:t xml:space="preserve"> </w:t>
      </w:r>
      <w:r>
        <w:rPr>
          <w:rFonts w:hint="cs"/>
          <w:rtl/>
        </w:rPr>
        <w:t xml:space="preserve">עי' בהמשך דברי הרב יואל בן נון </w:t>
      </w:r>
      <w:r>
        <w:rPr>
          <w:rFonts w:hint="cs"/>
          <w:sz w:val="16"/>
          <w:szCs w:val="16"/>
          <w:rtl/>
        </w:rPr>
        <w:t>[שם, עמ' 222-227]</w:t>
      </w:r>
      <w:r>
        <w:rPr>
          <w:rFonts w:hint="cs"/>
          <w:rtl/>
        </w:rPr>
        <w:t xml:space="preserve"> המאריך להראות שלצד השוואה זו קיימים הבדלים מהותיים ביניהם, והוא מבאר אותם על פי דרכו.</w:t>
      </w:r>
    </w:p>
  </w:footnote>
  <w:footnote w:id="8">
    <w:p w:rsidR="00A527D5" w:rsidRPr="00AC0F7A" w:rsidRDefault="00A527D5" w:rsidP="00E064B4">
      <w:pPr>
        <w:pStyle w:val="a5"/>
      </w:pPr>
      <w:r>
        <w:rPr>
          <w:rStyle w:val="a7"/>
        </w:rPr>
        <w:footnoteRef/>
      </w:r>
      <w:r>
        <w:rPr>
          <w:rtl/>
        </w:rPr>
        <w:t xml:space="preserve"> </w:t>
      </w:r>
      <w:r>
        <w:rPr>
          <w:rFonts w:hint="cs"/>
          <w:rtl/>
        </w:rPr>
        <w:t>"</w:t>
      </w:r>
      <w:r w:rsidRPr="00AC0F7A">
        <w:rPr>
          <w:rtl/>
        </w:rPr>
        <w:t>וכפר אהרן על קרנתיו אחת בשנה</w:t>
      </w:r>
      <w:r>
        <w:rPr>
          <w:rFonts w:hint="cs"/>
          <w:rtl/>
        </w:rPr>
        <w:t>,</w:t>
      </w:r>
      <w:r w:rsidRPr="00AC0F7A">
        <w:rPr>
          <w:rtl/>
        </w:rPr>
        <w:t xml:space="preserve"> מדם חטאת הכפרים אחת בשנה יכפר עליו לדרתיכם קדש קדשים הוא לה'</w:t>
      </w:r>
      <w:r>
        <w:rPr>
          <w:rFonts w:hint="cs"/>
          <w:rtl/>
        </w:rPr>
        <w:t xml:space="preserve">" </w:t>
      </w:r>
      <w:r>
        <w:rPr>
          <w:rFonts w:hint="cs"/>
          <w:sz w:val="16"/>
          <w:szCs w:val="16"/>
          <w:rtl/>
        </w:rPr>
        <w:t>[שמות ל, י]</w:t>
      </w:r>
      <w:r>
        <w:rPr>
          <w:rFonts w:hint="cs"/>
          <w:rtl/>
        </w:rPr>
        <w:t>;</w:t>
      </w:r>
      <w:r w:rsidRPr="00AC0F7A">
        <w:rPr>
          <w:rtl/>
        </w:rPr>
        <w:t xml:space="preserve"> </w:t>
      </w:r>
      <w:r>
        <w:rPr>
          <w:rFonts w:hint="cs"/>
          <w:rtl/>
        </w:rPr>
        <w:t>"</w:t>
      </w:r>
      <w:r w:rsidRPr="00AC0F7A">
        <w:rPr>
          <w:rtl/>
        </w:rPr>
        <w:t>וכפר על הקדש מטמאת בני ישראל ומפשעיהם לכל חטאתם</w:t>
      </w:r>
      <w:r>
        <w:rPr>
          <w:rFonts w:hint="cs"/>
          <w:rtl/>
        </w:rPr>
        <w:t>,</w:t>
      </w:r>
      <w:r w:rsidRPr="00AC0F7A">
        <w:rPr>
          <w:rtl/>
        </w:rPr>
        <w:t xml:space="preserve"> וכן יעשה לאהל מועד השכן אתם בתוך טמאתם</w:t>
      </w:r>
      <w:r>
        <w:rPr>
          <w:rFonts w:hint="cs"/>
          <w:rtl/>
        </w:rPr>
        <w:t xml:space="preserve">" </w:t>
      </w:r>
      <w:r>
        <w:rPr>
          <w:rFonts w:hint="cs"/>
          <w:sz w:val="16"/>
          <w:szCs w:val="16"/>
          <w:rtl/>
        </w:rPr>
        <w:t>[ויקרא טז, טז]</w:t>
      </w:r>
      <w:r>
        <w:rPr>
          <w:rFonts w:hint="cs"/>
          <w:rtl/>
        </w:rPr>
        <w:t>; "</w:t>
      </w:r>
      <w:r w:rsidRPr="00AC0F7A">
        <w:rPr>
          <w:rtl/>
        </w:rPr>
        <w:t>וכפר את מקדש הקדש ואת אהל מועד ואת המזבח יכפר</w:t>
      </w:r>
      <w:r>
        <w:rPr>
          <w:rFonts w:hint="cs"/>
          <w:rtl/>
        </w:rPr>
        <w:t>,</w:t>
      </w:r>
      <w:r w:rsidRPr="00AC0F7A">
        <w:rPr>
          <w:rtl/>
        </w:rPr>
        <w:t xml:space="preserve"> ועל הכהנים ועל כל עם הקהל יכפר</w:t>
      </w:r>
      <w:r>
        <w:rPr>
          <w:rFonts w:hint="cs"/>
          <w:rtl/>
        </w:rPr>
        <w:t xml:space="preserve">" </w:t>
      </w:r>
      <w:r>
        <w:rPr>
          <w:rFonts w:hint="cs"/>
          <w:sz w:val="16"/>
          <w:szCs w:val="16"/>
          <w:rtl/>
        </w:rPr>
        <w:t>[שם, לג]</w:t>
      </w:r>
      <w:r>
        <w:rPr>
          <w:rFonts w:hint="cs"/>
          <w:rtl/>
        </w:rPr>
        <w:t>.</w:t>
      </w:r>
    </w:p>
  </w:footnote>
  <w:footnote w:id="9">
    <w:p w:rsidR="00A527D5" w:rsidRDefault="00A527D5" w:rsidP="00E064B4">
      <w:pPr>
        <w:pStyle w:val="a5"/>
        <w:rPr>
          <w:rtl/>
        </w:rPr>
      </w:pPr>
      <w:r>
        <w:rPr>
          <w:rStyle w:val="a7"/>
        </w:rPr>
        <w:footnoteRef/>
      </w:r>
      <w:r>
        <w:rPr>
          <w:rtl/>
        </w:rPr>
        <w:t xml:space="preserve"> </w:t>
      </w:r>
      <w:r>
        <w:rPr>
          <w:rFonts w:hint="cs"/>
          <w:rtl/>
        </w:rPr>
        <w:t>הגמרא מבארת כי דברי רבי יוחנן דלעיל הם נאמרו בשם רבו, אך רבי יוחנן עצמו סבור שדרשה זו אמורה ביחס ליום הכיפורים בלבד.</w:t>
      </w:r>
    </w:p>
  </w:footnote>
  <w:footnote w:id="10">
    <w:p w:rsidR="00A527D5" w:rsidRPr="00A050C4" w:rsidRDefault="00A527D5" w:rsidP="00E064B4">
      <w:pPr>
        <w:pStyle w:val="a5"/>
        <w:rPr>
          <w:rtl/>
        </w:rPr>
      </w:pPr>
      <w:r>
        <w:rPr>
          <w:rStyle w:val="a7"/>
        </w:rPr>
        <w:footnoteRef/>
      </w:r>
      <w:r>
        <w:rPr>
          <w:rtl/>
        </w:rPr>
        <w:t xml:space="preserve"> </w:t>
      </w:r>
      <w:r>
        <w:rPr>
          <w:rFonts w:hint="cs"/>
          <w:rtl/>
        </w:rPr>
        <w:t>"</w:t>
      </w:r>
      <w:r w:rsidRPr="00A050C4">
        <w:rPr>
          <w:rtl/>
        </w:rPr>
        <w:t>ואסף איש טהור את אפר הפרה והניח מחוץ למחנה במקום טהור</w:t>
      </w:r>
      <w:r>
        <w:rPr>
          <w:rFonts w:hint="cs"/>
          <w:rtl/>
        </w:rPr>
        <w:t>,</w:t>
      </w:r>
      <w:r w:rsidRPr="00A050C4">
        <w:rPr>
          <w:rtl/>
        </w:rPr>
        <w:t xml:space="preserve"> והיתה לעדת בני  ישראל למשמרת למי נדה </w:t>
      </w:r>
      <w:r w:rsidRPr="00A050C4">
        <w:rPr>
          <w:b/>
          <w:bCs/>
          <w:rtl/>
        </w:rPr>
        <w:t>חטאת הוא</w:t>
      </w:r>
      <w:r>
        <w:rPr>
          <w:rFonts w:hint="cs"/>
          <w:rtl/>
        </w:rPr>
        <w:t xml:space="preserve">" </w:t>
      </w:r>
      <w:r>
        <w:rPr>
          <w:rFonts w:hint="cs"/>
          <w:sz w:val="16"/>
          <w:szCs w:val="16"/>
          <w:rtl/>
        </w:rPr>
        <w:t>[במדבר יט, ט]</w:t>
      </w:r>
      <w:r>
        <w:rPr>
          <w:rFonts w:hint="cs"/>
          <w:rtl/>
        </w:rPr>
        <w:t>.</w:t>
      </w:r>
    </w:p>
  </w:footnote>
  <w:footnote w:id="11">
    <w:p w:rsidR="00A527D5" w:rsidRPr="008D64E2" w:rsidRDefault="00A527D5" w:rsidP="00E064B4">
      <w:pPr>
        <w:pStyle w:val="a5"/>
      </w:pPr>
      <w:r>
        <w:rPr>
          <w:rStyle w:val="a7"/>
        </w:rPr>
        <w:footnoteRef/>
      </w:r>
      <w:r>
        <w:rPr>
          <w:rtl/>
        </w:rPr>
        <w:t xml:space="preserve"> </w:t>
      </w:r>
      <w:r>
        <w:rPr>
          <w:rFonts w:hint="cs"/>
          <w:rtl/>
        </w:rPr>
        <w:t xml:space="preserve">כן טוען הרב שג"ר בספרו 'שיעורים בגמרא - יומא' </w:t>
      </w:r>
      <w:r>
        <w:rPr>
          <w:rFonts w:hint="cs"/>
          <w:sz w:val="16"/>
          <w:szCs w:val="16"/>
          <w:rtl/>
        </w:rPr>
        <w:t>[</w:t>
      </w:r>
      <w:r w:rsidRPr="008D64E2">
        <w:rPr>
          <w:rFonts w:hint="cs"/>
          <w:sz w:val="16"/>
          <w:szCs w:val="16"/>
          <w:rtl/>
        </w:rPr>
        <w:t>עמ' 59]</w:t>
      </w:r>
      <w:r>
        <w:rPr>
          <w:rFonts w:hint="cs"/>
          <w:rtl/>
        </w:rPr>
        <w:t>.</w:t>
      </w:r>
    </w:p>
  </w:footnote>
  <w:footnote w:id="12">
    <w:p w:rsidR="00A527D5" w:rsidRPr="00EB5796" w:rsidRDefault="00A527D5" w:rsidP="00E064B4">
      <w:pPr>
        <w:pStyle w:val="a5"/>
        <w:rPr>
          <w:color w:val="FF0000"/>
        </w:rPr>
      </w:pPr>
      <w:r>
        <w:rPr>
          <w:rStyle w:val="a7"/>
        </w:rPr>
        <w:footnoteRef/>
      </w:r>
      <w:r>
        <w:rPr>
          <w:rtl/>
        </w:rPr>
        <w:t xml:space="preserve"> </w:t>
      </w:r>
      <w:r>
        <w:rPr>
          <w:rFonts w:hint="cs"/>
          <w:rtl/>
        </w:rPr>
        <w:t xml:space="preserve">בחדושי הגרמ"ז </w:t>
      </w:r>
      <w:r>
        <w:rPr>
          <w:rFonts w:hint="cs"/>
          <w:sz w:val="16"/>
          <w:szCs w:val="16"/>
          <w:rtl/>
        </w:rPr>
        <w:t>[סי' יג]</w:t>
      </w:r>
      <w:r>
        <w:rPr>
          <w:rFonts w:hint="cs"/>
          <w:rtl/>
        </w:rPr>
        <w:t xml:space="preserve"> מובא שרבי מנחם זמבא הי"ד דן בשאלה זו, אמנם שם מובאים צדדים שונים לספק: האם החיוב הוא מחמת קדושת המקום או מחמת קדושת היום; ועי' בספר 'מבית לפרוכת' </w:t>
      </w:r>
      <w:r>
        <w:rPr>
          <w:rFonts w:hint="cs"/>
          <w:sz w:val="16"/>
          <w:szCs w:val="16"/>
          <w:rtl/>
        </w:rPr>
        <w:t>[עמ' 29-30]</w:t>
      </w:r>
      <w:r>
        <w:rPr>
          <w:rFonts w:hint="cs"/>
          <w:rtl/>
        </w:rPr>
        <w:t xml:space="preserve"> הדן בדבריו.</w:t>
      </w:r>
    </w:p>
  </w:footnote>
  <w:footnote w:id="13">
    <w:p w:rsidR="00A527D5" w:rsidRPr="00F95E82" w:rsidRDefault="00A527D5" w:rsidP="00E064B4">
      <w:pPr>
        <w:pStyle w:val="a5"/>
        <w:rPr>
          <w:rtl/>
        </w:rPr>
      </w:pPr>
      <w:r>
        <w:rPr>
          <w:rStyle w:val="a7"/>
        </w:rPr>
        <w:footnoteRef/>
      </w:r>
      <w:r>
        <w:rPr>
          <w:rtl/>
        </w:rPr>
        <w:t xml:space="preserve"> </w:t>
      </w:r>
      <w:r>
        <w:rPr>
          <w:rFonts w:hint="cs"/>
          <w:rtl/>
        </w:rPr>
        <w:t xml:space="preserve">הגרי"ד סולוביצ'יק </w:t>
      </w:r>
      <w:r>
        <w:rPr>
          <w:rFonts w:hint="cs"/>
          <w:sz w:val="16"/>
          <w:szCs w:val="16"/>
          <w:rtl/>
        </w:rPr>
        <w:t>[שיעורי הגרי"ד עמ' יז]</w:t>
      </w:r>
      <w:r>
        <w:rPr>
          <w:rFonts w:hint="cs"/>
          <w:rtl/>
        </w:rPr>
        <w:t xml:space="preserve"> מבאר את המעמד הייחודי הנדרש לעבודת יום הכיפורים: "שכדי לעבוד ביום הכיפורים הכהן הגדול צריך לעמוד תחת אהרן הכהן. ואף על פי שבדרך כלל אין הכהן הגדול צריך לעמוד תחת אהרן, ודי לנו בכך שנתמנה ככהן גדול, הרי שביום הכיפורים, מאחר שהוא חייב להיכנס לקדש הקדשים, אין לנו אלא כהן העומד תחת אהרן הכהן". ניתן להטעים את דבריו, שעבודת יום הכיפורים ביסודה היא מעין שחזור של עבודת חנוכת המשכן שנעשתה על ידי אהרן הכהן בשעת חנוכת המשכן. בהתאם לכך, לעבודה זו לא די ב'קדושת כהן גדול', אלא עבודה זו צריכה להיעשות על ידי אהרן עצמו; ולכן הכהן הגדול צריך לעמוד תחת אהרן כדי שיראה ראוי לעבודה זו.</w:t>
      </w:r>
    </w:p>
  </w:footnote>
  <w:footnote w:id="14">
    <w:p w:rsidR="00A527D5" w:rsidRPr="00F95E82" w:rsidRDefault="00A527D5" w:rsidP="00E064B4">
      <w:pPr>
        <w:pStyle w:val="a5"/>
        <w:rPr>
          <w:rtl/>
        </w:rPr>
      </w:pPr>
      <w:r>
        <w:rPr>
          <w:rStyle w:val="a7"/>
        </w:rPr>
        <w:footnoteRef/>
      </w:r>
      <w:r>
        <w:rPr>
          <w:rtl/>
        </w:rPr>
        <w:t xml:space="preserve"> </w:t>
      </w:r>
      <w:r>
        <w:rPr>
          <w:rFonts w:hint="cs"/>
          <w:rtl/>
        </w:rPr>
        <w:t xml:space="preserve">על פי זה, קיימים שני דינים שונים: בשעת מינוי לכהן גדול יש צורך בשבעה ימים של 'משיחה וריבוי' כדי להתמנות לעבודת יום הכיפורים. בנוסף, בכל שנה יש חובה לפרוש בכל שנה שבעת ימים קודם יום הכיפורים, כדי להיות ראוי לביצוע עבודות אלו. [שני דינים אלו נלמדים משתי דרשות שונות. את חובת 'שבעת ימי משיחה וריבוי' לצורך עבודת יום הכיפורים לומדת הגמרא </w:t>
      </w:r>
      <w:r>
        <w:rPr>
          <w:rFonts w:hint="cs"/>
          <w:sz w:val="16"/>
          <w:szCs w:val="16"/>
          <w:rtl/>
        </w:rPr>
        <w:t>[ה.]</w:t>
      </w:r>
      <w:r>
        <w:rPr>
          <w:rFonts w:hint="cs"/>
          <w:rtl/>
        </w:rPr>
        <w:t xml:space="preserve"> מהכתוב </w:t>
      </w:r>
      <w:r>
        <w:rPr>
          <w:rFonts w:hint="cs"/>
          <w:sz w:val="16"/>
          <w:szCs w:val="16"/>
          <w:rtl/>
        </w:rPr>
        <w:t>[שמות כט, ל]</w:t>
      </w:r>
      <w:r>
        <w:rPr>
          <w:rFonts w:hint="cs"/>
          <w:rtl/>
        </w:rPr>
        <w:t>: "</w:t>
      </w:r>
      <w:r w:rsidRPr="00F95E82">
        <w:rPr>
          <w:rtl/>
        </w:rPr>
        <w:t>שבעת ימים ילבשם הכהן תחתיו מבניו</w:t>
      </w:r>
      <w:r>
        <w:rPr>
          <w:rFonts w:hint="cs"/>
          <w:rtl/>
        </w:rPr>
        <w:t>,</w:t>
      </w:r>
      <w:r w:rsidRPr="00F95E82">
        <w:rPr>
          <w:rtl/>
        </w:rPr>
        <w:t xml:space="preserve"> אשר יבא אל אהל מועד לשרת בקדש</w:t>
      </w:r>
      <w:r>
        <w:rPr>
          <w:rFonts w:hint="cs"/>
          <w:rtl/>
        </w:rPr>
        <w:t xml:space="preserve">". לעומת זאת, את החובה לפרוש בכל שנה שבעת ימים קודם יום הכיפורים לומדת הגמרא </w:t>
      </w:r>
      <w:r>
        <w:rPr>
          <w:rFonts w:hint="cs"/>
          <w:sz w:val="16"/>
          <w:szCs w:val="16"/>
          <w:rtl/>
        </w:rPr>
        <w:t>[ב.]</w:t>
      </w:r>
      <w:r>
        <w:rPr>
          <w:rFonts w:hint="cs"/>
          <w:rtl/>
        </w:rPr>
        <w:t xml:space="preserve"> מהכתוב </w:t>
      </w:r>
      <w:r>
        <w:rPr>
          <w:rFonts w:hint="cs"/>
          <w:sz w:val="16"/>
          <w:szCs w:val="16"/>
          <w:rtl/>
        </w:rPr>
        <w:t>[ויקרא ח, לד]</w:t>
      </w:r>
      <w:r>
        <w:rPr>
          <w:rFonts w:hint="cs"/>
          <w:rtl/>
        </w:rPr>
        <w:t>: "</w:t>
      </w:r>
      <w:r w:rsidRPr="00F95E82">
        <w:rPr>
          <w:rtl/>
        </w:rPr>
        <w:t>כאשר עשה ביום הזה</w:t>
      </w:r>
      <w:r>
        <w:rPr>
          <w:rFonts w:hint="cs"/>
          <w:rtl/>
        </w:rPr>
        <w:t>,</w:t>
      </w:r>
      <w:r w:rsidRPr="00F95E82">
        <w:rPr>
          <w:rtl/>
        </w:rPr>
        <w:t xml:space="preserve"> צוה ה' לעשת לכפר עליכם</w:t>
      </w:r>
      <w:r>
        <w:rPr>
          <w:rFonts w:hint="cs"/>
          <w:rtl/>
        </w:rPr>
        <w:t>"].</w:t>
      </w:r>
    </w:p>
  </w:footnote>
  <w:footnote w:id="15">
    <w:p w:rsidR="00A527D5" w:rsidRPr="00BC1E5A" w:rsidRDefault="00A527D5" w:rsidP="00E064B4">
      <w:pPr>
        <w:pStyle w:val="a5"/>
        <w:rPr>
          <w:rtl/>
        </w:rPr>
      </w:pPr>
      <w:r>
        <w:rPr>
          <w:rStyle w:val="a7"/>
        </w:rPr>
        <w:footnoteRef/>
      </w:r>
      <w:r>
        <w:rPr>
          <w:rtl/>
        </w:rPr>
        <w:t xml:space="preserve"> </w:t>
      </w:r>
      <w:r>
        <w:rPr>
          <w:rFonts w:hint="cs"/>
          <w:rtl/>
        </w:rPr>
        <w:t xml:space="preserve">עי' בית ישי </w:t>
      </w:r>
      <w:r>
        <w:rPr>
          <w:rFonts w:hint="cs"/>
          <w:sz w:val="14"/>
          <w:szCs w:val="14"/>
          <w:rtl/>
        </w:rPr>
        <w:t>[סי' לב]</w:t>
      </w:r>
      <w:r>
        <w:rPr>
          <w:rFonts w:hint="cs"/>
          <w:rtl/>
        </w:rPr>
        <w:t xml:space="preserve"> המבאר בהרחבה את ההבדל בין המושגים. </w:t>
      </w:r>
    </w:p>
  </w:footnote>
  <w:footnote w:id="16">
    <w:p w:rsidR="00A527D5" w:rsidRPr="00220833" w:rsidRDefault="00A527D5" w:rsidP="00E064B4">
      <w:pPr>
        <w:pStyle w:val="a5"/>
      </w:pPr>
      <w:r>
        <w:rPr>
          <w:rStyle w:val="a7"/>
        </w:rPr>
        <w:footnoteRef/>
      </w:r>
      <w:r>
        <w:rPr>
          <w:rtl/>
        </w:rPr>
        <w:t xml:space="preserve"> </w:t>
      </w:r>
      <w:r>
        <w:rPr>
          <w:rFonts w:hint="cs"/>
          <w:rtl/>
        </w:rPr>
        <w:t xml:space="preserve">הרי"מ פיינשטיין טוען שהבנה זו מדויקת בלשון רש"י בפירושו לסוגיה </w:t>
      </w:r>
      <w:r>
        <w:rPr>
          <w:rFonts w:hint="cs"/>
          <w:sz w:val="16"/>
          <w:szCs w:val="16"/>
          <w:rtl/>
        </w:rPr>
        <w:t>[ה. ד"ה אין לי]</w:t>
      </w:r>
      <w:r>
        <w:rPr>
          <w:rFonts w:hint="cs"/>
          <w:rtl/>
        </w:rPr>
        <w:t xml:space="preserve">, וע"ע בלשון רש"י בפירושו לתורה </w:t>
      </w:r>
      <w:r>
        <w:rPr>
          <w:rFonts w:hint="cs"/>
          <w:sz w:val="16"/>
          <w:szCs w:val="16"/>
          <w:rtl/>
        </w:rPr>
        <w:t>[שמות כט, ל]</w:t>
      </w:r>
      <w:r>
        <w:rPr>
          <w:rFonts w:hint="cs"/>
          <w:rtl/>
        </w:rPr>
        <w:t>: "</w:t>
      </w:r>
      <w:r>
        <w:rPr>
          <w:rtl/>
        </w:rPr>
        <w:t>אשר יבא אל אהל מועד –</w:t>
      </w:r>
      <w:r>
        <w:rPr>
          <w:rFonts w:hint="cs"/>
          <w:rtl/>
        </w:rPr>
        <w:t xml:space="preserve"> </w:t>
      </w:r>
      <w:r w:rsidRPr="00220833">
        <w:rPr>
          <w:rtl/>
        </w:rPr>
        <w:t>אותו כהן המוכן ליכנס לפני ולפנים ביום הכפורים, וזהו כהן גדול, שאי</w:t>
      </w:r>
      <w:r>
        <w:rPr>
          <w:rtl/>
        </w:rPr>
        <w:t>ן עבודת יום הכפורים כשרה אלא בו</w:t>
      </w:r>
      <w:r>
        <w:rPr>
          <w:rFonts w:hint="cs"/>
          <w:rtl/>
        </w:rPr>
        <w:t xml:space="preserve">". </w:t>
      </w:r>
    </w:p>
  </w:footnote>
  <w:footnote w:id="17">
    <w:p w:rsidR="00A527D5" w:rsidRPr="003207AB" w:rsidRDefault="00A527D5" w:rsidP="009337C2">
      <w:pPr>
        <w:pStyle w:val="a5"/>
        <w:rPr>
          <w:rtl/>
        </w:rPr>
      </w:pPr>
      <w:r>
        <w:rPr>
          <w:rStyle w:val="a7"/>
        </w:rPr>
        <w:footnoteRef/>
      </w:r>
      <w:r>
        <w:rPr>
          <w:rtl/>
        </w:rPr>
        <w:t xml:space="preserve"> </w:t>
      </w:r>
      <w:r>
        <w:rPr>
          <w:rFonts w:hint="cs"/>
          <w:rtl/>
        </w:rPr>
        <w:t xml:space="preserve">וכעין זה כותב הירושלמי במסכת יומא </w:t>
      </w:r>
      <w:r>
        <w:rPr>
          <w:rFonts w:hint="cs"/>
          <w:sz w:val="16"/>
          <w:szCs w:val="16"/>
          <w:rtl/>
        </w:rPr>
        <w:t>[פ"א ה"א]</w:t>
      </w:r>
      <w:r>
        <w:rPr>
          <w:rFonts w:hint="cs"/>
          <w:rtl/>
        </w:rPr>
        <w:t>.</w:t>
      </w:r>
    </w:p>
  </w:footnote>
  <w:footnote w:id="18">
    <w:p w:rsidR="00A527D5" w:rsidRPr="00A92187" w:rsidRDefault="00A527D5" w:rsidP="009337C2">
      <w:pPr>
        <w:pStyle w:val="a5"/>
      </w:pPr>
      <w:r>
        <w:rPr>
          <w:rStyle w:val="a7"/>
        </w:rPr>
        <w:footnoteRef/>
      </w:r>
      <w:r>
        <w:rPr>
          <w:rtl/>
        </w:rPr>
        <w:t xml:space="preserve"> </w:t>
      </w:r>
      <w:r>
        <w:rPr>
          <w:rFonts w:hint="cs"/>
          <w:rtl/>
        </w:rPr>
        <w:t xml:space="preserve">יש לשאול על כך, מדוע קיימת חובה למנות את הכהן החלופי כבר לפני כהן גדול, ומדוע לא ניתן להמתין ולמנותו רק אם יצטרך להיכנס לעבודה תחת הכהן הגדול. המנחת אברהם </w:t>
      </w:r>
      <w:r>
        <w:rPr>
          <w:rFonts w:hint="cs"/>
          <w:sz w:val="16"/>
          <w:szCs w:val="16"/>
          <w:rtl/>
        </w:rPr>
        <w:t>[ח"ב סי' כח פרק ד]</w:t>
      </w:r>
      <w:r>
        <w:rPr>
          <w:rFonts w:hint="cs"/>
          <w:rtl/>
        </w:rPr>
        <w:t xml:space="preserve"> מבאר, כי לשיטת הראב"ד יש להפריש גם את הכהן החלופי שבעת ימים קודם יום הכיפורים, ולשם כך יש למנותו כבר בשעה זו.</w:t>
      </w:r>
      <w:r>
        <w:rPr>
          <w:rtl/>
        </w:rPr>
        <w:tab/>
      </w:r>
    </w:p>
  </w:footnote>
  <w:footnote w:id="19">
    <w:p w:rsidR="00A527D5" w:rsidRPr="00EE796A" w:rsidRDefault="00A527D5" w:rsidP="009337C2">
      <w:pPr>
        <w:pStyle w:val="a5"/>
      </w:pPr>
      <w:r>
        <w:rPr>
          <w:rStyle w:val="a7"/>
        </w:rPr>
        <w:footnoteRef/>
      </w:r>
      <w:r>
        <w:rPr>
          <w:rtl/>
        </w:rPr>
        <w:t xml:space="preserve"> </w:t>
      </w:r>
      <w:r>
        <w:rPr>
          <w:rFonts w:hint="cs"/>
          <w:rtl/>
        </w:rPr>
        <w:t xml:space="preserve">תוספות ישנים מביאים שיטה חולקת בשם רבנו, כי את הפר מביא הכהן החלופי. [ועי' תוספות </w:t>
      </w:r>
      <w:r>
        <w:rPr>
          <w:rFonts w:hint="cs"/>
          <w:sz w:val="16"/>
          <w:szCs w:val="16"/>
          <w:rtl/>
        </w:rPr>
        <w:t>[מגילה ט: ד"ה אין בין]</w:t>
      </w:r>
      <w:r>
        <w:rPr>
          <w:rFonts w:hint="cs"/>
          <w:rtl/>
        </w:rPr>
        <w:t xml:space="preserve"> הנוקטים כריב"א].</w:t>
      </w:r>
    </w:p>
  </w:footnote>
  <w:footnote w:id="20">
    <w:p w:rsidR="00A527D5" w:rsidRPr="00567E6E" w:rsidRDefault="00A527D5" w:rsidP="009337C2">
      <w:pPr>
        <w:pStyle w:val="a5"/>
        <w:rPr>
          <w:rtl/>
        </w:rPr>
      </w:pPr>
      <w:r>
        <w:rPr>
          <w:rStyle w:val="a7"/>
        </w:rPr>
        <w:footnoteRef/>
      </w:r>
      <w:r>
        <w:rPr>
          <w:rtl/>
        </w:rPr>
        <w:t xml:space="preserve"> </w:t>
      </w:r>
      <w:r>
        <w:rPr>
          <w:rFonts w:hint="cs"/>
          <w:rtl/>
        </w:rPr>
        <w:t xml:space="preserve">עיקרון זה מפורש בדברי תוס' ישנים להלן </w:t>
      </w:r>
      <w:r>
        <w:rPr>
          <w:rFonts w:hint="cs"/>
          <w:sz w:val="16"/>
          <w:szCs w:val="16"/>
          <w:rtl/>
        </w:rPr>
        <w:t>[מט: ד"ה שחט]</w:t>
      </w:r>
      <w:r>
        <w:rPr>
          <w:rFonts w:hint="cs"/>
          <w:rtl/>
        </w:rPr>
        <w:t xml:space="preserve">, המעלים סברה שאם הכהן הגדול שחט את פרו ולאחר מכן נטמא </w:t>
      </w:r>
      <w:r>
        <w:rPr>
          <w:rtl/>
        </w:rPr>
        <w:t>–</w:t>
      </w:r>
      <w:r>
        <w:rPr>
          <w:rFonts w:hint="cs"/>
          <w:rtl/>
        </w:rPr>
        <w:t xml:space="preserve"> הכהן הנכנס תחתיו מקריב את קרבנו, "</w:t>
      </w:r>
      <w:r w:rsidRPr="00567E6E">
        <w:rPr>
          <w:rFonts w:hint="cs"/>
          <w:b/>
          <w:bCs/>
          <w:rtl/>
        </w:rPr>
        <w:t>שאינו אלא שלוחו של ראשון</w:t>
      </w:r>
      <w:r>
        <w:rPr>
          <w:rFonts w:hint="cs"/>
          <w:rtl/>
        </w:rPr>
        <w:t xml:space="preserve"> ופר עצמו קרינא ביה".</w:t>
      </w:r>
    </w:p>
  </w:footnote>
  <w:footnote w:id="21">
    <w:p w:rsidR="00A527D5" w:rsidRDefault="00A527D5" w:rsidP="009337C2">
      <w:pPr>
        <w:pStyle w:val="a5"/>
        <w:rPr>
          <w:rtl/>
        </w:rPr>
      </w:pPr>
      <w:r>
        <w:rPr>
          <w:rStyle w:val="a7"/>
        </w:rPr>
        <w:footnoteRef/>
      </w:r>
      <w:r>
        <w:rPr>
          <w:rtl/>
        </w:rPr>
        <w:t xml:space="preserve"> </w:t>
      </w:r>
      <w:r>
        <w:rPr>
          <w:rFonts w:hint="cs"/>
          <w:rtl/>
        </w:rPr>
        <w:t>נראה כי לפי הרמב"ם, זהו טעם הדין שאין ממנים שני כהנים גדולים כאחד.</w:t>
      </w:r>
    </w:p>
  </w:footnote>
  <w:footnote w:id="22">
    <w:p w:rsidR="00A527D5" w:rsidRPr="001F3253" w:rsidRDefault="00A527D5" w:rsidP="009337C2">
      <w:pPr>
        <w:pStyle w:val="a5"/>
      </w:pPr>
      <w:r>
        <w:rPr>
          <w:rStyle w:val="a7"/>
        </w:rPr>
        <w:footnoteRef/>
      </w:r>
      <w:r>
        <w:rPr>
          <w:rtl/>
        </w:rPr>
        <w:t xml:space="preserve"> </w:t>
      </w:r>
      <w:r>
        <w:rPr>
          <w:rFonts w:hint="cs"/>
          <w:rtl/>
        </w:rPr>
        <w:t xml:space="preserve">עי' מנחת אברהם </w:t>
      </w:r>
      <w:r>
        <w:rPr>
          <w:rFonts w:hint="cs"/>
          <w:sz w:val="16"/>
          <w:szCs w:val="16"/>
          <w:rtl/>
        </w:rPr>
        <w:t>[ח"ב סי' כח פ"ב אות ב]</w:t>
      </w:r>
      <w:r>
        <w:rPr>
          <w:rFonts w:hint="cs"/>
          <w:rtl/>
        </w:rPr>
        <w:t xml:space="preserve"> המביא להבנה זו ראיות שונות. </w:t>
      </w:r>
    </w:p>
  </w:footnote>
  <w:footnote w:id="23">
    <w:p w:rsidR="00A527D5" w:rsidRPr="001F3253" w:rsidRDefault="00A527D5" w:rsidP="009337C2">
      <w:pPr>
        <w:pStyle w:val="a5"/>
      </w:pPr>
      <w:r>
        <w:rPr>
          <w:rStyle w:val="a7"/>
        </w:rPr>
        <w:footnoteRef/>
      </w:r>
      <w:r>
        <w:rPr>
          <w:rtl/>
        </w:rPr>
        <w:t xml:space="preserve"> </w:t>
      </w:r>
      <w:r>
        <w:rPr>
          <w:rFonts w:hint="cs"/>
          <w:rtl/>
        </w:rPr>
        <w:t xml:space="preserve">כן מבאר הרב יעקב פרנצוס במאמרו 'חינוך כהן גדול </w:t>
      </w:r>
      <w:r>
        <w:rPr>
          <w:rtl/>
        </w:rPr>
        <w:t>–</w:t>
      </w:r>
      <w:r>
        <w:rPr>
          <w:rFonts w:hint="cs"/>
          <w:rtl/>
        </w:rPr>
        <w:t xml:space="preserve"> מלכות ושליחות' </w:t>
      </w:r>
      <w:r>
        <w:rPr>
          <w:rFonts w:hint="cs"/>
          <w:sz w:val="16"/>
          <w:szCs w:val="16"/>
          <w:rtl/>
        </w:rPr>
        <w:t>[עלון שבות 150 עמ' 310]</w:t>
      </w:r>
      <w:r>
        <w:rPr>
          <w:rFonts w:hint="cs"/>
          <w:rtl/>
        </w:rPr>
        <w:t xml:space="preserve">, ועי' מנחת אברהם </w:t>
      </w:r>
      <w:r>
        <w:rPr>
          <w:rFonts w:hint="cs"/>
          <w:sz w:val="16"/>
          <w:szCs w:val="16"/>
          <w:rtl/>
        </w:rPr>
        <w:t>[שם]</w:t>
      </w:r>
      <w:r>
        <w:rPr>
          <w:rFonts w:hint="cs"/>
          <w:rtl/>
        </w:rPr>
        <w:t xml:space="preserve"> הכותב כעין זה.</w:t>
      </w:r>
    </w:p>
  </w:footnote>
  <w:footnote w:id="24">
    <w:p w:rsidR="00A527D5" w:rsidRPr="007D7222" w:rsidRDefault="00A527D5" w:rsidP="009337C2">
      <w:pPr>
        <w:pStyle w:val="a5"/>
        <w:rPr>
          <w:rtl/>
        </w:rPr>
      </w:pPr>
      <w:r>
        <w:rPr>
          <w:rStyle w:val="a7"/>
        </w:rPr>
        <w:footnoteRef/>
      </w:r>
      <w:r>
        <w:rPr>
          <w:rtl/>
        </w:rPr>
        <w:t xml:space="preserve"> </w:t>
      </w:r>
      <w:r>
        <w:rPr>
          <w:rFonts w:hint="cs"/>
          <w:rtl/>
        </w:rPr>
        <w:t xml:space="preserve">וכן כותב הרש"ש </w:t>
      </w:r>
      <w:r>
        <w:rPr>
          <w:rFonts w:hint="cs"/>
          <w:sz w:val="16"/>
          <w:szCs w:val="16"/>
          <w:rtl/>
        </w:rPr>
        <w:t>[שם, ד"ה פשיטא]</w:t>
      </w:r>
      <w:r>
        <w:rPr>
          <w:rFonts w:hint="cs"/>
          <w:rtl/>
        </w:rPr>
        <w:t>. [הזבח תודה והרש"ש מדייקים הבנה זו מדברי רש"י</w:t>
      </w:r>
      <w:r>
        <w:rPr>
          <w:rFonts w:hint="cs"/>
          <w:sz w:val="24"/>
          <w:szCs w:val="24"/>
          <w:rtl/>
        </w:rPr>
        <w:t xml:space="preserve"> </w:t>
      </w:r>
      <w:r>
        <w:rPr>
          <w:rFonts w:hint="cs"/>
          <w:sz w:val="14"/>
          <w:szCs w:val="14"/>
          <w:rtl/>
        </w:rPr>
        <w:t>[</w:t>
      </w:r>
      <w:r w:rsidRPr="00F7689D">
        <w:rPr>
          <w:rFonts w:hint="cs"/>
          <w:sz w:val="16"/>
          <w:szCs w:val="16"/>
          <w:rtl/>
        </w:rPr>
        <w:t>ד"ה במה מחנכי</w:t>
      </w:r>
      <w:r>
        <w:rPr>
          <w:rFonts w:hint="cs"/>
          <w:sz w:val="16"/>
          <w:szCs w:val="16"/>
          <w:rtl/>
        </w:rPr>
        <w:t>ן]</w:t>
      </w:r>
      <w:r>
        <w:rPr>
          <w:rFonts w:hint="cs"/>
          <w:rtl/>
        </w:rPr>
        <w:t xml:space="preserve">: "במה מחנכין אותו... </w:t>
      </w:r>
      <w:r>
        <w:rPr>
          <w:rFonts w:hint="cs"/>
          <w:b/>
          <w:bCs/>
          <w:rtl/>
        </w:rPr>
        <w:t>ובמה הוא ניכר שהוא כהן גדול מעולם</w:t>
      </w:r>
      <w:r>
        <w:rPr>
          <w:rFonts w:hint="cs"/>
          <w:rtl/>
        </w:rPr>
        <w:t xml:space="preserve">, ובמה יצא מהדיוטות, שתהא עבודת היום נעשית בכהן גדול". אמנם, עי' מנחת אברהם </w:t>
      </w:r>
      <w:r>
        <w:rPr>
          <w:rFonts w:hint="cs"/>
          <w:sz w:val="16"/>
          <w:szCs w:val="16"/>
          <w:rtl/>
        </w:rPr>
        <w:t>[שם, פ"א אות ד]</w:t>
      </w:r>
      <w:r>
        <w:rPr>
          <w:rFonts w:hint="cs"/>
          <w:rtl/>
        </w:rPr>
        <w:t xml:space="preserve"> טוען כי לאור דברי רש"י במסכת מכות </w:t>
      </w:r>
      <w:r>
        <w:rPr>
          <w:rFonts w:hint="cs"/>
          <w:sz w:val="16"/>
          <w:szCs w:val="16"/>
          <w:rtl/>
        </w:rPr>
        <w:t>[יא. ד"ה ואחד המרובה]</w:t>
      </w:r>
      <w:r>
        <w:rPr>
          <w:rFonts w:hint="cs"/>
          <w:rtl/>
        </w:rPr>
        <w:t xml:space="preserve"> יש לבאר את כוונתו באופן שונה: ההיכר אינו דין בפני עצמו, אלא משמעות 'הריבוי והמשיחה' הוא בכך שעל ידי זה ניכרת כהונה גדולה בהם].</w:t>
      </w:r>
    </w:p>
  </w:footnote>
  <w:footnote w:id="25">
    <w:p w:rsidR="00A527D5" w:rsidRPr="007D7222" w:rsidRDefault="00A527D5" w:rsidP="009337C2">
      <w:pPr>
        <w:pStyle w:val="a5"/>
        <w:rPr>
          <w:rtl/>
        </w:rPr>
      </w:pPr>
      <w:r>
        <w:rPr>
          <w:rStyle w:val="a7"/>
        </w:rPr>
        <w:footnoteRef/>
      </w:r>
      <w:r>
        <w:rPr>
          <w:rtl/>
        </w:rPr>
        <w:t xml:space="preserve"> </w:t>
      </w:r>
      <w:r>
        <w:rPr>
          <w:rFonts w:hint="cs"/>
          <w:rtl/>
        </w:rPr>
        <w:t xml:space="preserve">וכן כותב הבית ישי </w:t>
      </w:r>
      <w:r>
        <w:rPr>
          <w:rFonts w:hint="cs"/>
          <w:sz w:val="16"/>
          <w:szCs w:val="16"/>
          <w:rtl/>
        </w:rPr>
        <w:t>[סי' לב]</w:t>
      </w:r>
      <w:r>
        <w:rPr>
          <w:rFonts w:hint="cs"/>
          <w:rtl/>
        </w:rPr>
        <w:t>.</w:t>
      </w:r>
    </w:p>
  </w:footnote>
  <w:footnote w:id="26">
    <w:p w:rsidR="00A527D5" w:rsidRPr="007D7222" w:rsidRDefault="00A527D5" w:rsidP="009337C2">
      <w:pPr>
        <w:pStyle w:val="a5"/>
        <w:rPr>
          <w:sz w:val="22"/>
          <w:szCs w:val="22"/>
          <w:rtl/>
        </w:rPr>
      </w:pPr>
      <w:r>
        <w:rPr>
          <w:rStyle w:val="a7"/>
        </w:rPr>
        <w:footnoteRef/>
      </w:r>
      <w:r>
        <w:rPr>
          <w:rtl/>
        </w:rPr>
        <w:t xml:space="preserve"> </w:t>
      </w:r>
      <w:r>
        <w:rPr>
          <w:rFonts w:hint="cs"/>
          <w:rtl/>
        </w:rPr>
        <w:t xml:space="preserve">וכן כותבים פסקי תוספות </w:t>
      </w:r>
      <w:r>
        <w:rPr>
          <w:rFonts w:hint="cs"/>
          <w:sz w:val="18"/>
          <w:szCs w:val="18"/>
          <w:rtl/>
        </w:rPr>
        <w:t>[אות י]</w:t>
      </w:r>
      <w:r>
        <w:rPr>
          <w:rFonts w:hint="cs"/>
          <w:sz w:val="22"/>
          <w:szCs w:val="22"/>
          <w:rtl/>
        </w:rPr>
        <w:t>.</w:t>
      </w:r>
    </w:p>
  </w:footnote>
  <w:footnote w:id="27">
    <w:p w:rsidR="00A527D5" w:rsidRPr="006101A6" w:rsidRDefault="00A527D5" w:rsidP="009337C2">
      <w:pPr>
        <w:pStyle w:val="a5"/>
      </w:pPr>
      <w:r>
        <w:rPr>
          <w:rStyle w:val="a7"/>
        </w:rPr>
        <w:footnoteRef/>
      </w:r>
      <w:r>
        <w:rPr>
          <w:rtl/>
        </w:rPr>
        <w:t xml:space="preserve"> </w:t>
      </w:r>
      <w:r>
        <w:rPr>
          <w:rFonts w:hint="cs"/>
          <w:rtl/>
        </w:rPr>
        <w:t xml:space="preserve">עי' רש"ש </w:t>
      </w:r>
      <w:r>
        <w:rPr>
          <w:rFonts w:hint="cs"/>
          <w:sz w:val="16"/>
          <w:szCs w:val="16"/>
          <w:rtl/>
        </w:rPr>
        <w:t>[יב. רש"י ד"ה פשיטא]</w:t>
      </w:r>
      <w:r>
        <w:rPr>
          <w:rFonts w:hint="cs"/>
          <w:rtl/>
        </w:rPr>
        <w:t xml:space="preserve"> התמה על כך: "ובאמת לא ידעתי מנא לן</w:t>
      </w:r>
      <w:r w:rsidRPr="006101A6">
        <w:rPr>
          <w:rtl/>
        </w:rPr>
        <w:t xml:space="preserve"> דקרבנות</w:t>
      </w:r>
      <w:r>
        <w:rPr>
          <w:rtl/>
        </w:rPr>
        <w:t xml:space="preserve"> שאינן מחובות היום הוא דוקא בכ</w:t>
      </w:r>
      <w:r>
        <w:rPr>
          <w:rFonts w:hint="cs"/>
          <w:rtl/>
        </w:rPr>
        <w:t>הן גדול,</w:t>
      </w:r>
      <w:r w:rsidRPr="006101A6">
        <w:rPr>
          <w:rtl/>
        </w:rPr>
        <w:t xml:space="preserve"> דקרא ד</w:t>
      </w:r>
      <w:r>
        <w:rPr>
          <w:rFonts w:hint="cs"/>
          <w:rtl/>
        </w:rPr>
        <w:t>'</w:t>
      </w:r>
      <w:r w:rsidRPr="006101A6">
        <w:rPr>
          <w:rtl/>
        </w:rPr>
        <w:t>וכפר הכהן אשר ימשח אותו</w:t>
      </w:r>
      <w:r>
        <w:rPr>
          <w:rFonts w:hint="cs"/>
          <w:rtl/>
        </w:rPr>
        <w:t>'</w:t>
      </w:r>
      <w:r w:rsidRPr="006101A6">
        <w:rPr>
          <w:rtl/>
        </w:rPr>
        <w:t xml:space="preserve"> כו' אינו כתוב אלא בקרבנות דחובת היום</w:t>
      </w:r>
      <w:r>
        <w:rPr>
          <w:rFonts w:hint="cs"/>
          <w:rtl/>
        </w:rPr>
        <w:t>"</w:t>
      </w:r>
      <w:r w:rsidRPr="006101A6">
        <w:rPr>
          <w:rtl/>
        </w:rPr>
        <w:t>.</w:t>
      </w:r>
    </w:p>
  </w:footnote>
  <w:footnote w:id="28">
    <w:p w:rsidR="00A527D5" w:rsidRPr="002565C5" w:rsidRDefault="00A527D5" w:rsidP="009337C2">
      <w:pPr>
        <w:pStyle w:val="a5"/>
        <w:rPr>
          <w:rtl/>
        </w:rPr>
      </w:pPr>
      <w:r>
        <w:rPr>
          <w:rStyle w:val="a7"/>
        </w:rPr>
        <w:footnoteRef/>
      </w:r>
      <w:r>
        <w:rPr>
          <w:rtl/>
        </w:rPr>
        <w:t xml:space="preserve"> </w:t>
      </w:r>
      <w:r>
        <w:rPr>
          <w:rFonts w:hint="cs"/>
          <w:rtl/>
        </w:rPr>
        <w:t xml:space="preserve">הרמב"ם </w:t>
      </w:r>
      <w:r>
        <w:rPr>
          <w:rFonts w:hint="cs"/>
          <w:sz w:val="16"/>
          <w:szCs w:val="16"/>
          <w:rtl/>
        </w:rPr>
        <w:t>[הל' עבודת יום הכיפורים פ"ד ה"א]</w:t>
      </w:r>
      <w:r>
        <w:rPr>
          <w:rFonts w:hint="cs"/>
          <w:rtl/>
        </w:rPr>
        <w:t xml:space="preserve"> מזכיר לגבי יום הכיפורים פייס רק על תרומת הדשן, סידור המערכה ודישון המזבח. עולה מכך כי הוא מקבל את שיטת הרמב"ן לגבי 'עבודות לילה', שהן אינן טעונות כהן גדול, אך אינו מקבל את שיטת הרמב"ן לגבי 'הכשר עבודה', ולדעתו גם העבודות הנלוות היו נעשות על ידי הכהן הגדול בלבד. [ועי' תוס' </w:t>
      </w:r>
      <w:r>
        <w:rPr>
          <w:rFonts w:hint="cs"/>
          <w:sz w:val="16"/>
          <w:szCs w:val="16"/>
          <w:rtl/>
        </w:rPr>
        <w:t>[כ: ד"ה משום]</w:t>
      </w:r>
      <w:r>
        <w:rPr>
          <w:rFonts w:hint="cs"/>
          <w:rtl/>
        </w:rPr>
        <w:t xml:space="preserve"> הדנים האם היה פיס ביום הכיפורים על תרומת הדשן].</w:t>
      </w:r>
    </w:p>
  </w:footnote>
  <w:footnote w:id="29">
    <w:p w:rsidR="00A527D5" w:rsidRPr="00350256" w:rsidRDefault="00A527D5" w:rsidP="009337C2">
      <w:pPr>
        <w:pStyle w:val="a5"/>
        <w:rPr>
          <w:highlight w:val="yellow"/>
        </w:rPr>
      </w:pPr>
      <w:r>
        <w:rPr>
          <w:rStyle w:val="a7"/>
        </w:rPr>
        <w:footnoteRef/>
      </w:r>
      <w:r>
        <w:rPr>
          <w:rtl/>
        </w:rPr>
        <w:t xml:space="preserve"> </w:t>
      </w:r>
      <w:r>
        <w:rPr>
          <w:rFonts w:hint="cs"/>
          <w:rtl/>
        </w:rPr>
        <w:t xml:space="preserve">החזון איש </w:t>
      </w:r>
      <w:r>
        <w:rPr>
          <w:rFonts w:hint="cs"/>
          <w:sz w:val="16"/>
          <w:szCs w:val="16"/>
          <w:rtl/>
        </w:rPr>
        <w:t>[סי' קכו ס"ק י]</w:t>
      </w:r>
      <w:r>
        <w:rPr>
          <w:rFonts w:hint="cs"/>
          <w:rtl/>
        </w:rPr>
        <w:t xml:space="preserve"> כותב בביאו</w:t>
      </w:r>
      <w:r w:rsidRPr="00350256">
        <w:rPr>
          <w:rFonts w:hint="cs"/>
          <w:rtl/>
        </w:rPr>
        <w:t>ר גדר זה:</w:t>
      </w:r>
      <w:r>
        <w:rPr>
          <w:rFonts w:hint="cs"/>
          <w:rtl/>
        </w:rPr>
        <w:t xml:space="preserve"> "ונראה דמודה הרמב"ן דבשביל מצות י' קידושין וחליפת הבגדים צריך כהן גדול, אלא שלענין זה לא שייך פסול עבודה בכהן הדיוט, אלא שחסר מצוה, והלכך תמידין קריבין בכהן הדיוט היכי דליכא כהן הדיוט, ויקיים מצות תמידין כמו מצות כל יום, אלא שחסר עוד מצות יום הכפורים שיסדר כהן גדול ה' חליפות עבודות... ומה שכתב הרמב"ן שאינו אלא למצוה טפי בכהן גדול, ומבואר שם דמדרבנן קאמר, היינו שלענין מצות ה' עבודות שצריך שיהיה בכהן גדול היה סגי שיזרוק כהן גדול דם התמיד, אבל לא אכפת לן אם ישתתפו כהנים אחרים בעבודת התמיד, וחכמים תיקנו על עצם עבודת התמיד שיצטרך כל עבודה כהן גדול דוקא".</w:t>
      </w:r>
      <w:r w:rsidRPr="00350256">
        <w:rPr>
          <w:rFonts w:hint="cs"/>
          <w:rtl/>
        </w:rPr>
        <w:t xml:space="preserve"> </w:t>
      </w:r>
    </w:p>
  </w:footnote>
  <w:footnote w:id="30">
    <w:p w:rsidR="00A527D5" w:rsidRPr="007C0197" w:rsidRDefault="00A527D5" w:rsidP="009337C2">
      <w:pPr>
        <w:pStyle w:val="a5"/>
        <w:rPr>
          <w:rtl/>
        </w:rPr>
      </w:pPr>
      <w:r>
        <w:rPr>
          <w:rStyle w:val="a7"/>
        </w:rPr>
        <w:footnoteRef/>
      </w:r>
      <w:r>
        <w:rPr>
          <w:rtl/>
        </w:rPr>
        <w:t xml:space="preserve"> </w:t>
      </w:r>
      <w:r>
        <w:rPr>
          <w:rFonts w:hint="cs"/>
          <w:rtl/>
        </w:rPr>
        <w:t xml:space="preserve">הגמרא </w:t>
      </w:r>
      <w:r>
        <w:rPr>
          <w:rFonts w:hint="cs"/>
          <w:sz w:val="16"/>
          <w:szCs w:val="16"/>
          <w:rtl/>
        </w:rPr>
        <w:t>[לב.]</w:t>
      </w:r>
      <w:r>
        <w:rPr>
          <w:rFonts w:hint="cs"/>
          <w:rtl/>
        </w:rPr>
        <w:t xml:space="preserve"> מבארת את מקור דין זה.</w:t>
      </w:r>
    </w:p>
  </w:footnote>
  <w:footnote w:id="31">
    <w:p w:rsidR="00A527D5" w:rsidRPr="005A5843" w:rsidRDefault="00A527D5" w:rsidP="009337C2">
      <w:pPr>
        <w:pStyle w:val="a5"/>
        <w:rPr>
          <w:rtl/>
        </w:rPr>
      </w:pPr>
      <w:r>
        <w:rPr>
          <w:rStyle w:val="a7"/>
        </w:rPr>
        <w:footnoteRef/>
      </w:r>
      <w:r>
        <w:rPr>
          <w:rtl/>
        </w:rPr>
        <w:t xml:space="preserve"> </w:t>
      </w:r>
      <w:r>
        <w:rPr>
          <w:rFonts w:hint="cs"/>
          <w:rtl/>
        </w:rPr>
        <w:t xml:space="preserve">ניתן להציע הסבר לדין זה על פי דברי הראב"ד </w:t>
      </w:r>
      <w:r>
        <w:rPr>
          <w:rFonts w:hint="cs"/>
          <w:sz w:val="16"/>
          <w:szCs w:val="16"/>
          <w:rtl/>
        </w:rPr>
        <w:t>[בפירושו לספרא מכילתא דמילואים הל' ז]</w:t>
      </w:r>
      <w:r>
        <w:rPr>
          <w:rFonts w:hint="cs"/>
          <w:rtl/>
        </w:rPr>
        <w:t xml:space="preserve">, כי שבעת ימי המילואים והיום השמיני שבא לאחריהם מהווים דוגמא ליום הכיפורים: "ומה יש בה דוגמא ליום הכיפורים? לפרישת שבעה לכהן גדול והוא עובד בידיו בכל ימי הפרישה כדי להיות רגיל בעבודה, כמו שעשה אהרן בשבעת ימי המילואים שהיה רואה ומסייע למשה כדי להרגיל את ידיו, ובשמיני עבד אהרן, </w:t>
      </w:r>
      <w:r w:rsidRPr="005A5843">
        <w:rPr>
          <w:rFonts w:hint="cs"/>
          <w:b/>
          <w:bCs/>
          <w:rtl/>
        </w:rPr>
        <w:t>דוגמת יום הכפורים שאין עבודה כשרה אלא בו</w:t>
      </w:r>
      <w:r>
        <w:rPr>
          <w:rFonts w:hint="cs"/>
          <w:rtl/>
        </w:rPr>
        <w:t>". נראה מכך שזהו דין בעיצומו של יום, "שאין עבודה כשרה אלא בו", והוא נובע מכך הדמיון העמוק הקיים בין יום הכיפורים ליום חנוכת המשכן: כשם שביום זה עבד רק הכהן הגדול, כך לדורות ביום הכיפורים עובד הכהן הגדול לבדו. [אמנם, טענת הראב"ד שב"יום השמיני" עבד הכהן הגדול לבדו צ"ע, וייתכן ודבריו מבוססים על כך שגם לבניו היה דין כהנים גדולים הואיל ונמשחו בשמן המשחה, ואכמ"ל].</w:t>
      </w:r>
    </w:p>
  </w:footnote>
  <w:footnote w:id="32">
    <w:p w:rsidR="00A527D5" w:rsidRPr="000D5F04" w:rsidRDefault="00A527D5" w:rsidP="009337C2">
      <w:pPr>
        <w:pStyle w:val="a5"/>
        <w:rPr>
          <w:rtl/>
        </w:rPr>
      </w:pPr>
      <w:r>
        <w:rPr>
          <w:rStyle w:val="a7"/>
        </w:rPr>
        <w:footnoteRef/>
      </w:r>
      <w:r>
        <w:rPr>
          <w:rtl/>
        </w:rPr>
        <w:t xml:space="preserve"> </w:t>
      </w:r>
      <w:r>
        <w:rPr>
          <w:rFonts w:hint="cs"/>
          <w:rtl/>
        </w:rPr>
        <w:t xml:space="preserve">על פי דרכו טוען האור שמח, כי סילוק וסידור הבזיכין אינו צריך להיעשות דווקא על ידי כהן גדול, הואיל וזו אינה עבודה המיוחדת ליום זה, אלא המשך של המונח משבת שעברה. [ועי' מקדש דוד </w:t>
      </w:r>
      <w:r>
        <w:rPr>
          <w:rFonts w:hint="cs"/>
          <w:sz w:val="16"/>
          <w:szCs w:val="16"/>
          <w:rtl/>
        </w:rPr>
        <w:t>[כב, ב]</w:t>
      </w:r>
      <w:r>
        <w:rPr>
          <w:rFonts w:hint="cs"/>
          <w:rtl/>
        </w:rPr>
        <w:t xml:space="preserve"> הנוקט בפשטות שסידור הבזיכין ביום הכיפורים שחל בשבת צריך להיעשות על ידי כהן גדול].</w:t>
      </w:r>
    </w:p>
  </w:footnote>
  <w:footnote w:id="33">
    <w:p w:rsidR="00A527D5" w:rsidRPr="001F2242" w:rsidRDefault="00A527D5" w:rsidP="009337C2">
      <w:pPr>
        <w:pStyle w:val="a5"/>
        <w:rPr>
          <w:rtl/>
        </w:rPr>
      </w:pPr>
      <w:r>
        <w:rPr>
          <w:rStyle w:val="a7"/>
        </w:rPr>
        <w:footnoteRef/>
      </w:r>
      <w:r>
        <w:rPr>
          <w:rtl/>
        </w:rPr>
        <w:t xml:space="preserve"> </w:t>
      </w:r>
      <w:r>
        <w:rPr>
          <w:rFonts w:hint="cs"/>
          <w:rtl/>
        </w:rPr>
        <w:t xml:space="preserve">הירושלמי </w:t>
      </w:r>
      <w:r>
        <w:rPr>
          <w:rFonts w:hint="cs"/>
          <w:sz w:val="16"/>
          <w:szCs w:val="16"/>
          <w:rtl/>
        </w:rPr>
        <w:t>[פ"ז ה"ג]</w:t>
      </w:r>
      <w:r>
        <w:rPr>
          <w:rFonts w:hint="cs"/>
          <w:rtl/>
        </w:rPr>
        <w:t xml:space="preserve"> מביא לכך טעמים נוספים: "</w:t>
      </w:r>
      <w:r w:rsidRPr="001F2242">
        <w:rPr>
          <w:rtl/>
        </w:rPr>
        <w:t>מפני מה אינו משמש בבגדי זהב</w:t>
      </w:r>
      <w:r>
        <w:rPr>
          <w:rFonts w:hint="cs"/>
          <w:rtl/>
        </w:rPr>
        <w:t>?</w:t>
      </w:r>
      <w:r w:rsidRPr="001F2242">
        <w:rPr>
          <w:rtl/>
        </w:rPr>
        <w:t xml:space="preserve"> מפני הגאוה</w:t>
      </w:r>
      <w:r>
        <w:rPr>
          <w:rFonts w:hint="cs"/>
          <w:rtl/>
        </w:rPr>
        <w:t>.</w:t>
      </w:r>
      <w:r>
        <w:rPr>
          <w:rtl/>
        </w:rPr>
        <w:t xml:space="preserve"> א</w:t>
      </w:r>
      <w:r>
        <w:rPr>
          <w:rFonts w:hint="cs"/>
          <w:rtl/>
        </w:rPr>
        <w:t>מר רבי</w:t>
      </w:r>
      <w:r w:rsidRPr="001F2242">
        <w:rPr>
          <w:rtl/>
        </w:rPr>
        <w:t xml:space="preserve"> סימון</w:t>
      </w:r>
      <w:r>
        <w:rPr>
          <w:rFonts w:hint="cs"/>
          <w:rtl/>
        </w:rPr>
        <w:t>:</w:t>
      </w:r>
      <w:r w:rsidRPr="001F2242">
        <w:rPr>
          <w:rtl/>
        </w:rPr>
        <w:t xml:space="preserve"> על שם </w:t>
      </w:r>
      <w:r>
        <w:rPr>
          <w:rFonts w:hint="cs"/>
          <w:rtl/>
        </w:rPr>
        <w:t>'</w:t>
      </w:r>
      <w:r w:rsidRPr="001F2242">
        <w:rPr>
          <w:rtl/>
        </w:rPr>
        <w:t>אל תתהדר לפני מלך</w:t>
      </w:r>
      <w:r>
        <w:rPr>
          <w:rFonts w:hint="cs"/>
          <w:rtl/>
        </w:rPr>
        <w:t>'.</w:t>
      </w:r>
      <w:r>
        <w:rPr>
          <w:rtl/>
        </w:rPr>
        <w:t xml:space="preserve"> א</w:t>
      </w:r>
      <w:r>
        <w:rPr>
          <w:rFonts w:hint="cs"/>
          <w:rtl/>
        </w:rPr>
        <w:t>מר רבי</w:t>
      </w:r>
      <w:r w:rsidRPr="001F2242">
        <w:rPr>
          <w:rtl/>
        </w:rPr>
        <w:t xml:space="preserve"> לוי</w:t>
      </w:r>
      <w:r>
        <w:rPr>
          <w:rFonts w:hint="cs"/>
          <w:rtl/>
        </w:rPr>
        <w:t>:</w:t>
      </w:r>
      <w:r w:rsidRPr="001F2242">
        <w:rPr>
          <w:rtl/>
        </w:rPr>
        <w:t xml:space="preserve"> שאין קטיגור נעשה סניגור</w:t>
      </w:r>
      <w:r>
        <w:rPr>
          <w:rFonts w:hint="cs"/>
          <w:rtl/>
        </w:rPr>
        <w:t>,</w:t>
      </w:r>
      <w:r>
        <w:rPr>
          <w:rtl/>
        </w:rPr>
        <w:t xml:space="preserve"> אתמול כתיב בהם </w:t>
      </w:r>
      <w:r>
        <w:rPr>
          <w:rFonts w:hint="cs"/>
          <w:rtl/>
        </w:rPr>
        <w:t>'</w:t>
      </w:r>
      <w:r w:rsidRPr="001F2242">
        <w:rPr>
          <w:rtl/>
        </w:rPr>
        <w:t>ויעשו להם אלהי זהב</w:t>
      </w:r>
      <w:r>
        <w:rPr>
          <w:rFonts w:hint="cs"/>
          <w:rtl/>
        </w:rPr>
        <w:t>'</w:t>
      </w:r>
      <w:r w:rsidRPr="001F2242">
        <w:rPr>
          <w:rtl/>
        </w:rPr>
        <w:t xml:space="preserve"> ועכשיו הוא עומד ומשמש בבגדי זהב</w:t>
      </w:r>
      <w:r>
        <w:rPr>
          <w:rFonts w:hint="cs"/>
          <w:rtl/>
        </w:rPr>
        <w:t>".</w:t>
      </w:r>
    </w:p>
  </w:footnote>
  <w:footnote w:id="34">
    <w:p w:rsidR="00A527D5" w:rsidRPr="007D5839" w:rsidRDefault="00A527D5" w:rsidP="009337C2">
      <w:pPr>
        <w:pStyle w:val="a5"/>
      </w:pPr>
      <w:r>
        <w:rPr>
          <w:rStyle w:val="a7"/>
        </w:rPr>
        <w:footnoteRef/>
      </w:r>
      <w:r>
        <w:rPr>
          <w:rtl/>
        </w:rPr>
        <w:t xml:space="preserve"> </w:t>
      </w:r>
      <w:r>
        <w:rPr>
          <w:rFonts w:hint="cs"/>
          <w:rtl/>
        </w:rPr>
        <w:t xml:space="preserve">כדברי התורה </w:t>
      </w:r>
      <w:r>
        <w:rPr>
          <w:rFonts w:hint="cs"/>
          <w:sz w:val="16"/>
          <w:szCs w:val="16"/>
          <w:rtl/>
        </w:rPr>
        <w:t>[שמות לט, כט]</w:t>
      </w:r>
      <w:r>
        <w:rPr>
          <w:rFonts w:hint="cs"/>
          <w:rtl/>
        </w:rPr>
        <w:t>: "</w:t>
      </w:r>
      <w:r w:rsidRPr="007D5839">
        <w:rPr>
          <w:rtl/>
        </w:rPr>
        <w:t>ואת האבנט שש משזר ותכלת וארגמן ותולעת שני מעשה רקם</w:t>
      </w:r>
      <w:r>
        <w:rPr>
          <w:rFonts w:hint="cs"/>
          <w:rtl/>
        </w:rPr>
        <w:t>,</w:t>
      </w:r>
      <w:r>
        <w:rPr>
          <w:rtl/>
        </w:rPr>
        <w:t xml:space="preserve"> כאשר צוה ה' את </w:t>
      </w:r>
      <w:r w:rsidRPr="007D5839">
        <w:rPr>
          <w:rtl/>
        </w:rPr>
        <w:t>משה</w:t>
      </w:r>
      <w:r>
        <w:rPr>
          <w:rFonts w:hint="cs"/>
          <w:rtl/>
        </w:rPr>
        <w:t>".</w:t>
      </w:r>
    </w:p>
  </w:footnote>
  <w:footnote w:id="35">
    <w:p w:rsidR="00A527D5" w:rsidRPr="00AF315A" w:rsidRDefault="00A527D5" w:rsidP="009337C2">
      <w:pPr>
        <w:pStyle w:val="a5"/>
        <w:rPr>
          <w:rtl/>
        </w:rPr>
      </w:pPr>
      <w:r>
        <w:rPr>
          <w:rStyle w:val="a7"/>
        </w:rPr>
        <w:footnoteRef/>
      </w:r>
      <w:r>
        <w:rPr>
          <w:rtl/>
        </w:rPr>
        <w:t xml:space="preserve"> </w:t>
      </w:r>
      <w:r>
        <w:rPr>
          <w:rFonts w:hint="cs"/>
          <w:rtl/>
        </w:rPr>
        <w:t xml:space="preserve">אמנם ייתכן שגם אם קיים הבדל בין מצנפת למגבעת, הבדל זה אינו משמעותי ואינו מעכב; עי' על כך 'שערי היכל' </w:t>
      </w:r>
      <w:r>
        <w:rPr>
          <w:rFonts w:hint="cs"/>
          <w:sz w:val="16"/>
          <w:szCs w:val="16"/>
          <w:rtl/>
        </w:rPr>
        <w:t>[מערכה קעח]</w:t>
      </w:r>
      <w:r>
        <w:rPr>
          <w:rFonts w:hint="cs"/>
          <w:rtl/>
        </w:rPr>
        <w:t>, ואכמ"ל.</w:t>
      </w:r>
    </w:p>
  </w:footnote>
  <w:footnote w:id="36">
    <w:p w:rsidR="00A527D5" w:rsidRPr="001F2242" w:rsidRDefault="00A527D5" w:rsidP="009337C2">
      <w:pPr>
        <w:pStyle w:val="a5"/>
      </w:pPr>
      <w:r>
        <w:rPr>
          <w:rStyle w:val="a7"/>
        </w:rPr>
        <w:footnoteRef/>
      </w:r>
      <w:r>
        <w:rPr>
          <w:rFonts w:hint="cs"/>
          <w:rtl/>
        </w:rPr>
        <w:t xml:space="preserve"> וכן מובא בויקרא רבה </w:t>
      </w:r>
      <w:r>
        <w:rPr>
          <w:rFonts w:hint="cs"/>
          <w:sz w:val="14"/>
          <w:szCs w:val="14"/>
          <w:rtl/>
        </w:rPr>
        <w:t>[פרשת אחרי מות פרשה כא סי' יא]</w:t>
      </w:r>
      <w:r>
        <w:rPr>
          <w:rFonts w:hint="cs"/>
          <w:rtl/>
        </w:rPr>
        <w:t xml:space="preserve">; ועי' רמב"ן </w:t>
      </w:r>
      <w:r>
        <w:rPr>
          <w:rFonts w:hint="cs"/>
          <w:sz w:val="16"/>
          <w:szCs w:val="16"/>
          <w:rtl/>
        </w:rPr>
        <w:t>[ויקרא טז, ד]</w:t>
      </w:r>
      <w:r>
        <w:rPr>
          <w:rFonts w:hint="cs"/>
          <w:rtl/>
        </w:rPr>
        <w:t xml:space="preserve"> המביא מדרש זה.</w:t>
      </w:r>
    </w:p>
  </w:footnote>
  <w:footnote w:id="37">
    <w:p w:rsidR="00A527D5" w:rsidRPr="00601065" w:rsidRDefault="00A527D5" w:rsidP="009337C2">
      <w:pPr>
        <w:pStyle w:val="a5"/>
        <w:rPr>
          <w:rtl/>
        </w:rPr>
      </w:pPr>
      <w:r>
        <w:rPr>
          <w:rStyle w:val="a7"/>
        </w:rPr>
        <w:footnoteRef/>
      </w:r>
      <w:r>
        <w:rPr>
          <w:rtl/>
        </w:rPr>
        <w:t xml:space="preserve"> </w:t>
      </w:r>
      <w:r>
        <w:rPr>
          <w:rFonts w:hint="cs"/>
          <w:rtl/>
        </w:rPr>
        <w:t xml:space="preserve">בקשר בין עבודת יום הכיפורים לפרה אדומה עסקנו בהרחבה בשיעור השני </w:t>
      </w:r>
      <w:r>
        <w:rPr>
          <w:rFonts w:hint="cs"/>
          <w:sz w:val="16"/>
          <w:szCs w:val="16"/>
          <w:rtl/>
        </w:rPr>
        <w:t>['הפרשת כהן גדול שבעת ימים קודם יום הכיפורים']</w:t>
      </w:r>
      <w:r>
        <w:rPr>
          <w:rFonts w:hint="cs"/>
          <w:rtl/>
        </w:rPr>
        <w:t>.</w:t>
      </w:r>
    </w:p>
  </w:footnote>
  <w:footnote w:id="38">
    <w:p w:rsidR="00A527D5" w:rsidRDefault="00A527D5" w:rsidP="009337C2">
      <w:pPr>
        <w:pStyle w:val="a5"/>
        <w:rPr>
          <w:rtl/>
        </w:rPr>
      </w:pPr>
      <w:r>
        <w:rPr>
          <w:rStyle w:val="a7"/>
        </w:rPr>
        <w:footnoteRef/>
      </w:r>
      <w:r>
        <w:rPr>
          <w:rtl/>
        </w:rPr>
        <w:t xml:space="preserve"> </w:t>
      </w:r>
      <w:r>
        <w:rPr>
          <w:rFonts w:hint="cs"/>
          <w:rtl/>
        </w:rPr>
        <w:t xml:space="preserve">ייתכן ויש לקשור הסבר זה עם דברי הירושלמי דלעיל, כי באמצעות בגדי הלבן הכהן הגדול אמור להידמות למלאך. שמא משמעות הידמות זו היא ההיטהרות המוחלטת מכל הטומאות הבאות על ידי הגוף, בדומה למלאך שאין לו גוף, וכך הכהן הגדול ראוי לבצע את עבודות הכפרה והטהרה. </w:t>
      </w:r>
    </w:p>
  </w:footnote>
  <w:footnote w:id="39">
    <w:p w:rsidR="00A527D5" w:rsidRPr="00B60B1E" w:rsidRDefault="00A527D5" w:rsidP="009337C2">
      <w:pPr>
        <w:pStyle w:val="a5"/>
        <w:rPr>
          <w:rtl/>
        </w:rPr>
      </w:pPr>
      <w:r>
        <w:rPr>
          <w:rStyle w:val="a7"/>
        </w:rPr>
        <w:footnoteRef/>
      </w:r>
      <w:r>
        <w:rPr>
          <w:rtl/>
        </w:rPr>
        <w:t xml:space="preserve"> </w:t>
      </w:r>
      <w:r>
        <w:rPr>
          <w:rFonts w:hint="cs"/>
          <w:rtl/>
        </w:rPr>
        <w:t xml:space="preserve">וכן כותב הרמב"ם בפירוש המשנה </w:t>
      </w:r>
      <w:r>
        <w:rPr>
          <w:rFonts w:hint="cs"/>
          <w:sz w:val="16"/>
          <w:szCs w:val="16"/>
          <w:rtl/>
        </w:rPr>
        <w:t>[פרה פ"ד מ"א]</w:t>
      </w:r>
      <w:r>
        <w:rPr>
          <w:rFonts w:hint="cs"/>
          <w:rtl/>
        </w:rPr>
        <w:t>.</w:t>
      </w:r>
    </w:p>
  </w:footnote>
  <w:footnote w:id="40">
    <w:p w:rsidR="00A527D5" w:rsidRPr="00C30F7A" w:rsidRDefault="00A527D5" w:rsidP="009337C2">
      <w:pPr>
        <w:pStyle w:val="a5"/>
        <w:rPr>
          <w:rtl/>
        </w:rPr>
      </w:pPr>
      <w:r>
        <w:rPr>
          <w:rStyle w:val="a7"/>
        </w:rPr>
        <w:footnoteRef/>
      </w:r>
      <w:r>
        <w:rPr>
          <w:rtl/>
        </w:rPr>
        <w:t xml:space="preserve"> </w:t>
      </w:r>
      <w:r>
        <w:rPr>
          <w:rFonts w:hint="cs"/>
          <w:rtl/>
        </w:rPr>
        <w:t xml:space="preserve">המשנה למלך </w:t>
      </w:r>
      <w:r>
        <w:rPr>
          <w:rFonts w:hint="cs"/>
          <w:sz w:val="16"/>
          <w:szCs w:val="16"/>
          <w:rtl/>
        </w:rPr>
        <w:t>[שם]</w:t>
      </w:r>
      <w:r>
        <w:rPr>
          <w:rFonts w:hint="cs"/>
          <w:rtl/>
        </w:rPr>
        <w:t xml:space="preserve"> תמה על הרמב"ם, הואיל והמקור לדין זה הוא מעבודת יום הכיפורים, מניין לחלק בין הדינים ולקבוע ששריפת הפרה אינה נעשית בבגדי לבן אלא בבגדי כהן הדיוט. [החסדי דוד </w:t>
      </w:r>
      <w:r>
        <w:rPr>
          <w:rFonts w:hint="cs"/>
          <w:sz w:val="16"/>
          <w:szCs w:val="16"/>
          <w:rtl/>
        </w:rPr>
        <w:t>[תוספתא פרה ד, ו]</w:t>
      </w:r>
      <w:r>
        <w:rPr>
          <w:rFonts w:hint="cs"/>
          <w:rtl/>
        </w:rPr>
        <w:t xml:space="preserve"> טוען שמקורו של הרמב"ם הוא בתוספתא </w:t>
      </w:r>
      <w:r>
        <w:rPr>
          <w:rFonts w:hint="cs"/>
          <w:sz w:val="16"/>
          <w:szCs w:val="16"/>
          <w:rtl/>
        </w:rPr>
        <w:t>[שם]</w:t>
      </w:r>
      <w:r w:rsidRPr="00C30F7A">
        <w:rPr>
          <w:rFonts w:hint="cs"/>
          <w:rtl/>
        </w:rPr>
        <w:t>: "מצותה בבגדי לבן של כהן הדיוט"</w:t>
      </w:r>
      <w:r>
        <w:rPr>
          <w:rFonts w:hint="cs"/>
          <w:rtl/>
        </w:rPr>
        <w:t xml:space="preserve">, ועל פיה דין זה מבוסס על דרשה שונה: "ולקח אלעזר הכהן". אמנם בפירוש המשנה </w:t>
      </w:r>
      <w:r>
        <w:rPr>
          <w:rFonts w:hint="cs"/>
          <w:sz w:val="16"/>
          <w:szCs w:val="16"/>
          <w:rtl/>
        </w:rPr>
        <w:t>[שם]</w:t>
      </w:r>
      <w:r>
        <w:rPr>
          <w:rFonts w:hint="cs"/>
          <w:rtl/>
        </w:rPr>
        <w:t xml:space="preserve"> הרמב"ם מביא את דרשת הספרי, וצ"ע].</w:t>
      </w:r>
    </w:p>
  </w:footnote>
  <w:footnote w:id="41">
    <w:p w:rsidR="00A527D5" w:rsidRPr="00393625" w:rsidRDefault="00A527D5" w:rsidP="009337C2">
      <w:pPr>
        <w:pStyle w:val="a5"/>
        <w:rPr>
          <w:rFonts w:hint="cs"/>
          <w:rtl/>
        </w:rPr>
      </w:pPr>
      <w:r>
        <w:rPr>
          <w:rStyle w:val="a7"/>
        </w:rPr>
        <w:footnoteRef/>
      </w:r>
      <w:r>
        <w:rPr>
          <w:rtl/>
        </w:rPr>
        <w:t xml:space="preserve"> </w:t>
      </w:r>
      <w:r>
        <w:rPr>
          <w:rFonts w:hint="cs"/>
          <w:rtl/>
        </w:rPr>
        <w:t xml:space="preserve">כן כותב המקדש דוד </w:t>
      </w:r>
      <w:r>
        <w:rPr>
          <w:rFonts w:hint="cs"/>
          <w:sz w:val="16"/>
          <w:szCs w:val="16"/>
          <w:rtl/>
        </w:rPr>
        <w:t>[קדשים סי' לו ס"ק א]</w:t>
      </w:r>
      <w:r>
        <w:rPr>
          <w:rFonts w:hint="cs"/>
          <w:rtl/>
        </w:rPr>
        <w:t>.</w:t>
      </w:r>
    </w:p>
  </w:footnote>
  <w:footnote w:id="42">
    <w:p w:rsidR="00A527D5" w:rsidRPr="00E335BF" w:rsidRDefault="00A527D5" w:rsidP="009337C2">
      <w:pPr>
        <w:pStyle w:val="a5"/>
        <w:rPr>
          <w:rtl/>
        </w:rPr>
      </w:pPr>
      <w:r>
        <w:rPr>
          <w:rStyle w:val="a7"/>
        </w:rPr>
        <w:footnoteRef/>
      </w:r>
      <w:r>
        <w:rPr>
          <w:rtl/>
        </w:rPr>
        <w:t xml:space="preserve"> </w:t>
      </w:r>
      <w:r>
        <w:rPr>
          <w:rFonts w:hint="cs"/>
          <w:rtl/>
        </w:rPr>
        <w:t xml:space="preserve">הגדרה זו מתאימה לדברי הירושלמי </w:t>
      </w:r>
      <w:r>
        <w:rPr>
          <w:rFonts w:hint="cs"/>
          <w:sz w:val="16"/>
          <w:szCs w:val="16"/>
          <w:rtl/>
        </w:rPr>
        <w:t>[יומא פ"ז ה"ב]</w:t>
      </w:r>
      <w:r>
        <w:rPr>
          <w:rFonts w:hint="cs"/>
          <w:rtl/>
        </w:rPr>
        <w:t xml:space="preserve"> </w:t>
      </w:r>
      <w:r>
        <w:rPr>
          <w:rtl/>
        </w:rPr>
        <w:t>–</w:t>
      </w:r>
      <w:r>
        <w:rPr>
          <w:rFonts w:hint="cs"/>
          <w:rtl/>
        </w:rPr>
        <w:t xml:space="preserve"> בהם עסקנו בשיעור שעבר </w:t>
      </w:r>
      <w:r>
        <w:rPr>
          <w:rFonts w:hint="cs"/>
          <w:sz w:val="16"/>
          <w:szCs w:val="16"/>
          <w:rtl/>
        </w:rPr>
        <w:t>['בגדי זהב ובגדי לבן']</w:t>
      </w:r>
      <w:r>
        <w:rPr>
          <w:rFonts w:hint="cs"/>
          <w:rtl/>
        </w:rPr>
        <w:t xml:space="preserve"> </w:t>
      </w:r>
      <w:r>
        <w:rPr>
          <w:rtl/>
        </w:rPr>
        <w:t>–</w:t>
      </w:r>
      <w:r>
        <w:rPr>
          <w:rFonts w:hint="cs"/>
          <w:rtl/>
        </w:rPr>
        <w:t xml:space="preserve"> כי בבגדי לבן נדמה הכהן הגדול למלאך "לבוש בדים".</w:t>
      </w:r>
    </w:p>
  </w:footnote>
  <w:footnote w:id="43">
    <w:p w:rsidR="00A527D5" w:rsidRPr="0043567F" w:rsidRDefault="00A527D5" w:rsidP="009337C2">
      <w:pPr>
        <w:pStyle w:val="a5"/>
      </w:pPr>
      <w:r>
        <w:rPr>
          <w:rStyle w:val="a7"/>
        </w:rPr>
        <w:footnoteRef/>
      </w:r>
      <w:r>
        <w:rPr>
          <w:rtl/>
        </w:rPr>
        <w:t xml:space="preserve"> </w:t>
      </w:r>
      <w:r>
        <w:rPr>
          <w:rFonts w:hint="cs"/>
          <w:rtl/>
        </w:rPr>
        <w:t xml:space="preserve">ברייתא זו מובאת בשינויים בספרא </w:t>
      </w:r>
      <w:r>
        <w:rPr>
          <w:rFonts w:hint="cs"/>
          <w:sz w:val="16"/>
          <w:szCs w:val="16"/>
          <w:rtl/>
        </w:rPr>
        <w:t>[פרשת אחרי מות פרק ו]</w:t>
      </w:r>
      <w:r>
        <w:rPr>
          <w:rFonts w:hint="cs"/>
          <w:rtl/>
        </w:rPr>
        <w:t>.</w:t>
      </w:r>
    </w:p>
  </w:footnote>
  <w:footnote w:id="44">
    <w:p w:rsidR="00A527D5" w:rsidRPr="00317546" w:rsidRDefault="00A527D5" w:rsidP="009337C2">
      <w:pPr>
        <w:pStyle w:val="a5"/>
        <w:rPr>
          <w:rtl/>
        </w:rPr>
      </w:pPr>
      <w:r>
        <w:rPr>
          <w:rStyle w:val="a7"/>
        </w:rPr>
        <w:footnoteRef/>
      </w:r>
      <w:r>
        <w:rPr>
          <w:rtl/>
        </w:rPr>
        <w:t xml:space="preserve"> </w:t>
      </w:r>
      <w:r>
        <w:rPr>
          <w:rFonts w:hint="cs"/>
          <w:rtl/>
        </w:rPr>
        <w:t xml:space="preserve">כן כותב האברבנאל </w:t>
      </w:r>
      <w:r>
        <w:rPr>
          <w:rFonts w:hint="cs"/>
          <w:sz w:val="16"/>
          <w:szCs w:val="16"/>
          <w:rtl/>
        </w:rPr>
        <w:t>[ויקרא פרק טז ד"ה ואמנם הטבילות]</w:t>
      </w:r>
      <w:r>
        <w:rPr>
          <w:rFonts w:hint="cs"/>
          <w:rtl/>
        </w:rPr>
        <w:t xml:space="preserve">. </w:t>
      </w:r>
    </w:p>
  </w:footnote>
  <w:footnote w:id="45">
    <w:p w:rsidR="00A527D5" w:rsidRPr="00DD4152" w:rsidRDefault="00A527D5" w:rsidP="009337C2">
      <w:pPr>
        <w:pStyle w:val="a5"/>
        <w:rPr>
          <w:rtl/>
        </w:rPr>
      </w:pPr>
      <w:r>
        <w:rPr>
          <w:rStyle w:val="a7"/>
        </w:rPr>
        <w:footnoteRef/>
      </w:r>
      <w:r>
        <w:rPr>
          <w:rtl/>
        </w:rPr>
        <w:t xml:space="preserve"> </w:t>
      </w:r>
      <w:r>
        <w:rPr>
          <w:rFonts w:hint="cs"/>
          <w:rtl/>
        </w:rPr>
        <w:t xml:space="preserve">עי' בדברי הרמב"ם </w:t>
      </w:r>
      <w:r>
        <w:rPr>
          <w:rFonts w:hint="cs"/>
          <w:sz w:val="16"/>
          <w:szCs w:val="16"/>
          <w:rtl/>
        </w:rPr>
        <w:t>[הל' כלי המקדש והעובדים בו פ"ד הי"ב]</w:t>
      </w:r>
      <w:r>
        <w:rPr>
          <w:rFonts w:hint="cs"/>
          <w:rtl/>
        </w:rPr>
        <w:t xml:space="preserve">; עסקנו בהגדרה זו בשיעור השלישי </w:t>
      </w:r>
      <w:r>
        <w:rPr>
          <w:rFonts w:hint="cs"/>
          <w:sz w:val="16"/>
          <w:szCs w:val="16"/>
          <w:rtl/>
        </w:rPr>
        <w:t>['מינוי וחינוך כהן גדול']</w:t>
      </w:r>
      <w:r>
        <w:rPr>
          <w:rFonts w:hint="cs"/>
          <w:rtl/>
        </w:rPr>
        <w:t>.</w:t>
      </w:r>
    </w:p>
  </w:footnote>
  <w:footnote w:id="46">
    <w:p w:rsidR="00A527D5" w:rsidRPr="00DD4152" w:rsidRDefault="00A527D5" w:rsidP="009337C2">
      <w:pPr>
        <w:pStyle w:val="a5"/>
        <w:rPr>
          <w:rtl/>
        </w:rPr>
      </w:pPr>
      <w:r>
        <w:rPr>
          <w:rStyle w:val="a7"/>
        </w:rPr>
        <w:footnoteRef/>
      </w:r>
      <w:r>
        <w:rPr>
          <w:rtl/>
        </w:rPr>
        <w:t xml:space="preserve"> </w:t>
      </w:r>
      <w:r>
        <w:rPr>
          <w:rFonts w:hint="cs"/>
          <w:rtl/>
        </w:rPr>
        <w:t xml:space="preserve">כדברי ספר החינוך </w:t>
      </w:r>
      <w:r>
        <w:rPr>
          <w:rFonts w:hint="cs"/>
          <w:sz w:val="16"/>
          <w:szCs w:val="16"/>
          <w:rtl/>
        </w:rPr>
        <w:t>[מצוה קעג]</w:t>
      </w:r>
      <w:r>
        <w:rPr>
          <w:rFonts w:hint="cs"/>
          <w:rtl/>
        </w:rPr>
        <w:t>: "</w:t>
      </w:r>
      <w:r w:rsidRPr="00DD4152">
        <w:rPr>
          <w:rtl/>
        </w:rPr>
        <w:t>ובטעם המים שיטהרו כל טמא, אחשוב על צד הפשט כי הענין הוא כדי שיראה האדם את עצמו אחר הטבילה כאילו נברא באותה שעה, כמו שהיה העולם כולו מים טרם היות בו אדם</w:t>
      </w:r>
      <w:r>
        <w:rPr>
          <w:rFonts w:hint="cs"/>
          <w:rtl/>
        </w:rPr>
        <w:t>".</w:t>
      </w:r>
    </w:p>
  </w:footnote>
  <w:footnote w:id="47">
    <w:p w:rsidR="00A527D5" w:rsidRPr="003A45E2" w:rsidRDefault="00A527D5" w:rsidP="009337C2">
      <w:pPr>
        <w:pStyle w:val="a5"/>
      </w:pPr>
      <w:r>
        <w:rPr>
          <w:rStyle w:val="a7"/>
        </w:rPr>
        <w:footnoteRef/>
      </w:r>
      <w:r>
        <w:rPr>
          <w:rtl/>
        </w:rPr>
        <w:t xml:space="preserve"> </w:t>
      </w:r>
      <w:r>
        <w:rPr>
          <w:rFonts w:hint="cs"/>
          <w:rtl/>
        </w:rPr>
        <w:t xml:space="preserve">וכן עולה מדברי הרמב"ם </w:t>
      </w:r>
      <w:r>
        <w:rPr>
          <w:rFonts w:hint="cs"/>
          <w:sz w:val="16"/>
          <w:szCs w:val="16"/>
          <w:rtl/>
        </w:rPr>
        <w:t>[הל' עבודת יום הכיפורים פ"ב ה"ב-ג]</w:t>
      </w:r>
      <w:r>
        <w:rPr>
          <w:rFonts w:hint="cs"/>
          <w:rtl/>
        </w:rPr>
        <w:t>.</w:t>
      </w:r>
    </w:p>
  </w:footnote>
  <w:footnote w:id="48">
    <w:p w:rsidR="00A527D5" w:rsidRPr="00F05396" w:rsidRDefault="00A527D5" w:rsidP="009337C2">
      <w:pPr>
        <w:pStyle w:val="a5"/>
      </w:pPr>
      <w:r>
        <w:rPr>
          <w:rStyle w:val="a7"/>
        </w:rPr>
        <w:footnoteRef/>
      </w:r>
      <w:r>
        <w:rPr>
          <w:rtl/>
        </w:rPr>
        <w:t xml:space="preserve"> </w:t>
      </w:r>
      <w:r>
        <w:rPr>
          <w:rFonts w:hint="cs"/>
          <w:rtl/>
        </w:rPr>
        <w:t xml:space="preserve">זוהי שיטת רבי יהודה </w:t>
      </w:r>
      <w:r>
        <w:rPr>
          <w:rFonts w:hint="cs"/>
          <w:sz w:val="16"/>
          <w:szCs w:val="16"/>
          <w:rtl/>
        </w:rPr>
        <w:t>[ל.]</w:t>
      </w:r>
      <w:r>
        <w:rPr>
          <w:rFonts w:hint="cs"/>
          <w:rtl/>
        </w:rPr>
        <w:t xml:space="preserve">, אך בן זומא </w:t>
      </w:r>
      <w:r>
        <w:rPr>
          <w:rFonts w:hint="cs"/>
          <w:sz w:val="16"/>
          <w:szCs w:val="16"/>
          <w:rtl/>
        </w:rPr>
        <w:t>[שם]</w:t>
      </w:r>
      <w:r>
        <w:rPr>
          <w:rFonts w:hint="cs"/>
          <w:sz w:val="18"/>
          <w:szCs w:val="18"/>
          <w:rtl/>
        </w:rPr>
        <w:t xml:space="preserve"> </w:t>
      </w:r>
      <w:r>
        <w:rPr>
          <w:rFonts w:hint="cs"/>
          <w:rtl/>
        </w:rPr>
        <w:t>חולק וסובר כי טבילה זו מחויבת מדאורייתא.</w:t>
      </w:r>
    </w:p>
  </w:footnote>
  <w:footnote w:id="49">
    <w:p w:rsidR="00A527D5" w:rsidRDefault="00A527D5" w:rsidP="009337C2">
      <w:pPr>
        <w:pStyle w:val="a5"/>
        <w:rPr>
          <w:rtl/>
        </w:rPr>
      </w:pPr>
      <w:r>
        <w:rPr>
          <w:rStyle w:val="a7"/>
        </w:rPr>
        <w:footnoteRef/>
      </w:r>
      <w:r>
        <w:rPr>
          <w:rtl/>
        </w:rPr>
        <w:t xml:space="preserve"> </w:t>
      </w:r>
      <w:r>
        <w:rPr>
          <w:rFonts w:hint="cs"/>
          <w:rtl/>
        </w:rPr>
        <w:t>לפי זה, רש"י סבור שהטבילות נועדו ליצור חיץ בין העבודות, ואילו לפי תוספות ישנים הטבילות הן חובה לפני תחילת העבודה.</w:t>
      </w:r>
    </w:p>
  </w:footnote>
  <w:footnote w:id="50">
    <w:p w:rsidR="00A527D5" w:rsidRPr="00C73D10" w:rsidRDefault="00A527D5" w:rsidP="009337C2">
      <w:pPr>
        <w:pStyle w:val="a5"/>
        <w:rPr>
          <w:rFonts w:hint="cs"/>
          <w:rtl/>
        </w:rPr>
      </w:pPr>
      <w:r>
        <w:rPr>
          <w:rStyle w:val="a7"/>
        </w:rPr>
        <w:footnoteRef/>
      </w:r>
      <w:r>
        <w:rPr>
          <w:rtl/>
        </w:rPr>
        <w:t xml:space="preserve"> </w:t>
      </w:r>
      <w:r>
        <w:rPr>
          <w:rFonts w:hint="cs"/>
          <w:rtl/>
        </w:rPr>
        <w:t xml:space="preserve">כן כותב החזון איש </w:t>
      </w:r>
      <w:r>
        <w:rPr>
          <w:rFonts w:hint="cs"/>
          <w:sz w:val="16"/>
          <w:szCs w:val="16"/>
          <w:rtl/>
        </w:rPr>
        <w:t>[מועד קכו, כב]</w:t>
      </w:r>
      <w:r>
        <w:rPr>
          <w:rFonts w:hint="cs"/>
          <w:rtl/>
        </w:rPr>
        <w:t>.</w:t>
      </w:r>
    </w:p>
  </w:footnote>
  <w:footnote w:id="51">
    <w:p w:rsidR="00A527D5" w:rsidRDefault="00A527D5" w:rsidP="009337C2">
      <w:pPr>
        <w:pStyle w:val="a5"/>
        <w:rPr>
          <w:rtl/>
        </w:rPr>
      </w:pPr>
      <w:r>
        <w:rPr>
          <w:rStyle w:val="a7"/>
        </w:rPr>
        <w:footnoteRef/>
      </w:r>
      <w:r>
        <w:rPr>
          <w:rtl/>
        </w:rPr>
        <w:t xml:space="preserve"> </w:t>
      </w:r>
      <w:r>
        <w:rPr>
          <w:rFonts w:hint="cs"/>
          <w:rtl/>
        </w:rPr>
        <w:t>לתוספות ישנים שיטה מעט שונה: הטבילות באות מחמת העבודה, והן מהוות מעין היטהרות או התקדשות לפני העבודה.</w:t>
      </w:r>
    </w:p>
  </w:footnote>
  <w:footnote w:id="52">
    <w:p w:rsidR="00A527D5" w:rsidRDefault="00A527D5" w:rsidP="00C26E1A">
      <w:pPr>
        <w:pStyle w:val="a5"/>
      </w:pPr>
      <w:r>
        <w:rPr>
          <w:rStyle w:val="a7"/>
        </w:rPr>
        <w:footnoteRef/>
      </w:r>
      <w:r>
        <w:rPr>
          <w:rtl/>
        </w:rPr>
        <w:t xml:space="preserve"> </w:t>
      </w:r>
      <w:r>
        <w:rPr>
          <w:rFonts w:hint="cs"/>
          <w:rtl/>
        </w:rPr>
        <w:t>הירושלמי מביא את רבי יוסה החולק וסובר כי גם הקידוש הראשון יכול להיעשות שלא מהכיור. לשיטתו גם הקידוש שבכל יום אינו צריך להיעשות דווקא מהכיור.</w:t>
      </w:r>
    </w:p>
  </w:footnote>
  <w:footnote w:id="53">
    <w:p w:rsidR="00A527D5" w:rsidRPr="005D0B26" w:rsidRDefault="00A527D5" w:rsidP="00C26E1A">
      <w:pPr>
        <w:pStyle w:val="a5"/>
      </w:pPr>
      <w:r>
        <w:rPr>
          <w:rStyle w:val="a7"/>
        </w:rPr>
        <w:footnoteRef/>
      </w:r>
      <w:r>
        <w:rPr>
          <w:rtl/>
        </w:rPr>
        <w:t xml:space="preserve"> </w:t>
      </w:r>
      <w:r>
        <w:rPr>
          <w:rFonts w:hint="cs"/>
          <w:rtl/>
        </w:rPr>
        <w:t xml:space="preserve">כמפורש בתורה </w:t>
      </w:r>
      <w:r>
        <w:rPr>
          <w:rFonts w:hint="cs"/>
          <w:sz w:val="16"/>
          <w:szCs w:val="16"/>
          <w:rtl/>
        </w:rPr>
        <w:t>[שמות ל, כ]</w:t>
      </w:r>
      <w:r>
        <w:rPr>
          <w:rFonts w:hint="cs"/>
          <w:rtl/>
        </w:rPr>
        <w:t>: "</w:t>
      </w:r>
      <w:r w:rsidRPr="005D0B26">
        <w:rPr>
          <w:rtl/>
        </w:rPr>
        <w:t>בבאם אל אהל מועד ירחצו מים ולא ימתו</w:t>
      </w:r>
      <w:r>
        <w:rPr>
          <w:rFonts w:hint="cs"/>
          <w:rtl/>
        </w:rPr>
        <w:t>,</w:t>
      </w:r>
      <w:r w:rsidRPr="005D0B26">
        <w:rPr>
          <w:rtl/>
        </w:rPr>
        <w:t xml:space="preserve"> או בגש</w:t>
      </w:r>
      <w:r>
        <w:rPr>
          <w:rtl/>
        </w:rPr>
        <w:t>תם אל המזבח לשרת להקטיר אשה לה'</w:t>
      </w:r>
      <w:r>
        <w:rPr>
          <w:rFonts w:hint="cs"/>
          <w:rtl/>
        </w:rPr>
        <w:t>".</w:t>
      </w:r>
    </w:p>
  </w:footnote>
  <w:footnote w:id="54">
    <w:p w:rsidR="00A527D5" w:rsidRPr="005D0B26" w:rsidRDefault="00A527D5" w:rsidP="00C26E1A">
      <w:pPr>
        <w:pStyle w:val="a5"/>
        <w:rPr>
          <w:rtl/>
        </w:rPr>
      </w:pPr>
      <w:r>
        <w:rPr>
          <w:rStyle w:val="a7"/>
        </w:rPr>
        <w:footnoteRef/>
      </w:r>
      <w:r>
        <w:rPr>
          <w:rtl/>
        </w:rPr>
        <w:t xml:space="preserve"> </w:t>
      </w:r>
      <w:r>
        <w:rPr>
          <w:rFonts w:hint="cs"/>
          <w:rtl/>
        </w:rPr>
        <w:t xml:space="preserve">כדברי המשנה </w:t>
      </w:r>
      <w:r>
        <w:rPr>
          <w:rFonts w:hint="cs"/>
          <w:sz w:val="16"/>
          <w:szCs w:val="16"/>
          <w:rtl/>
        </w:rPr>
        <w:t>[זבחים טו:]</w:t>
      </w:r>
      <w:r>
        <w:rPr>
          <w:rFonts w:hint="cs"/>
          <w:rtl/>
        </w:rPr>
        <w:t xml:space="preserve">: "כל הזבחים שקיבלו דמן זר, אונן, טבול יום, ומחוסר כיפורים, ומחוסר בגדים, </w:t>
      </w:r>
      <w:r>
        <w:rPr>
          <w:rFonts w:hint="cs"/>
          <w:b/>
          <w:bCs/>
          <w:rtl/>
        </w:rPr>
        <w:t>שלא רחץ ידיים ורגליים</w:t>
      </w:r>
      <w:r>
        <w:rPr>
          <w:rFonts w:hint="cs"/>
          <w:rtl/>
        </w:rPr>
        <w:t>... פסל".</w:t>
      </w:r>
    </w:p>
  </w:footnote>
  <w:footnote w:id="55">
    <w:p w:rsidR="00A527D5" w:rsidRDefault="00A527D5" w:rsidP="00C26E1A">
      <w:pPr>
        <w:pStyle w:val="a5"/>
      </w:pPr>
      <w:r>
        <w:rPr>
          <w:rStyle w:val="a7"/>
        </w:rPr>
        <w:footnoteRef/>
      </w:r>
      <w:r>
        <w:rPr>
          <w:rtl/>
        </w:rPr>
        <w:t xml:space="preserve"> </w:t>
      </w:r>
      <w:r>
        <w:rPr>
          <w:rFonts w:hint="cs"/>
          <w:rtl/>
        </w:rPr>
        <w:t xml:space="preserve">לעיל טענו כי לפי רבי אלעזר ברבי שמעון, הלומד את חובת הקידוש ביום הכיפורים מקל וחומר מחובת הקידוש הקיימת בכל יום, מסתבר שגדר שני הדינים זהה. על פי האמור, ייתכן ומחלוקת רבי ורבי אלעזר ורבי שמעון אינה רק במקור הדין אלא גם במהותו ובהבנת היחס בינו לבין חובת הקידוש שבכל יום. </w:t>
      </w:r>
    </w:p>
  </w:footnote>
  <w:footnote w:id="56">
    <w:p w:rsidR="00A527D5" w:rsidRPr="0045295E" w:rsidRDefault="00A527D5" w:rsidP="00C26E1A">
      <w:pPr>
        <w:pStyle w:val="a5"/>
        <w:rPr>
          <w:rtl/>
        </w:rPr>
      </w:pPr>
      <w:r>
        <w:rPr>
          <w:rStyle w:val="a7"/>
        </w:rPr>
        <w:footnoteRef/>
      </w:r>
      <w:r>
        <w:rPr>
          <w:rtl/>
        </w:rPr>
        <w:t xml:space="preserve"> </w:t>
      </w:r>
      <w:r>
        <w:rPr>
          <w:rFonts w:hint="cs"/>
          <w:rtl/>
        </w:rPr>
        <w:t xml:space="preserve">מקור הדברים בגמרא </w:t>
      </w:r>
      <w:r>
        <w:rPr>
          <w:rFonts w:hint="cs"/>
          <w:sz w:val="16"/>
          <w:szCs w:val="16"/>
          <w:rtl/>
        </w:rPr>
        <w:t>[זבחים יט:]</w:t>
      </w:r>
      <w:r>
        <w:rPr>
          <w:rFonts w:hint="cs"/>
          <w:rtl/>
        </w:rPr>
        <w:t>: "</w:t>
      </w:r>
      <w:r>
        <w:rPr>
          <w:rtl/>
        </w:rPr>
        <w:t>ליתיב מיתב ולקדש</w:t>
      </w:r>
      <w:r>
        <w:rPr>
          <w:rFonts w:hint="cs"/>
          <w:rtl/>
        </w:rPr>
        <w:t>?</w:t>
      </w:r>
      <w:r>
        <w:rPr>
          <w:rtl/>
        </w:rPr>
        <w:t xml:space="preserve"> אמר קרא</w:t>
      </w:r>
      <w:r>
        <w:rPr>
          <w:rFonts w:hint="cs"/>
          <w:rtl/>
        </w:rPr>
        <w:t xml:space="preserve"> '</w:t>
      </w:r>
      <w:r w:rsidRPr="0045295E">
        <w:rPr>
          <w:rtl/>
        </w:rPr>
        <w:t>לשרת</w:t>
      </w:r>
      <w:r>
        <w:rPr>
          <w:rFonts w:hint="cs"/>
          <w:rtl/>
        </w:rPr>
        <w:t>'</w:t>
      </w:r>
      <w:r w:rsidRPr="0045295E">
        <w:rPr>
          <w:rtl/>
        </w:rPr>
        <w:t>, ושירות מעומד הוא</w:t>
      </w:r>
      <w:r>
        <w:rPr>
          <w:rFonts w:hint="cs"/>
          <w:rtl/>
        </w:rPr>
        <w:t>"</w:t>
      </w:r>
      <w:r w:rsidRPr="0045295E">
        <w:rPr>
          <w:rtl/>
        </w:rPr>
        <w:t>.</w:t>
      </w:r>
    </w:p>
  </w:footnote>
  <w:footnote w:id="57">
    <w:p w:rsidR="00A527D5" w:rsidRPr="0045295E" w:rsidRDefault="00A527D5" w:rsidP="00C26E1A">
      <w:pPr>
        <w:pStyle w:val="a5"/>
        <w:rPr>
          <w:rtl/>
        </w:rPr>
      </w:pPr>
      <w:r>
        <w:rPr>
          <w:rStyle w:val="a7"/>
        </w:rPr>
        <w:footnoteRef/>
      </w:r>
      <w:r>
        <w:rPr>
          <w:rtl/>
        </w:rPr>
        <w:t xml:space="preserve"> </w:t>
      </w:r>
      <w:r>
        <w:rPr>
          <w:rFonts w:hint="cs"/>
          <w:rtl/>
        </w:rPr>
        <w:t xml:space="preserve">וכן כותב ספר החינוך </w:t>
      </w:r>
      <w:r>
        <w:rPr>
          <w:rFonts w:hint="cs"/>
          <w:sz w:val="16"/>
          <w:szCs w:val="16"/>
          <w:rtl/>
        </w:rPr>
        <w:t>[מצוה קו]</w:t>
      </w:r>
      <w:r>
        <w:rPr>
          <w:rFonts w:hint="cs"/>
          <w:rtl/>
        </w:rPr>
        <w:t>: "ורוחץ</w:t>
      </w:r>
      <w:r>
        <w:rPr>
          <w:rtl/>
        </w:rPr>
        <w:t xml:space="preserve"> </w:t>
      </w:r>
      <w:r>
        <w:rPr>
          <w:rFonts w:hint="cs"/>
          <w:rtl/>
        </w:rPr>
        <w:t>עומד</w:t>
      </w:r>
      <w:r>
        <w:rPr>
          <w:rtl/>
        </w:rPr>
        <w:t xml:space="preserve"> </w:t>
      </w:r>
      <w:r>
        <w:rPr>
          <w:rFonts w:hint="cs"/>
          <w:rtl/>
        </w:rPr>
        <w:t>ולא</w:t>
      </w:r>
      <w:r>
        <w:rPr>
          <w:rtl/>
        </w:rPr>
        <w:t xml:space="preserve"> </w:t>
      </w:r>
      <w:r>
        <w:rPr>
          <w:rFonts w:hint="cs"/>
          <w:rtl/>
        </w:rPr>
        <w:t>יושב</w:t>
      </w:r>
      <w:r>
        <w:rPr>
          <w:rtl/>
        </w:rPr>
        <w:t xml:space="preserve">, </w:t>
      </w:r>
      <w:r w:rsidRPr="0045295E">
        <w:rPr>
          <w:rFonts w:hint="cs"/>
          <w:b/>
          <w:bCs/>
          <w:rtl/>
        </w:rPr>
        <w:t>לפי</w:t>
      </w:r>
      <w:r w:rsidRPr="0045295E">
        <w:rPr>
          <w:b/>
          <w:bCs/>
          <w:rtl/>
        </w:rPr>
        <w:t xml:space="preserve"> </w:t>
      </w:r>
      <w:r w:rsidRPr="0045295E">
        <w:rPr>
          <w:rFonts w:hint="cs"/>
          <w:b/>
          <w:bCs/>
          <w:rtl/>
        </w:rPr>
        <w:t>שמכלל</w:t>
      </w:r>
      <w:r w:rsidRPr="0045295E">
        <w:rPr>
          <w:b/>
          <w:bCs/>
          <w:rtl/>
        </w:rPr>
        <w:t xml:space="preserve"> </w:t>
      </w:r>
      <w:r w:rsidRPr="0045295E">
        <w:rPr>
          <w:rFonts w:hint="cs"/>
          <w:b/>
          <w:bCs/>
          <w:rtl/>
        </w:rPr>
        <w:t>העבודה</w:t>
      </w:r>
      <w:r w:rsidRPr="0045295E">
        <w:rPr>
          <w:b/>
          <w:bCs/>
          <w:rtl/>
        </w:rPr>
        <w:t xml:space="preserve"> </w:t>
      </w:r>
      <w:r w:rsidRPr="0045295E">
        <w:rPr>
          <w:rFonts w:hint="cs"/>
          <w:b/>
          <w:bCs/>
          <w:rtl/>
        </w:rPr>
        <w:t>הוא</w:t>
      </w:r>
      <w:r w:rsidRPr="0045295E">
        <w:rPr>
          <w:b/>
          <w:bCs/>
          <w:rtl/>
        </w:rPr>
        <w:t xml:space="preserve"> </w:t>
      </w:r>
      <w:r w:rsidRPr="0045295E">
        <w:rPr>
          <w:rFonts w:hint="cs"/>
          <w:b/>
          <w:bCs/>
          <w:rtl/>
        </w:rPr>
        <w:t>קידוש</w:t>
      </w:r>
      <w:r w:rsidRPr="0045295E">
        <w:rPr>
          <w:b/>
          <w:bCs/>
          <w:rtl/>
        </w:rPr>
        <w:t xml:space="preserve"> </w:t>
      </w:r>
      <w:r w:rsidRPr="0045295E">
        <w:rPr>
          <w:rFonts w:hint="cs"/>
          <w:b/>
          <w:bCs/>
          <w:rtl/>
        </w:rPr>
        <w:t>ידים</w:t>
      </w:r>
      <w:r w:rsidRPr="0045295E">
        <w:rPr>
          <w:b/>
          <w:bCs/>
          <w:rtl/>
        </w:rPr>
        <w:t xml:space="preserve"> </w:t>
      </w:r>
      <w:r w:rsidRPr="0045295E">
        <w:rPr>
          <w:rFonts w:hint="cs"/>
          <w:b/>
          <w:bCs/>
          <w:rtl/>
        </w:rPr>
        <w:t>ורגלים</w:t>
      </w:r>
      <w:r>
        <w:rPr>
          <w:rtl/>
        </w:rPr>
        <w:t xml:space="preserve">, </w:t>
      </w:r>
      <w:r>
        <w:rPr>
          <w:rFonts w:hint="cs"/>
          <w:rtl/>
        </w:rPr>
        <w:t>וכל</w:t>
      </w:r>
      <w:r>
        <w:rPr>
          <w:rtl/>
        </w:rPr>
        <w:t xml:space="preserve"> </w:t>
      </w:r>
      <w:r>
        <w:rPr>
          <w:rFonts w:hint="cs"/>
          <w:rtl/>
        </w:rPr>
        <w:t>עבודות</w:t>
      </w:r>
      <w:r>
        <w:rPr>
          <w:rtl/>
        </w:rPr>
        <w:t xml:space="preserve"> </w:t>
      </w:r>
      <w:r>
        <w:rPr>
          <w:rFonts w:hint="cs"/>
          <w:rtl/>
        </w:rPr>
        <w:t>המקדש</w:t>
      </w:r>
      <w:r>
        <w:rPr>
          <w:rtl/>
        </w:rPr>
        <w:t xml:space="preserve"> </w:t>
      </w:r>
      <w:r>
        <w:rPr>
          <w:rFonts w:hint="cs"/>
          <w:rtl/>
        </w:rPr>
        <w:t>מעומד</w:t>
      </w:r>
      <w:r>
        <w:rPr>
          <w:rtl/>
        </w:rPr>
        <w:t xml:space="preserve"> </w:t>
      </w:r>
      <w:r>
        <w:rPr>
          <w:rFonts w:hint="cs"/>
          <w:rtl/>
        </w:rPr>
        <w:t>הן</w:t>
      </w:r>
      <w:r>
        <w:rPr>
          <w:rtl/>
        </w:rPr>
        <w:t xml:space="preserve">, </w:t>
      </w:r>
      <w:r>
        <w:rPr>
          <w:rFonts w:hint="cs"/>
          <w:rtl/>
        </w:rPr>
        <w:t>שנאמר</w:t>
      </w:r>
      <w:r>
        <w:rPr>
          <w:rtl/>
        </w:rPr>
        <w:t xml:space="preserve"> </w:t>
      </w:r>
      <w:r>
        <w:rPr>
          <w:rFonts w:hint="cs"/>
          <w:rtl/>
        </w:rPr>
        <w:t>'לעמוד</w:t>
      </w:r>
      <w:r>
        <w:rPr>
          <w:rtl/>
        </w:rPr>
        <w:t xml:space="preserve"> </w:t>
      </w:r>
      <w:r>
        <w:rPr>
          <w:rFonts w:hint="cs"/>
          <w:rtl/>
        </w:rPr>
        <w:t>לשרת'".</w:t>
      </w:r>
    </w:p>
  </w:footnote>
  <w:footnote w:id="58">
    <w:p w:rsidR="00A527D5" w:rsidRDefault="00A527D5" w:rsidP="00C26E1A">
      <w:pPr>
        <w:pStyle w:val="a5"/>
        <w:rPr>
          <w:rtl/>
        </w:rPr>
      </w:pPr>
      <w:r>
        <w:rPr>
          <w:rStyle w:val="a7"/>
        </w:rPr>
        <w:footnoteRef/>
      </w:r>
      <w:r>
        <w:rPr>
          <w:rtl/>
        </w:rPr>
        <w:t xml:space="preserve"> </w:t>
      </w:r>
      <w:r>
        <w:rPr>
          <w:rFonts w:hint="cs"/>
          <w:rtl/>
        </w:rPr>
        <w:t xml:space="preserve">על פי דברי השפת אמת, ייתכן שאין מחלוקת עקרונית בין המקורות דלעיל; המקורות המשווים בין הקידוש של כל יום לשל יום הכיפורים עוסקים ברובד של הקידוש, ואילו המבדילים ביניהם עוסקים ברובד של ה'שירות'. </w:t>
      </w:r>
    </w:p>
  </w:footnote>
  <w:footnote w:id="59">
    <w:p w:rsidR="00A527D5" w:rsidRPr="00D53D99" w:rsidRDefault="00A527D5" w:rsidP="00C26E1A">
      <w:pPr>
        <w:pStyle w:val="a5"/>
        <w:rPr>
          <w:rtl/>
        </w:rPr>
      </w:pPr>
      <w:r>
        <w:rPr>
          <w:rStyle w:val="a7"/>
        </w:rPr>
        <w:footnoteRef/>
      </w:r>
      <w:r>
        <w:rPr>
          <w:rtl/>
        </w:rPr>
        <w:t xml:space="preserve"> </w:t>
      </w:r>
      <w:r>
        <w:rPr>
          <w:rFonts w:hint="cs"/>
          <w:rtl/>
        </w:rPr>
        <w:t xml:space="preserve">הגמרא </w:t>
      </w:r>
      <w:r>
        <w:rPr>
          <w:rFonts w:hint="cs"/>
          <w:sz w:val="16"/>
          <w:szCs w:val="16"/>
          <w:rtl/>
        </w:rPr>
        <w:t>[שם]</w:t>
      </w:r>
      <w:r>
        <w:rPr>
          <w:rFonts w:hint="cs"/>
          <w:rtl/>
        </w:rPr>
        <w:t xml:space="preserve"> מביאה מקור לחילוק זה מדרשה. על פי הגרי"ז יש לבאר שהדרשה מלמדת על החילוק העקרוני בין שני הקידושים.</w:t>
      </w:r>
    </w:p>
  </w:footnote>
  <w:footnote w:id="60">
    <w:p w:rsidR="00A527D5" w:rsidRPr="00D53D99" w:rsidRDefault="00A527D5" w:rsidP="00C26E1A">
      <w:pPr>
        <w:pStyle w:val="a5"/>
        <w:rPr>
          <w:rtl/>
        </w:rPr>
      </w:pPr>
      <w:r>
        <w:rPr>
          <w:rStyle w:val="a7"/>
        </w:rPr>
        <w:footnoteRef/>
      </w:r>
      <w:r>
        <w:rPr>
          <w:rtl/>
        </w:rPr>
        <w:t xml:space="preserve"> </w:t>
      </w:r>
      <w:r>
        <w:rPr>
          <w:rFonts w:hint="cs"/>
          <w:rtl/>
        </w:rPr>
        <w:t xml:space="preserve">כן כותב האור שמח </w:t>
      </w:r>
      <w:r>
        <w:rPr>
          <w:rFonts w:hint="cs"/>
          <w:sz w:val="16"/>
          <w:szCs w:val="16"/>
          <w:rtl/>
        </w:rPr>
        <w:t>[הל' עבודת יום הכיפורים פ"א ה"ג]</w:t>
      </w:r>
      <w:r>
        <w:rPr>
          <w:rFonts w:hint="cs"/>
          <w:rtl/>
        </w:rPr>
        <w:t>.</w:t>
      </w:r>
    </w:p>
  </w:footnote>
  <w:footnote w:id="61">
    <w:p w:rsidR="00A527D5" w:rsidRPr="00696026" w:rsidRDefault="00A527D5" w:rsidP="00C26E1A">
      <w:pPr>
        <w:pStyle w:val="a5"/>
      </w:pPr>
      <w:r>
        <w:rPr>
          <w:rStyle w:val="a7"/>
        </w:rPr>
        <w:footnoteRef/>
      </w:r>
      <w:r>
        <w:rPr>
          <w:rtl/>
        </w:rPr>
        <w:t xml:space="preserve"> </w:t>
      </w:r>
      <w:r>
        <w:rPr>
          <w:rFonts w:hint="cs"/>
          <w:rtl/>
        </w:rPr>
        <w:t xml:space="preserve">זהו המונח הרווח בדברי חז"ל </w:t>
      </w:r>
      <w:r>
        <w:rPr>
          <w:rtl/>
        </w:rPr>
        <w:t>–</w:t>
      </w:r>
      <w:r>
        <w:rPr>
          <w:rFonts w:hint="cs"/>
          <w:rtl/>
        </w:rPr>
        <w:t xml:space="preserve"> קידוש ידיים ורגליים; ועי' רמב"ן </w:t>
      </w:r>
      <w:r>
        <w:rPr>
          <w:rFonts w:hint="cs"/>
          <w:sz w:val="16"/>
          <w:szCs w:val="16"/>
          <w:rtl/>
        </w:rPr>
        <w:t>[שמות ל, יט]</w:t>
      </w:r>
      <w:r>
        <w:rPr>
          <w:rFonts w:hint="cs"/>
          <w:rtl/>
        </w:rPr>
        <w:t xml:space="preserve"> המבאר את טעם המצוה 'על דרך האמת' וכותב: "</w:t>
      </w:r>
      <w:r w:rsidRPr="00696026">
        <w:rPr>
          <w:rtl/>
        </w:rPr>
        <w:t xml:space="preserve">לפיכך נצטוו </w:t>
      </w:r>
      <w:r>
        <w:rPr>
          <w:rtl/>
        </w:rPr>
        <w:t>משרתי עליון לרחוץ הידים והרגלים</w:t>
      </w:r>
      <w:r>
        <w:rPr>
          <w:rFonts w:hint="cs"/>
          <w:rtl/>
        </w:rPr>
        <w:t>,</w:t>
      </w:r>
      <w:r w:rsidRPr="00696026">
        <w:rPr>
          <w:rtl/>
        </w:rPr>
        <w:t xml:space="preserve"> והרחיצה הזאת לקדושה תרגם אותה אונקלוס</w:t>
      </w:r>
      <w:r>
        <w:rPr>
          <w:rFonts w:hint="cs"/>
          <w:rtl/>
        </w:rPr>
        <w:t xml:space="preserve">". </w:t>
      </w:r>
    </w:p>
  </w:footnote>
  <w:footnote w:id="62">
    <w:p w:rsidR="00A527D5" w:rsidRPr="0040449F" w:rsidRDefault="00A527D5" w:rsidP="00C26E1A">
      <w:pPr>
        <w:pStyle w:val="a5"/>
        <w:rPr>
          <w:rtl/>
        </w:rPr>
      </w:pPr>
      <w:r>
        <w:rPr>
          <w:rStyle w:val="a7"/>
        </w:rPr>
        <w:footnoteRef/>
      </w:r>
      <w:r>
        <w:rPr>
          <w:rtl/>
        </w:rPr>
        <w:t xml:space="preserve"> רושם זה מתקבל גם מהפסוקים הסמוכים</w:t>
      </w:r>
      <w:r>
        <w:rPr>
          <w:rFonts w:hint="cs"/>
          <w:rtl/>
        </w:rPr>
        <w:t xml:space="preserve"> </w:t>
      </w:r>
      <w:r>
        <w:rPr>
          <w:rFonts w:hint="cs"/>
          <w:sz w:val="16"/>
          <w:szCs w:val="16"/>
          <w:rtl/>
        </w:rPr>
        <w:t>[שם, ה-ט]</w:t>
      </w:r>
      <w:r>
        <w:rPr>
          <w:rtl/>
        </w:rPr>
        <w:t xml:space="preserve"> המצווים על הבאת קרבנות נוספים על ידי העם והמפרטים את סדר "הקרבת" הקרבנות לפני הכניסה אל קודש הקדשים:</w:t>
      </w:r>
      <w:r>
        <w:rPr>
          <w:rFonts w:hint="cs"/>
          <w:rtl/>
        </w:rPr>
        <w:t xml:space="preserve"> "</w:t>
      </w:r>
      <w:r>
        <w:rPr>
          <w:rtl/>
        </w:rPr>
        <w:t xml:space="preserve">ומאת עדת בני ישראל יקח שני שעירי עזים לחטאת, ואיל אחד לעלה. והקריב אהרן את פר החטאת אשר לו, </w:t>
      </w:r>
      <w:r w:rsidRPr="0040449F">
        <w:rPr>
          <w:b/>
          <w:bCs/>
          <w:rtl/>
        </w:rPr>
        <w:t>וכפר בעדו ובעד ביתו</w:t>
      </w:r>
      <w:r>
        <w:rPr>
          <w:rtl/>
        </w:rPr>
        <w:t xml:space="preserve">... והקריב אהרן את השעיר אשר עלה עליו הגורל לה', </w:t>
      </w:r>
      <w:r w:rsidRPr="0040449F">
        <w:rPr>
          <w:b/>
          <w:bCs/>
          <w:rtl/>
        </w:rPr>
        <w:t>ועשהו חטאת</w:t>
      </w:r>
      <w:r>
        <w:rPr>
          <w:rFonts w:hint="cs"/>
          <w:rtl/>
        </w:rPr>
        <w:t>"</w:t>
      </w:r>
      <w:r>
        <w:rPr>
          <w:rtl/>
        </w:rPr>
        <w:t>.</w:t>
      </w:r>
      <w:r>
        <w:rPr>
          <w:rFonts w:hint="cs"/>
          <w:rtl/>
        </w:rPr>
        <w:t xml:space="preserve"> מ</w:t>
      </w:r>
      <w:r>
        <w:rPr>
          <w:rtl/>
        </w:rPr>
        <w:t>פסוקים אלו משתמע כי לפני הכניסה אל הקודש, אהרן הכהן מקריב את חטאתו ואת חטאת העם. הדברים תואמים את הרושם דלעיל במגמת קרבנות אלו: כפרה כדי לאפשר את הכניסה אל הקודש. בהתאם לכך, דרושה הקרבתם עוד לפני כניסתו אל הקודש.</w:t>
      </w:r>
      <w:r>
        <w:rPr>
          <w:rFonts w:hint="cs"/>
          <w:rtl/>
        </w:rPr>
        <w:t xml:space="preserve"> [אמנם, בהמשך הפרשייה מפורש ששחיטת הפר והשעיר ועבודתן נעשתה רק לאחר מכן, ולכן הגמרא </w:t>
      </w:r>
      <w:r>
        <w:rPr>
          <w:rFonts w:hint="cs"/>
          <w:sz w:val="16"/>
          <w:szCs w:val="16"/>
          <w:rtl/>
        </w:rPr>
        <w:t>[לו:]</w:t>
      </w:r>
      <w:r>
        <w:rPr>
          <w:rFonts w:hint="cs"/>
          <w:rtl/>
        </w:rPr>
        <w:t xml:space="preserve"> מסבירה שהכפרה האמורה בכתוב זה מדברת על הווידוי; וביישוב פשטי הכתובים עמלו רבות מפרשים בני דורנו, ואכמ"ל]. </w:t>
      </w:r>
    </w:p>
  </w:footnote>
  <w:footnote w:id="63">
    <w:p w:rsidR="00A527D5" w:rsidRPr="00242BEA" w:rsidRDefault="00A527D5" w:rsidP="00C26E1A">
      <w:pPr>
        <w:pStyle w:val="a5"/>
        <w:rPr>
          <w:rtl/>
        </w:rPr>
      </w:pPr>
      <w:r>
        <w:rPr>
          <w:rStyle w:val="a7"/>
        </w:rPr>
        <w:footnoteRef/>
      </w:r>
      <w:r>
        <w:rPr>
          <w:rtl/>
        </w:rPr>
        <w:t xml:space="preserve"> </w:t>
      </w:r>
      <w:r>
        <w:rPr>
          <w:rFonts w:hint="cs"/>
          <w:rtl/>
        </w:rPr>
        <w:t xml:space="preserve">וכן עולה מהפסוקים החותמים את הפרשייה </w:t>
      </w:r>
      <w:r>
        <w:rPr>
          <w:rFonts w:hint="cs"/>
          <w:sz w:val="16"/>
          <w:szCs w:val="16"/>
          <w:rtl/>
        </w:rPr>
        <w:t>[שם, כט-לד]</w:t>
      </w:r>
      <w:r>
        <w:rPr>
          <w:rFonts w:hint="cs"/>
          <w:rtl/>
        </w:rPr>
        <w:t>, המצווים לעשות את עבודת הכפרה בכל שנה ביום הכיפורים והמצווים על ישראל להתענות ביום זה.</w:t>
      </w:r>
    </w:p>
  </w:footnote>
  <w:footnote w:id="64">
    <w:p w:rsidR="00A527D5" w:rsidRDefault="00A527D5" w:rsidP="00C26E1A">
      <w:pPr>
        <w:pStyle w:val="a5"/>
      </w:pPr>
      <w:r>
        <w:rPr>
          <w:rStyle w:val="a7"/>
        </w:rPr>
        <w:footnoteRef/>
      </w:r>
      <w:r>
        <w:rPr>
          <w:rtl/>
        </w:rPr>
        <w:t xml:space="preserve"> </w:t>
      </w:r>
      <w:r>
        <w:rPr>
          <w:rFonts w:hint="cs"/>
          <w:rtl/>
        </w:rPr>
        <w:t xml:space="preserve">כן יש לשאול גם ביחס לשאר הקרבנות, אך בשיעור זה נתעסק בפר בלבד. </w:t>
      </w:r>
    </w:p>
  </w:footnote>
  <w:footnote w:id="65">
    <w:p w:rsidR="00A527D5" w:rsidRPr="000F5840" w:rsidRDefault="00A527D5" w:rsidP="00C26E1A">
      <w:pPr>
        <w:pStyle w:val="a5"/>
      </w:pPr>
      <w:r>
        <w:rPr>
          <w:rStyle w:val="a7"/>
        </w:rPr>
        <w:footnoteRef/>
      </w:r>
      <w:r>
        <w:rPr>
          <w:rtl/>
        </w:rPr>
        <w:t xml:space="preserve"> </w:t>
      </w:r>
      <w:r>
        <w:rPr>
          <w:rFonts w:hint="cs"/>
          <w:rtl/>
        </w:rPr>
        <w:t xml:space="preserve">הגרי"ד מבאר שמטעם זה נאמרים שני ווידויים על הפר: הווידוי הראשון, בו מתוודה הכהן הגדול "בעדו ובעד ביתו", הוא כנגד היותו פרו של כהן גדול; הווידוי השני, בו מתוודה הכהן הגדול גם בעד בני אהרן, הוא כנגד היותו פר המשמש לכפרת הקודש והכהנים. אמנם, בגמרא </w:t>
      </w:r>
      <w:r>
        <w:rPr>
          <w:rFonts w:hint="cs"/>
          <w:sz w:val="16"/>
          <w:szCs w:val="16"/>
          <w:rtl/>
        </w:rPr>
        <w:t>[יומא מג:; שבועות יד.]</w:t>
      </w:r>
      <w:r>
        <w:rPr>
          <w:rFonts w:hint="cs"/>
          <w:rtl/>
        </w:rPr>
        <w:t xml:space="preserve"> מובאים הסברים אחרים לצורך בשני הווידויים ולהבדל ביניהם.</w:t>
      </w:r>
    </w:p>
  </w:footnote>
  <w:footnote w:id="66">
    <w:p w:rsidR="00A527D5" w:rsidRPr="006307FE" w:rsidRDefault="00A527D5" w:rsidP="00C26E1A">
      <w:pPr>
        <w:pStyle w:val="a5"/>
      </w:pPr>
      <w:r>
        <w:rPr>
          <w:rStyle w:val="a7"/>
        </w:rPr>
        <w:footnoteRef/>
      </w:r>
      <w:r>
        <w:rPr>
          <w:rtl/>
        </w:rPr>
        <w:t xml:space="preserve"> </w:t>
      </w:r>
      <w:r>
        <w:rPr>
          <w:rFonts w:hint="cs"/>
          <w:rtl/>
        </w:rPr>
        <w:t xml:space="preserve">כפרת הכהנים הנעשית על ידי הכהן הגדול מפורשת בסוף הפרשייה </w:t>
      </w:r>
      <w:r>
        <w:rPr>
          <w:rFonts w:hint="cs"/>
          <w:sz w:val="16"/>
          <w:szCs w:val="16"/>
          <w:rtl/>
        </w:rPr>
        <w:t>[שם, לג]</w:t>
      </w:r>
      <w:r>
        <w:rPr>
          <w:rFonts w:hint="cs"/>
          <w:rtl/>
        </w:rPr>
        <w:t>: "</w:t>
      </w:r>
      <w:r w:rsidRPr="006307FE">
        <w:rPr>
          <w:rtl/>
        </w:rPr>
        <w:t>וכפר את מקדש הקדש ואת אהל מועד ואת המזבח יכפ</w:t>
      </w:r>
      <w:r>
        <w:rPr>
          <w:rFonts w:hint="cs"/>
          <w:rtl/>
        </w:rPr>
        <w:t>,</w:t>
      </w:r>
      <w:r w:rsidRPr="006307FE">
        <w:rPr>
          <w:rtl/>
        </w:rPr>
        <w:t xml:space="preserve"> </w:t>
      </w:r>
      <w:r w:rsidRPr="006307FE">
        <w:rPr>
          <w:b/>
          <w:bCs/>
          <w:rtl/>
        </w:rPr>
        <w:t>ועל הכהנים</w:t>
      </w:r>
      <w:r w:rsidRPr="006307FE">
        <w:rPr>
          <w:rtl/>
        </w:rPr>
        <w:t xml:space="preserve"> ועל כל עם הקהל יכפר</w:t>
      </w:r>
      <w:r>
        <w:rPr>
          <w:rFonts w:hint="cs"/>
          <w:rtl/>
        </w:rPr>
        <w:t>".</w:t>
      </w:r>
    </w:p>
  </w:footnote>
  <w:footnote w:id="67">
    <w:p w:rsidR="00A527D5" w:rsidRPr="00F170A6" w:rsidRDefault="00A527D5" w:rsidP="00C26E1A">
      <w:pPr>
        <w:pStyle w:val="a5"/>
        <w:rPr>
          <w:rtl/>
        </w:rPr>
      </w:pPr>
      <w:r>
        <w:rPr>
          <w:rStyle w:val="a7"/>
        </w:rPr>
        <w:footnoteRef/>
      </w:r>
      <w:r>
        <w:rPr>
          <w:rtl/>
        </w:rPr>
        <w:t xml:space="preserve"> </w:t>
      </w:r>
      <w:r>
        <w:rPr>
          <w:rFonts w:hint="cs"/>
          <w:rtl/>
        </w:rPr>
        <w:t xml:space="preserve">לשון רש"י </w:t>
      </w:r>
      <w:r>
        <w:rPr>
          <w:rFonts w:hint="cs"/>
          <w:sz w:val="16"/>
          <w:szCs w:val="16"/>
          <w:rtl/>
        </w:rPr>
        <w:t>[נ: ד"ה או דילמא]</w:t>
      </w:r>
      <w:r>
        <w:rPr>
          <w:rFonts w:hint="cs"/>
          <w:rtl/>
        </w:rPr>
        <w:t>.</w:t>
      </w:r>
    </w:p>
  </w:footnote>
  <w:footnote w:id="68">
    <w:p w:rsidR="00A527D5" w:rsidRPr="00F97497" w:rsidRDefault="00A527D5" w:rsidP="00C26E1A">
      <w:pPr>
        <w:pStyle w:val="a5"/>
        <w:rPr>
          <w:rtl/>
        </w:rPr>
      </w:pPr>
      <w:r>
        <w:rPr>
          <w:rStyle w:val="a7"/>
        </w:rPr>
        <w:footnoteRef/>
      </w:r>
      <w:r>
        <w:rPr>
          <w:rtl/>
        </w:rPr>
        <w:t xml:space="preserve"> </w:t>
      </w:r>
      <w:r>
        <w:rPr>
          <w:rFonts w:hint="cs"/>
          <w:rtl/>
        </w:rPr>
        <w:t xml:space="preserve">בדרך זו מבאר הספורנו </w:t>
      </w:r>
      <w:r>
        <w:rPr>
          <w:rFonts w:hint="cs"/>
          <w:sz w:val="16"/>
          <w:szCs w:val="16"/>
          <w:rtl/>
        </w:rPr>
        <w:t>[ויקרא טז, ג]</w:t>
      </w:r>
      <w:r>
        <w:rPr>
          <w:rFonts w:hint="cs"/>
          <w:rtl/>
        </w:rPr>
        <w:t>: "</w:t>
      </w:r>
      <w:r>
        <w:rPr>
          <w:rtl/>
        </w:rPr>
        <w:t>בזאת יבא בפר בן בק</w:t>
      </w:r>
      <w:r>
        <w:rPr>
          <w:rFonts w:hint="cs"/>
          <w:rtl/>
        </w:rPr>
        <w:t xml:space="preserve">ר </w:t>
      </w:r>
      <w:r>
        <w:rPr>
          <w:rtl/>
        </w:rPr>
        <w:t>–</w:t>
      </w:r>
      <w:r>
        <w:rPr>
          <w:rFonts w:hint="cs"/>
          <w:rtl/>
        </w:rPr>
        <w:t xml:space="preserve"> </w:t>
      </w:r>
      <w:r w:rsidRPr="00F97497">
        <w:rPr>
          <w:rtl/>
        </w:rPr>
        <w:t>בהקדשת פר לחטאת ואיל לעולה</w:t>
      </w:r>
      <w:r>
        <w:rPr>
          <w:rFonts w:hint="cs"/>
          <w:rtl/>
        </w:rPr>
        <w:t>...</w:t>
      </w:r>
      <w:r w:rsidRPr="00F97497">
        <w:rPr>
          <w:rtl/>
        </w:rPr>
        <w:t xml:space="preserve"> כי אמנם לא יאחר כהן גדול להכנס לפנים עד אחר הקרבת העולה</w:t>
      </w:r>
      <w:r>
        <w:rPr>
          <w:rFonts w:hint="cs"/>
          <w:rtl/>
        </w:rPr>
        <w:t>,</w:t>
      </w:r>
      <w:r w:rsidRPr="00F97497">
        <w:rPr>
          <w:rtl/>
        </w:rPr>
        <w:t xml:space="preserve"> אבל יכנס להקטיר הקטרת תכף אחר שחיטת החטאת</w:t>
      </w:r>
      <w:r>
        <w:rPr>
          <w:rFonts w:hint="cs"/>
          <w:rtl/>
        </w:rPr>
        <w:t>".</w:t>
      </w:r>
    </w:p>
  </w:footnote>
  <w:footnote w:id="69">
    <w:p w:rsidR="00A527D5" w:rsidRPr="004D6529" w:rsidRDefault="00A527D5" w:rsidP="00C26E1A">
      <w:pPr>
        <w:pStyle w:val="a5"/>
        <w:rPr>
          <w:rtl/>
        </w:rPr>
      </w:pPr>
      <w:r>
        <w:rPr>
          <w:rStyle w:val="a7"/>
        </w:rPr>
        <w:footnoteRef/>
      </w:r>
      <w:r>
        <w:rPr>
          <w:rtl/>
        </w:rPr>
        <w:t xml:space="preserve"> </w:t>
      </w:r>
      <w:r>
        <w:rPr>
          <w:rFonts w:hint="cs"/>
          <w:rtl/>
        </w:rPr>
        <w:t xml:space="preserve">כן כותב המנחת אברהם </w:t>
      </w:r>
      <w:r>
        <w:rPr>
          <w:rFonts w:hint="cs"/>
          <w:sz w:val="16"/>
          <w:szCs w:val="16"/>
          <w:rtl/>
        </w:rPr>
        <w:t>[ח"ב סי' כח פ"ב אות ב]</w:t>
      </w:r>
      <w:r>
        <w:rPr>
          <w:rFonts w:hint="cs"/>
          <w:rtl/>
        </w:rPr>
        <w:t>: "ובאמת יש לומר עוד, שמה שכהנים מתכפרים בפרו של כהן גדול הוא משום שהוא ראש הכהנים, כדברי הר"מ בהל' כלי המקדש פ"ד הי"ב".</w:t>
      </w:r>
    </w:p>
  </w:footnote>
  <w:footnote w:id="70">
    <w:p w:rsidR="00A527D5" w:rsidRPr="004D6529" w:rsidRDefault="00A527D5" w:rsidP="00C26E1A">
      <w:pPr>
        <w:pStyle w:val="a5"/>
      </w:pPr>
      <w:r>
        <w:rPr>
          <w:rStyle w:val="a7"/>
        </w:rPr>
        <w:footnoteRef/>
      </w:r>
      <w:r>
        <w:rPr>
          <w:rtl/>
        </w:rPr>
        <w:t xml:space="preserve"> </w:t>
      </w:r>
      <w:r>
        <w:rPr>
          <w:rFonts w:hint="cs"/>
          <w:rtl/>
        </w:rPr>
        <w:t xml:space="preserve">כהגדרתו של הרמב"ם </w:t>
      </w:r>
      <w:r>
        <w:rPr>
          <w:rFonts w:hint="cs"/>
          <w:sz w:val="16"/>
          <w:szCs w:val="16"/>
          <w:rtl/>
        </w:rPr>
        <w:t>[הל' כלי המקדש והעובדים בו פ"ד הי"ב]</w:t>
      </w:r>
      <w:r>
        <w:rPr>
          <w:rFonts w:hint="cs"/>
          <w:rtl/>
        </w:rPr>
        <w:t>: "</w:t>
      </w:r>
      <w:r w:rsidRPr="004D6529">
        <w:rPr>
          <w:rtl/>
        </w:rPr>
        <w:t>וממנין כ</w:t>
      </w:r>
      <w:r w:rsidRPr="004D6529">
        <w:rPr>
          <w:rFonts w:hint="cs"/>
          <w:rtl/>
        </w:rPr>
        <w:t>הן גדול,</w:t>
      </w:r>
      <w:r w:rsidRPr="004D6529">
        <w:rPr>
          <w:rtl/>
        </w:rPr>
        <w:t xml:space="preserve"> </w:t>
      </w:r>
      <w:r w:rsidRPr="004D6529">
        <w:rPr>
          <w:b/>
          <w:bCs/>
          <w:rtl/>
        </w:rPr>
        <w:t>הוא ראש לכל הכהנים,</w:t>
      </w:r>
      <w:r w:rsidRPr="004D6529">
        <w:rPr>
          <w:rtl/>
        </w:rPr>
        <w:t xml:space="preserve"> ומושחין אותו בשמן המשחה, ומלבישין אותו בגדי כהונה גדולה</w:t>
      </w:r>
      <w:r w:rsidRPr="004D6529">
        <w:rPr>
          <w:rFonts w:hint="cs"/>
          <w:rtl/>
        </w:rPr>
        <w:t>,</w:t>
      </w:r>
      <w:r w:rsidRPr="004D6529">
        <w:rPr>
          <w:rtl/>
        </w:rPr>
        <w:t xml:space="preserve"> שנאמר</w:t>
      </w:r>
      <w:r w:rsidRPr="004D6529">
        <w:rPr>
          <w:rFonts w:hint="cs"/>
          <w:rtl/>
        </w:rPr>
        <w:t>:</w:t>
      </w:r>
      <w:r w:rsidRPr="004D6529">
        <w:rPr>
          <w:rtl/>
        </w:rPr>
        <w:t xml:space="preserve"> </w:t>
      </w:r>
      <w:r w:rsidRPr="004D6529">
        <w:rPr>
          <w:rFonts w:hint="cs"/>
          <w:rtl/>
        </w:rPr>
        <w:t>'</w:t>
      </w:r>
      <w:r w:rsidRPr="004D6529">
        <w:rPr>
          <w:rtl/>
        </w:rPr>
        <w:t>והכהן הגדול מאחיו אשר יוצק</w:t>
      </w:r>
      <w:r w:rsidRPr="004D6529">
        <w:rPr>
          <w:rFonts w:hint="cs"/>
          <w:rtl/>
        </w:rPr>
        <w:t xml:space="preserve">' </w:t>
      </w:r>
      <w:r w:rsidRPr="004D6529">
        <w:rPr>
          <w:rtl/>
        </w:rPr>
        <w:t>וגו'</w:t>
      </w:r>
      <w:r>
        <w:rPr>
          <w:rFonts w:hint="cs"/>
          <w:rtl/>
        </w:rPr>
        <w:t>"</w:t>
      </w:r>
      <w:r w:rsidRPr="004D6529">
        <w:rPr>
          <w:rFonts w:hint="cs"/>
          <w:rtl/>
        </w:rPr>
        <w:t>.</w:t>
      </w:r>
    </w:p>
  </w:footnote>
  <w:footnote w:id="71">
    <w:p w:rsidR="00A527D5" w:rsidRPr="004D6529" w:rsidRDefault="00A527D5" w:rsidP="00C26E1A">
      <w:pPr>
        <w:pStyle w:val="a5"/>
        <w:rPr>
          <w:rtl/>
        </w:rPr>
      </w:pPr>
      <w:r>
        <w:rPr>
          <w:rStyle w:val="a7"/>
        </w:rPr>
        <w:footnoteRef/>
      </w:r>
      <w:r>
        <w:rPr>
          <w:rFonts w:hint="cs"/>
          <w:rtl/>
        </w:rPr>
        <w:t xml:space="preserve"> דנו בהגדרה זו בשיעור הרביעי </w:t>
      </w:r>
      <w:r>
        <w:rPr>
          <w:rFonts w:hint="cs"/>
          <w:sz w:val="16"/>
          <w:szCs w:val="16"/>
          <w:rtl/>
        </w:rPr>
        <w:t>['ומתקינין כהן אחר תחתיו']</w:t>
      </w:r>
      <w:r>
        <w:rPr>
          <w:rFonts w:hint="cs"/>
          <w:rtl/>
        </w:rPr>
        <w:t>.</w:t>
      </w:r>
    </w:p>
  </w:footnote>
  <w:footnote w:id="72">
    <w:p w:rsidR="00A527D5" w:rsidRDefault="00A527D5" w:rsidP="00A527D5">
      <w:pPr>
        <w:pStyle w:val="a5"/>
        <w:rPr>
          <w:rtl/>
        </w:rPr>
      </w:pPr>
      <w:r>
        <w:rPr>
          <w:rStyle w:val="a7"/>
        </w:rPr>
        <w:footnoteRef/>
      </w:r>
      <w:r>
        <w:rPr>
          <w:rtl/>
        </w:rPr>
        <w:t xml:space="preserve"> </w:t>
      </w:r>
      <w:r>
        <w:rPr>
          <w:rFonts w:hint="cs"/>
          <w:rtl/>
        </w:rPr>
        <w:t xml:space="preserve">מדברי רש"י עולה שהמחלוקת בין משנתנו ובין התוספתא היא בשאלה האם ההגרלה מוגדרת 'עבודה'. אמנם בגמרא </w:t>
      </w:r>
      <w:r>
        <w:rPr>
          <w:rFonts w:hint="cs"/>
          <w:sz w:val="16"/>
          <w:szCs w:val="16"/>
          <w:rtl/>
        </w:rPr>
        <w:t>[לט.]</w:t>
      </w:r>
      <w:r>
        <w:rPr>
          <w:rFonts w:hint="cs"/>
          <w:rtl/>
        </w:rPr>
        <w:t xml:space="preserve"> מבואר שמחלוקת התנאים היא בשאלה האם "ימינא דסגן עדיפא משמאליה דכהן גדול", וצ"ע.</w:t>
      </w:r>
    </w:p>
  </w:footnote>
  <w:footnote w:id="73">
    <w:p w:rsidR="00A527D5" w:rsidRDefault="00A527D5" w:rsidP="00A527D5">
      <w:pPr>
        <w:pStyle w:val="a5"/>
      </w:pPr>
      <w:r>
        <w:rPr>
          <w:rStyle w:val="a7"/>
        </w:rPr>
        <w:footnoteRef/>
      </w:r>
      <w:r>
        <w:rPr>
          <w:rtl/>
        </w:rPr>
        <w:t xml:space="preserve"> </w:t>
      </w:r>
      <w:r>
        <w:rPr>
          <w:rFonts w:hint="cs"/>
          <w:rtl/>
        </w:rPr>
        <w:t xml:space="preserve">הגבורת ארי מתקשה לקבל את יישובו של רש"י ושל ראשונים נוספים לפיו, הסיבה שהסגן רשאי להשתתף בהגרלה היא משום שהגרלה אינה מוגדרת עבודה. הגבורת ארי </w:t>
      </w:r>
      <w:r>
        <w:rPr>
          <w:rFonts w:hint="cs"/>
          <w:sz w:val="16"/>
          <w:szCs w:val="16"/>
          <w:rtl/>
        </w:rPr>
        <w:t xml:space="preserve">[שם] </w:t>
      </w:r>
      <w:r>
        <w:rPr>
          <w:rFonts w:hint="cs"/>
          <w:rtl/>
        </w:rPr>
        <w:t>מנמק את דבריו כך: "</w:t>
      </w:r>
      <w:r w:rsidRPr="00F57D9C">
        <w:rPr>
          <w:rFonts w:ascii="Narkisim" w:hAnsi="Narkisim"/>
          <w:rtl/>
        </w:rPr>
        <w:t>דכיון דהגרלה בגדי לבן בעי לכתחילה לכולי עלמא אף על גב דלאו עבודה היא ולא קאי עלה חוקה כיון דכל הפרשה בבגדי לבן מיירי הכי נמי ניבעי לכתחילה אהרן דהא כל הפרשה באהרן מיירי</w:t>
      </w:r>
      <w:r>
        <w:rPr>
          <w:rFonts w:ascii="Narkisim" w:hAnsi="Narkisim" w:hint="cs"/>
          <w:rtl/>
        </w:rPr>
        <w:t>".</w:t>
      </w:r>
      <w:r>
        <w:rPr>
          <w:rFonts w:hint="cs"/>
          <w:rtl/>
        </w:rPr>
        <w:t xml:space="preserve"> לדבריו גם אם נאמר שהגרלה איננה עבודה, עדיין יש מקום לומר שלכתחילה ההגרלה צריכה להיעשות על ידי הכהן הגדול בלבד. כיוון שהפרשה כולה עוסקת באהרון הכהן, וכחלק מסדר העבודה מוזכרת הדרישה לבצע את ההגרלה, מסתבר שהכהן הגדול הוא זה שצריך להגריל מלכתחילה, ולא הסגן או כל אדם אחר. אמנם, כפי שכבר העירו תוספות </w:t>
      </w:r>
      <w:r w:rsidRPr="00D94EBD">
        <w:rPr>
          <w:rFonts w:hint="cs"/>
          <w:sz w:val="16"/>
          <w:szCs w:val="16"/>
          <w:rtl/>
        </w:rPr>
        <w:t>[</w:t>
      </w:r>
      <w:r>
        <w:rPr>
          <w:rFonts w:hint="cs"/>
          <w:sz w:val="16"/>
          <w:szCs w:val="16"/>
          <w:rtl/>
        </w:rPr>
        <w:t>לט: ד"ה דתנא</w:t>
      </w:r>
      <w:r w:rsidRPr="00D94EBD">
        <w:rPr>
          <w:rFonts w:hint="cs"/>
          <w:sz w:val="16"/>
          <w:szCs w:val="16"/>
          <w:rtl/>
        </w:rPr>
        <w:t>]</w:t>
      </w:r>
      <w:r>
        <w:rPr>
          <w:rFonts w:hint="cs"/>
          <w:rtl/>
        </w:rPr>
        <w:t xml:space="preserve"> בפרשייה לא מוזכר בפירוש ציווי על עשיית ההגרלה, אלא על נתינת הגורלות בלבד, אם כן ייתכן שממילא אין כל הכרח שההגרלה תתבצע על ידי הכהן הגדול בלבד. </w:t>
      </w:r>
    </w:p>
  </w:footnote>
  <w:footnote w:id="74">
    <w:p w:rsidR="00A527D5" w:rsidRDefault="00A527D5" w:rsidP="00A527D5">
      <w:pPr>
        <w:pStyle w:val="a5"/>
        <w:rPr>
          <w:rtl/>
        </w:rPr>
      </w:pPr>
      <w:r>
        <w:rPr>
          <w:rStyle w:val="a7"/>
        </w:rPr>
        <w:footnoteRef/>
      </w:r>
      <w:r>
        <w:rPr>
          <w:rtl/>
        </w:rPr>
        <w:t xml:space="preserve"> </w:t>
      </w:r>
      <w:r>
        <w:rPr>
          <w:rFonts w:hint="cs"/>
          <w:rtl/>
        </w:rPr>
        <w:t xml:space="preserve">המקדש דוד </w:t>
      </w:r>
      <w:r>
        <w:rPr>
          <w:rFonts w:hint="cs"/>
          <w:sz w:val="16"/>
          <w:szCs w:val="16"/>
          <w:rtl/>
        </w:rPr>
        <w:t>[קדשים כד ג]</w:t>
      </w:r>
      <w:r>
        <w:rPr>
          <w:rFonts w:hint="cs"/>
          <w:rtl/>
        </w:rPr>
        <w:t xml:space="preserve"> סובר שלכך גם כיוונו התוספות ישנים </w:t>
      </w:r>
      <w:r>
        <w:rPr>
          <w:rFonts w:hint="cs"/>
          <w:sz w:val="16"/>
          <w:szCs w:val="16"/>
          <w:rtl/>
        </w:rPr>
        <w:t>[לט. ד"ה הסגן]</w:t>
      </w:r>
      <w:r>
        <w:rPr>
          <w:rFonts w:hint="cs"/>
          <w:rtl/>
        </w:rPr>
        <w:t xml:space="preserve"> באומרם "שאין כל כך עבודה שהרי על ידי כהן גדול מתבררין השעירין". קביעה זו מסתברת לאור העובדה שניתן למצוא ליסוד זה ביטוי נוסף בדברי התוספות ישנים במקום אחר </w:t>
      </w:r>
      <w:r>
        <w:rPr>
          <w:rFonts w:hint="cs"/>
          <w:sz w:val="16"/>
          <w:szCs w:val="16"/>
          <w:rtl/>
        </w:rPr>
        <w:t>[לט: ]</w:t>
      </w:r>
      <w:r>
        <w:rPr>
          <w:rFonts w:hint="cs"/>
          <w:rtl/>
        </w:rPr>
        <w:t xml:space="preserve">. ברם, נראה שקיים קושי בהנחה זו שכן אף שתוספות ישנים התקשו בשאלה כיצד כשרה עבודת ההגרלה בשמאל, הם לא הסבירו זאת על פי אותו יסוד, וכפי שיישב הגבורת ארי [אמנם עיין דברי יחזקאל </w:t>
      </w:r>
      <w:r>
        <w:rPr>
          <w:rFonts w:hint="cs"/>
          <w:sz w:val="16"/>
          <w:szCs w:val="16"/>
          <w:rtl/>
        </w:rPr>
        <w:t xml:space="preserve">[כב ז] </w:t>
      </w:r>
      <w:r>
        <w:rPr>
          <w:rFonts w:hint="cs"/>
          <w:rtl/>
        </w:rPr>
        <w:t xml:space="preserve">שסובר שאף אם מקבלים את יסודו של הגבורת ארי, אין כל הכרח ביישובו לשאלת עבודת ההגרלה בשמאל]. ועיין בספר 'דברות אריאל' </w:t>
      </w:r>
      <w:r>
        <w:rPr>
          <w:rFonts w:hint="cs"/>
          <w:sz w:val="16"/>
          <w:szCs w:val="16"/>
          <w:rtl/>
        </w:rPr>
        <w:t>[סימן כה]</w:t>
      </w:r>
      <w:r>
        <w:rPr>
          <w:rFonts w:hint="cs"/>
          <w:rtl/>
        </w:rPr>
        <w:t xml:space="preserve"> שדחה את דברי המקדש דוד מסיבה אחרת, ועיין בדברינו להלן.</w:t>
      </w:r>
    </w:p>
  </w:footnote>
  <w:footnote w:id="75">
    <w:p w:rsidR="00A527D5" w:rsidRDefault="00A527D5" w:rsidP="00A527D5">
      <w:pPr>
        <w:pStyle w:val="a5"/>
      </w:pPr>
      <w:r>
        <w:rPr>
          <w:rStyle w:val="a7"/>
        </w:rPr>
        <w:footnoteRef/>
      </w:r>
      <w:r>
        <w:rPr>
          <w:rtl/>
        </w:rPr>
        <w:t xml:space="preserve"> </w:t>
      </w:r>
      <w:r>
        <w:rPr>
          <w:rFonts w:hint="cs"/>
          <w:rtl/>
        </w:rPr>
        <w:t xml:space="preserve">ניתן היה לומר שאף רש"י סובר שתפקיד ההגרלה הוא קביעת זהות השעירים בלבד, אלא שגם מטרה זו לא מתקיימת על ידי הכהן הגדול בציור שעולה מדברי התוספתא. שכן מדברי התוספתא לא מצאנו קביעה או הכרח לכך שהכהן הגדול הוא הראשון שמעלה את הגורל מתוך הקלפי. אמנם מדברי רש"י </w:t>
      </w:r>
      <w:r w:rsidRPr="000B4387">
        <w:rPr>
          <w:rFonts w:hint="cs"/>
          <w:sz w:val="16"/>
          <w:szCs w:val="16"/>
          <w:rtl/>
        </w:rPr>
        <w:t>[</w:t>
      </w:r>
      <w:r>
        <w:rPr>
          <w:rFonts w:hint="cs"/>
          <w:sz w:val="16"/>
          <w:szCs w:val="16"/>
          <w:rtl/>
        </w:rPr>
        <w:t>לט: ד"ה עליית</w:t>
      </w:r>
      <w:r w:rsidRPr="000B4387">
        <w:rPr>
          <w:rFonts w:hint="cs"/>
          <w:sz w:val="16"/>
          <w:szCs w:val="16"/>
          <w:rtl/>
        </w:rPr>
        <w:t>]</w:t>
      </w:r>
      <w:r>
        <w:rPr>
          <w:rFonts w:hint="cs"/>
          <w:rtl/>
        </w:rPr>
        <w:t xml:space="preserve"> נראה שעבודת ההגרלה מתקיימת תמיד בשני הגורלות, וממילא אין לראות בה עבודת בירור בעלמא.</w:t>
      </w:r>
    </w:p>
  </w:footnote>
  <w:footnote w:id="76">
    <w:p w:rsidR="00A527D5" w:rsidRDefault="00A527D5" w:rsidP="00A527D5">
      <w:pPr>
        <w:pStyle w:val="a5"/>
        <w:rPr>
          <w:rtl/>
        </w:rPr>
      </w:pPr>
      <w:r>
        <w:rPr>
          <w:rStyle w:val="a7"/>
        </w:rPr>
        <w:footnoteRef/>
      </w:r>
      <w:r>
        <w:rPr>
          <w:rtl/>
        </w:rPr>
        <w:t xml:space="preserve"> </w:t>
      </w:r>
      <w:r>
        <w:rPr>
          <w:rFonts w:hint="cs"/>
          <w:rtl/>
        </w:rPr>
        <w:t xml:space="preserve">כך עולה גם מדברי המנחת חינוך </w:t>
      </w:r>
      <w:r>
        <w:rPr>
          <w:rFonts w:hint="cs"/>
          <w:sz w:val="16"/>
          <w:szCs w:val="16"/>
          <w:rtl/>
        </w:rPr>
        <w:t>[רפה ב]</w:t>
      </w:r>
      <w:r>
        <w:rPr>
          <w:rFonts w:hint="cs"/>
          <w:rtl/>
        </w:rPr>
        <w:t>, שטען שמי שמגריל על שעיר בעל מום לוקה משום האיסור להקדיש בהמה בעלת מום, עיי"ש בדבריו.</w:t>
      </w:r>
    </w:p>
  </w:footnote>
  <w:footnote w:id="77">
    <w:p w:rsidR="00A527D5" w:rsidRDefault="00A527D5" w:rsidP="00A527D5">
      <w:pPr>
        <w:pStyle w:val="a5"/>
        <w:rPr>
          <w:rtl/>
        </w:rPr>
      </w:pPr>
      <w:r>
        <w:rPr>
          <w:rStyle w:val="a7"/>
        </w:rPr>
        <w:footnoteRef/>
      </w:r>
      <w:r>
        <w:rPr>
          <w:rtl/>
        </w:rPr>
        <w:t xml:space="preserve"> </w:t>
      </w:r>
      <w:r>
        <w:rPr>
          <w:rFonts w:hint="cs"/>
          <w:rtl/>
        </w:rPr>
        <w:t xml:space="preserve">ואכן כך כותב החזון איש </w:t>
      </w:r>
      <w:r>
        <w:rPr>
          <w:rFonts w:hint="cs"/>
          <w:sz w:val="16"/>
          <w:szCs w:val="16"/>
          <w:rtl/>
        </w:rPr>
        <w:t>[או"ח קכח ב]</w:t>
      </w:r>
      <w:r>
        <w:rPr>
          <w:rFonts w:hint="cs"/>
          <w:rtl/>
        </w:rPr>
        <w:t>. החזו"א מחדש שאף קודם ההגרלה, אם יועדו השעירים לעבודת שעירי יוהכ"פ, שוב אין חייבים עליהן משום שחוטי חוץ, כיוון שהם אינם ראויים ליקרב כקרבנות המוספים.</w:t>
      </w:r>
    </w:p>
  </w:footnote>
  <w:footnote w:id="78">
    <w:p w:rsidR="00A527D5" w:rsidRDefault="00A527D5" w:rsidP="00A527D5">
      <w:pPr>
        <w:pStyle w:val="a5"/>
      </w:pPr>
      <w:r>
        <w:rPr>
          <w:rStyle w:val="a7"/>
        </w:rPr>
        <w:footnoteRef/>
      </w:r>
      <w:r>
        <w:rPr>
          <w:rtl/>
        </w:rPr>
        <w:t xml:space="preserve"> </w:t>
      </w:r>
      <w:r>
        <w:rPr>
          <w:rFonts w:hint="cs"/>
          <w:rtl/>
        </w:rPr>
        <w:t xml:space="preserve">כך ביאר את דברי התוספות ישנים בספר 'דבר חיים' </w:t>
      </w:r>
      <w:r>
        <w:rPr>
          <w:rFonts w:hint="cs"/>
          <w:sz w:val="16"/>
          <w:szCs w:val="16"/>
          <w:rtl/>
        </w:rPr>
        <w:t>[סימן טו]</w:t>
      </w:r>
      <w:r>
        <w:rPr>
          <w:rFonts w:hint="cs"/>
          <w:rtl/>
        </w:rPr>
        <w:t>, ועיין שם בדבריו שהאריך בעניין זה.</w:t>
      </w:r>
    </w:p>
  </w:footnote>
  <w:footnote w:id="79">
    <w:p w:rsidR="00A527D5" w:rsidRDefault="00A527D5" w:rsidP="00A527D5">
      <w:pPr>
        <w:pStyle w:val="a5"/>
        <w:rPr>
          <w:rtl/>
        </w:rPr>
      </w:pPr>
      <w:r>
        <w:rPr>
          <w:rStyle w:val="a7"/>
        </w:rPr>
        <w:footnoteRef/>
      </w:r>
      <w:r>
        <w:rPr>
          <w:rtl/>
        </w:rPr>
        <w:t xml:space="preserve"> </w:t>
      </w:r>
      <w:r>
        <w:rPr>
          <w:rFonts w:hint="cs"/>
          <w:rtl/>
        </w:rPr>
        <w:t>בסוגיה זו נעסוק בעז"ה בהרחבה בשיעור הבא.</w:t>
      </w:r>
    </w:p>
  </w:footnote>
  <w:footnote w:id="80">
    <w:p w:rsidR="00A527D5" w:rsidRDefault="00A527D5" w:rsidP="00A527D5">
      <w:pPr>
        <w:pStyle w:val="a5"/>
      </w:pPr>
      <w:r>
        <w:rPr>
          <w:rStyle w:val="a7"/>
        </w:rPr>
        <w:footnoteRef/>
      </w:r>
      <w:r>
        <w:rPr>
          <w:rtl/>
        </w:rPr>
        <w:t xml:space="preserve"> </w:t>
      </w:r>
      <w:r>
        <w:rPr>
          <w:rFonts w:hint="cs"/>
          <w:rtl/>
        </w:rPr>
        <w:t xml:space="preserve">אמנם עיין בדברי התוספות רא"ש </w:t>
      </w:r>
      <w:r>
        <w:rPr>
          <w:rFonts w:hint="cs"/>
          <w:sz w:val="16"/>
          <w:szCs w:val="16"/>
          <w:rtl/>
        </w:rPr>
        <w:t>[מ: ד"ה ואין]</w:t>
      </w:r>
      <w:r>
        <w:rPr>
          <w:rFonts w:hint="cs"/>
          <w:rtl/>
        </w:rPr>
        <w:t xml:space="preserve"> שכתב: "</w:t>
      </w:r>
      <w:r>
        <w:rPr>
          <w:rtl/>
        </w:rPr>
        <w:t>מ"מ צריך שיאמר לה' חטאת למצוה ולא לקביעות שם שכבר הוקבעו בגורל</w:t>
      </w:r>
      <w:r>
        <w:rPr>
          <w:rFonts w:hint="cs"/>
          <w:rtl/>
        </w:rPr>
        <w:t>". אך ייתכן שלפי שיטתנו צריך לומר שזהו תורף כוונתו, הגורל קובע את שם השעירים, היינו זהותו של כל אחד מהשעירים, והכרזת הכהן גדול מחילה בפועל את קדושת השעירים, וצ"ע.</w:t>
      </w:r>
    </w:p>
  </w:footnote>
  <w:footnote w:id="81">
    <w:p w:rsidR="00A527D5" w:rsidRDefault="00A527D5" w:rsidP="00C26E1A">
      <w:pPr>
        <w:pStyle w:val="a5"/>
        <w:rPr>
          <w:rtl/>
        </w:rPr>
      </w:pPr>
      <w:r>
        <w:rPr>
          <w:rStyle w:val="a7"/>
        </w:rPr>
        <w:footnoteRef/>
      </w:r>
      <w:r>
        <w:rPr>
          <w:rtl/>
        </w:rPr>
        <w:t xml:space="preserve"> </w:t>
      </w:r>
      <w:r>
        <w:rPr>
          <w:rFonts w:hint="cs"/>
          <w:rtl/>
        </w:rPr>
        <w:t xml:space="preserve">כך כותב רש"י </w:t>
      </w:r>
      <w:r>
        <w:rPr>
          <w:rFonts w:hint="cs"/>
          <w:sz w:val="16"/>
          <w:szCs w:val="16"/>
          <w:rtl/>
        </w:rPr>
        <w:t>[לט. ד"ה עליית]</w:t>
      </w:r>
      <w:r>
        <w:rPr>
          <w:rFonts w:hint="cs"/>
          <w:rtl/>
        </w:rPr>
        <w:t xml:space="preserve"> בסתמא ביחס לעמדה הסוברת שעליית גורל מעכבת. אך אכן ייתכן שמאן דאמר עליית גורל מעכבת חולק על הכלל העולה בגמרא, וסובר שלר' נחמיה גם מעשה הנעשה בבגדי לבן בחוץ שאינו מוגדר כ'עבודה', מעכב.</w:t>
      </w:r>
    </w:p>
  </w:footnote>
  <w:footnote w:id="82">
    <w:p w:rsidR="00A527D5" w:rsidRDefault="00A527D5" w:rsidP="00C26E1A">
      <w:pPr>
        <w:pStyle w:val="a5"/>
      </w:pPr>
      <w:r>
        <w:rPr>
          <w:rStyle w:val="a7"/>
        </w:rPr>
        <w:footnoteRef/>
      </w:r>
      <w:r>
        <w:rPr>
          <w:rtl/>
        </w:rPr>
        <w:t xml:space="preserve"> </w:t>
      </w:r>
      <w:r>
        <w:rPr>
          <w:rFonts w:hint="cs"/>
          <w:rtl/>
        </w:rPr>
        <w:t xml:space="preserve">כמבואר בדברי הגמרא </w:t>
      </w:r>
      <w:r>
        <w:rPr>
          <w:rFonts w:hint="cs"/>
          <w:sz w:val="16"/>
          <w:szCs w:val="16"/>
          <w:rtl/>
        </w:rPr>
        <w:t>[ס.]</w:t>
      </w:r>
      <w:r>
        <w:rPr>
          <w:rFonts w:hint="cs"/>
          <w:rtl/>
        </w:rPr>
        <w:t>.</w:t>
      </w:r>
    </w:p>
  </w:footnote>
  <w:footnote w:id="83">
    <w:p w:rsidR="00A527D5" w:rsidRDefault="00A527D5" w:rsidP="00C26E1A">
      <w:pPr>
        <w:pStyle w:val="a5"/>
        <w:rPr>
          <w:rtl/>
        </w:rPr>
      </w:pPr>
      <w:r>
        <w:rPr>
          <w:rStyle w:val="a7"/>
        </w:rPr>
        <w:footnoteRef/>
      </w:r>
      <w:r>
        <w:rPr>
          <w:rtl/>
        </w:rPr>
        <w:t xml:space="preserve"> </w:t>
      </w:r>
      <w:r>
        <w:rPr>
          <w:rFonts w:hint="cs"/>
          <w:rtl/>
        </w:rPr>
        <w:t xml:space="preserve">כך עולה מהקושיות בהמשך דברי הסוגיה ביחס למאן דאמר עבודה מעכבת. ברם, מדברי רבנו חננאל </w:t>
      </w:r>
      <w:r>
        <w:rPr>
          <w:rFonts w:hint="cs"/>
          <w:sz w:val="16"/>
          <w:szCs w:val="16"/>
          <w:rtl/>
        </w:rPr>
        <w:t xml:space="preserve">[לט:] </w:t>
      </w:r>
      <w:r>
        <w:rPr>
          <w:rFonts w:hint="cs"/>
          <w:rtl/>
        </w:rPr>
        <w:t>נראה שאף מחלוקת האמוראים היא בשאלה האם סדר ההגרלה מעכב, ולא מעשה ההגרלה עצמו, וצ"ע.</w:t>
      </w:r>
    </w:p>
  </w:footnote>
  <w:footnote w:id="84">
    <w:p w:rsidR="00A527D5" w:rsidRDefault="00A527D5" w:rsidP="00C26E1A">
      <w:pPr>
        <w:pStyle w:val="a5"/>
      </w:pPr>
      <w:r>
        <w:rPr>
          <w:rStyle w:val="a7"/>
        </w:rPr>
        <w:footnoteRef/>
      </w:r>
      <w:r>
        <w:rPr>
          <w:rtl/>
        </w:rPr>
        <w:t xml:space="preserve"> </w:t>
      </w:r>
      <w:r>
        <w:rPr>
          <w:rFonts w:hint="cs"/>
          <w:rtl/>
        </w:rPr>
        <w:t xml:space="preserve">על נקודה זו עמד הרב אברהם סתיו בספרו 'מבית לפרוכת' </w:t>
      </w:r>
      <w:r>
        <w:rPr>
          <w:rFonts w:hint="cs"/>
          <w:sz w:val="16"/>
          <w:szCs w:val="16"/>
          <w:rtl/>
        </w:rPr>
        <w:t>[עמ' 133 הע' 42]</w:t>
      </w:r>
      <w:r>
        <w:rPr>
          <w:rFonts w:hint="cs"/>
          <w:rtl/>
        </w:rPr>
        <w:t>.</w:t>
      </w:r>
    </w:p>
  </w:footnote>
  <w:footnote w:id="85">
    <w:p w:rsidR="00A527D5" w:rsidRDefault="00A527D5" w:rsidP="00C26E1A">
      <w:pPr>
        <w:pStyle w:val="a5"/>
        <w:rPr>
          <w:rtl/>
        </w:rPr>
      </w:pPr>
      <w:r>
        <w:rPr>
          <w:rStyle w:val="a7"/>
        </w:rPr>
        <w:footnoteRef/>
      </w:r>
      <w:r>
        <w:rPr>
          <w:rtl/>
        </w:rPr>
        <w:t xml:space="preserve"> </w:t>
      </w:r>
      <w:r>
        <w:rPr>
          <w:rFonts w:hint="cs"/>
          <w:rtl/>
        </w:rPr>
        <w:t xml:space="preserve">ייתכן שניתן לדייק כאפשרות השנייה מדברי רש"י </w:t>
      </w:r>
      <w:r>
        <w:rPr>
          <w:rFonts w:hint="cs"/>
          <w:sz w:val="16"/>
          <w:szCs w:val="16"/>
          <w:rtl/>
        </w:rPr>
        <w:t>[לט: ד"ה עליית]</w:t>
      </w:r>
      <w:r>
        <w:rPr>
          <w:rFonts w:hint="cs"/>
          <w:rtl/>
        </w:rPr>
        <w:t xml:space="preserve">, וכך כתב בספר 'חונן דעה' </w:t>
      </w:r>
      <w:r>
        <w:rPr>
          <w:rFonts w:hint="cs"/>
          <w:sz w:val="16"/>
          <w:szCs w:val="16"/>
          <w:rtl/>
        </w:rPr>
        <w:t xml:space="preserve">[עמ' רנד-רנה] </w:t>
      </w:r>
      <w:r>
        <w:rPr>
          <w:rFonts w:hint="cs"/>
          <w:rtl/>
        </w:rPr>
        <w:t>עיי"ש.</w:t>
      </w:r>
    </w:p>
  </w:footnote>
  <w:footnote w:id="86">
    <w:p w:rsidR="00A527D5" w:rsidRDefault="00A527D5" w:rsidP="00C26E1A">
      <w:pPr>
        <w:pStyle w:val="a5"/>
        <w:rPr>
          <w:rtl/>
        </w:rPr>
      </w:pPr>
      <w:r>
        <w:rPr>
          <w:rStyle w:val="a7"/>
        </w:rPr>
        <w:footnoteRef/>
      </w:r>
      <w:r>
        <w:rPr>
          <w:rtl/>
        </w:rPr>
        <w:t xml:space="preserve"> </w:t>
      </w:r>
      <w:r>
        <w:rPr>
          <w:rFonts w:hint="cs"/>
          <w:rtl/>
        </w:rPr>
        <w:t xml:space="preserve">ברם עיין בדברי התוספות רא"ש </w:t>
      </w:r>
      <w:r>
        <w:rPr>
          <w:rFonts w:hint="cs"/>
          <w:sz w:val="16"/>
          <w:szCs w:val="16"/>
          <w:rtl/>
        </w:rPr>
        <w:t xml:space="preserve">[מ: ד"ה ואי] </w:t>
      </w:r>
      <w:r>
        <w:rPr>
          <w:rFonts w:hint="cs"/>
          <w:rtl/>
        </w:rPr>
        <w:t>שכתב: "</w:t>
      </w:r>
      <w:r>
        <w:rPr>
          <w:rtl/>
        </w:rPr>
        <w:t>נראה לי דהו"מ למימר וליטעמיך לדידך דאמרת הגרלה לא מעכבא כיון דקבעתיה שמאל היכי מהדר ליה לימין, דעד כאן לא פליגי אלא דאם קרא להם שם, הגרלה לא מעכבא, אבל כולהו מודו דהגרלה קובעת ואי איפשר לשנותם כמו קריאת השם שקובעת בשאר קרבנות</w:t>
      </w:r>
      <w:r>
        <w:rPr>
          <w:rFonts w:hint="cs"/>
          <w:rtl/>
        </w:rPr>
        <w:t xml:space="preserve">". על פי פירושו נמצא שאין מחלוקת בין הגמרא לתוספתא בעניין זה. ויש להוסיף שלכאורה קשה לקבל את פרשנות הגמרא לדברי התוספתא, שכן כפי שראינו לעיל מדברי התוספתא עצמה במקום אחר עולה שאף למאן דאמר הגרלה אינה מעכבת הכהן אינו רשאי לשנות את מעמד השעירים לאחר ההגרלה, ועיין תוספתא כפשוטה </w:t>
      </w:r>
      <w:r>
        <w:rPr>
          <w:rFonts w:hint="cs"/>
          <w:sz w:val="16"/>
          <w:szCs w:val="16"/>
          <w:rtl/>
        </w:rPr>
        <w:t>[מועד ד עמ' 766]</w:t>
      </w:r>
      <w:r>
        <w:rPr>
          <w:rFonts w:hint="cs"/>
          <w:rtl/>
        </w:rPr>
        <w:t>.</w:t>
      </w:r>
    </w:p>
  </w:footnote>
  <w:footnote w:id="87">
    <w:p w:rsidR="00A527D5" w:rsidRDefault="00A527D5" w:rsidP="00C26E1A">
      <w:pPr>
        <w:pStyle w:val="a5"/>
        <w:rPr>
          <w:rtl/>
        </w:rPr>
      </w:pPr>
      <w:r>
        <w:rPr>
          <w:rStyle w:val="a7"/>
        </w:rPr>
        <w:footnoteRef/>
      </w:r>
      <w:r>
        <w:rPr>
          <w:rtl/>
        </w:rPr>
        <w:t xml:space="preserve"> </w:t>
      </w:r>
      <w:r>
        <w:rPr>
          <w:rFonts w:hint="cs"/>
          <w:rtl/>
        </w:rPr>
        <w:t xml:space="preserve">כך כותב הנצי"ב </w:t>
      </w:r>
      <w:r>
        <w:rPr>
          <w:rFonts w:hint="cs"/>
          <w:sz w:val="16"/>
          <w:szCs w:val="16"/>
          <w:rtl/>
        </w:rPr>
        <w:t xml:space="preserve">[מרומי שדה לט. ד"ה במשנה] </w:t>
      </w:r>
      <w:r>
        <w:rPr>
          <w:rFonts w:hint="cs"/>
          <w:rtl/>
        </w:rPr>
        <w:t>בעניין הכרזת הכהן: "</w:t>
      </w:r>
      <w:r>
        <w:rPr>
          <w:rtl/>
        </w:rPr>
        <w:t>משא"כ כאן דהגורל קדשו אפילו אם לא יאמר כלל חטאת, הרי זה חטאת. והא דבעי לומר חטאת, למדין מהא דאי' בערכין דף כ"ט א' בבכור דאע"ג דקדוש מרחם, מכ"מ כתיב תקדיש דמצוה לומר הרי זה בכור</w:t>
      </w:r>
      <w:r>
        <w:rPr>
          <w:rFonts w:hint="cs"/>
          <w:rtl/>
        </w:rPr>
        <w:t>"</w:t>
      </w:r>
      <w:r>
        <w:rPr>
          <w:rtl/>
        </w:rPr>
        <w:t>.</w:t>
      </w:r>
      <w:r>
        <w:rPr>
          <w:rFonts w:hint="cs"/>
          <w:rtl/>
        </w:rPr>
        <w:t xml:space="preserve"> מדבריו נראה שהכרזת הכהן כלל אינה מעכבת בעבודת השעירים, ולכאורה היה מקום לערוך דיון מקביל לשאלת הגרלה מעכבת בשאלה האם הכרזת כהן מעכבת, ואכמ"ל.</w:t>
      </w:r>
    </w:p>
    <w:p w:rsidR="00A527D5" w:rsidRDefault="00A527D5" w:rsidP="00C26E1A">
      <w:pPr>
        <w:pStyle w:val="a5"/>
      </w:pPr>
      <w:r>
        <w:rPr>
          <w:rFonts w:hint="cs"/>
          <w:rtl/>
        </w:rPr>
        <w:t xml:space="preserve">כאן אולי המקום לתקן ולדייק דברים שכתבנו בשיעור הקודם בעניין הכרזת הכהן בשיטת התוס' רא"ש. בשיעור הקודם טענו, על פי דברי התוספות רא"ש, שגם למאן דאמר הגרלה מעכבת, ההגרלה רק מבררת את זהות השעירים, ואילו ההקדשה מתקיימת בהכרזת הכהן הגדול. אולם במקום אחר </w:t>
      </w:r>
      <w:r>
        <w:rPr>
          <w:rFonts w:hint="cs"/>
          <w:sz w:val="16"/>
          <w:szCs w:val="16"/>
          <w:rtl/>
        </w:rPr>
        <w:t xml:space="preserve">[מ: ד"ה ואין] </w:t>
      </w:r>
      <w:r>
        <w:rPr>
          <w:rFonts w:hint="cs"/>
          <w:rtl/>
        </w:rPr>
        <w:t>כותב התוספות רא"ש דברים שנשמעים כמעט הפוכים: "</w:t>
      </w:r>
      <w:r>
        <w:rPr>
          <w:rtl/>
        </w:rPr>
        <w:t>מ"מ צריך שיאמר לה' חטאת למצוה ולא לקביעות שם שכבר הוקבעו בגורל</w:t>
      </w:r>
      <w:r>
        <w:rPr>
          <w:rFonts w:hint="cs"/>
          <w:rtl/>
        </w:rPr>
        <w:t>"</w:t>
      </w:r>
      <w:r>
        <w:rPr>
          <w:rtl/>
        </w:rPr>
        <w:t>.</w:t>
      </w:r>
      <w:r>
        <w:rPr>
          <w:rFonts w:hint="cs"/>
          <w:rtl/>
        </w:rPr>
        <w:t xml:space="preserve"> ייתכן שניתן עדיין ליישב ולומר שהגורל קובע את שם השעירים, היינו זהותו של כל אחד מהשעירים, והכרזת הכהן גדול מחילה בפועל את קדושת השעירים.  ברם, עיין בספר 'חונן דעה' </w:t>
      </w:r>
      <w:r>
        <w:rPr>
          <w:rFonts w:hint="cs"/>
          <w:sz w:val="16"/>
          <w:szCs w:val="16"/>
          <w:rtl/>
        </w:rPr>
        <w:t xml:space="preserve">[עמ' רנב] </w:t>
      </w:r>
      <w:r>
        <w:rPr>
          <w:rFonts w:hint="cs"/>
          <w:rtl/>
        </w:rPr>
        <w:t xml:space="preserve">שכתב שלשיטת התוספות רא"ש דברים אלו שנויים במחלוקת בין התנא של משנתנו ובין שיטת ר' אליעזר המובאת בגמרא לפיה הסגן היה שותף בהגרלה. אך נראה שגם בהצעה זו קיים קושי, שכן הרא"ש כתב את הדברים כפשוטם, וצ"ע. </w:t>
      </w:r>
    </w:p>
  </w:footnote>
  <w:footnote w:id="88">
    <w:p w:rsidR="00A527D5" w:rsidRDefault="00A527D5" w:rsidP="00C26E1A">
      <w:pPr>
        <w:pStyle w:val="a5"/>
        <w:rPr>
          <w:rtl/>
        </w:rPr>
      </w:pPr>
      <w:r>
        <w:rPr>
          <w:rStyle w:val="a7"/>
        </w:rPr>
        <w:footnoteRef/>
      </w:r>
      <w:r>
        <w:rPr>
          <w:rtl/>
        </w:rPr>
        <w:t xml:space="preserve"> </w:t>
      </w:r>
      <w:r>
        <w:rPr>
          <w:rFonts w:hint="cs"/>
          <w:rtl/>
        </w:rPr>
        <w:t xml:space="preserve">כך גם מפורש בירושלמי </w:t>
      </w:r>
      <w:r>
        <w:rPr>
          <w:rFonts w:hint="cs"/>
          <w:sz w:val="16"/>
          <w:szCs w:val="16"/>
          <w:rtl/>
        </w:rPr>
        <w:t>[פ"ד ה"א]</w:t>
      </w:r>
      <w:r>
        <w:rPr>
          <w:rFonts w:hint="cs"/>
          <w:rtl/>
        </w:rPr>
        <w:t>.</w:t>
      </w:r>
    </w:p>
  </w:footnote>
  <w:footnote w:id="89">
    <w:p w:rsidR="00A527D5" w:rsidRDefault="00A527D5" w:rsidP="00C26E1A">
      <w:pPr>
        <w:pStyle w:val="a5"/>
        <w:rPr>
          <w:rtl/>
        </w:rPr>
      </w:pPr>
      <w:r>
        <w:rPr>
          <w:rStyle w:val="a7"/>
        </w:rPr>
        <w:footnoteRef/>
      </w:r>
      <w:r>
        <w:rPr>
          <w:rtl/>
        </w:rPr>
        <w:t xml:space="preserve"> </w:t>
      </w:r>
      <w:r>
        <w:rPr>
          <w:rFonts w:hint="cs"/>
          <w:rtl/>
        </w:rPr>
        <w:t xml:space="preserve">באופן דומה ביאר הגרי"ד ב'שיעורי הגרי"ד סולובייצ'יק </w:t>
      </w:r>
      <w:r>
        <w:rPr>
          <w:rtl/>
        </w:rPr>
        <w:t>–</w:t>
      </w:r>
      <w:r>
        <w:rPr>
          <w:rFonts w:hint="cs"/>
          <w:rtl/>
        </w:rPr>
        <w:t xml:space="preserve"> עבודת יום הכיפורים' </w:t>
      </w:r>
      <w:r>
        <w:rPr>
          <w:rFonts w:hint="cs"/>
          <w:sz w:val="16"/>
          <w:szCs w:val="16"/>
          <w:rtl/>
        </w:rPr>
        <w:t>[עמ' עג-עה]</w:t>
      </w:r>
      <w:r>
        <w:rPr>
          <w:rFonts w:hint="cs"/>
          <w:rtl/>
        </w:rPr>
        <w:t>.</w:t>
      </w:r>
    </w:p>
  </w:footnote>
  <w:footnote w:id="90">
    <w:p w:rsidR="00A527D5" w:rsidRPr="006D2916" w:rsidRDefault="00A527D5" w:rsidP="00C26E1A">
      <w:pPr>
        <w:pStyle w:val="a5"/>
        <w:rPr>
          <w:rtl/>
        </w:rPr>
      </w:pPr>
      <w:r>
        <w:rPr>
          <w:rStyle w:val="a7"/>
        </w:rPr>
        <w:footnoteRef/>
      </w:r>
      <w:r>
        <w:rPr>
          <w:rtl/>
        </w:rPr>
        <w:t xml:space="preserve"> </w:t>
      </w:r>
      <w:r>
        <w:rPr>
          <w:rFonts w:hint="cs"/>
          <w:rtl/>
        </w:rPr>
        <w:t>לפי זה, אזהרה זו דומה לכתוב "</w:t>
      </w:r>
      <w:r w:rsidRPr="006D2916">
        <w:rPr>
          <w:rtl/>
        </w:rPr>
        <w:t>ולא יכל משה לבוא אל אהל מועד כי שכן עליו הענן</w:t>
      </w:r>
      <w:r>
        <w:rPr>
          <w:rFonts w:hint="cs"/>
          <w:rtl/>
        </w:rPr>
        <w:t>,</w:t>
      </w:r>
      <w:r w:rsidRPr="006D2916">
        <w:rPr>
          <w:rtl/>
        </w:rPr>
        <w:t xml:space="preserve"> וכבוד ה' מלא את המשכן</w:t>
      </w:r>
      <w:r>
        <w:rPr>
          <w:rFonts w:hint="cs"/>
          <w:rtl/>
        </w:rPr>
        <w:t xml:space="preserve">" </w:t>
      </w:r>
      <w:r>
        <w:rPr>
          <w:rFonts w:hint="cs"/>
          <w:sz w:val="16"/>
          <w:szCs w:val="16"/>
          <w:rtl/>
        </w:rPr>
        <w:t>[שמות מ, לה]</w:t>
      </w:r>
      <w:r>
        <w:rPr>
          <w:rFonts w:hint="cs"/>
          <w:rtl/>
        </w:rPr>
        <w:t xml:space="preserve">. כשם שבחנוכת המשכן שרתה השכינה בכל המשכן ולכן לא ניתן היה להיכנס אליו, כך השכינה שורה בדרך קבע בקודש הקדשים ולכן אין להיכנס אליו, והכניסה אליו גורמת למיתה. </w:t>
      </w:r>
    </w:p>
  </w:footnote>
  <w:footnote w:id="91">
    <w:p w:rsidR="00A527D5" w:rsidRPr="00F32F50" w:rsidRDefault="00A527D5" w:rsidP="00C26E1A">
      <w:pPr>
        <w:pStyle w:val="a5"/>
      </w:pPr>
      <w:r>
        <w:rPr>
          <w:rStyle w:val="a7"/>
        </w:rPr>
        <w:footnoteRef/>
      </w:r>
      <w:r>
        <w:rPr>
          <w:rtl/>
        </w:rPr>
        <w:t xml:space="preserve"> </w:t>
      </w:r>
      <w:r>
        <w:rPr>
          <w:rFonts w:hint="cs"/>
          <w:rtl/>
        </w:rPr>
        <w:t xml:space="preserve">שלושת מקומות אלו </w:t>
      </w:r>
      <w:r>
        <w:rPr>
          <w:rtl/>
        </w:rPr>
        <w:t>–</w:t>
      </w:r>
      <w:r>
        <w:rPr>
          <w:rFonts w:hint="cs"/>
          <w:rtl/>
        </w:rPr>
        <w:t xml:space="preserve"> ההיכל, קודש הקדשים ומקום הארון </w:t>
      </w:r>
      <w:r>
        <w:rPr>
          <w:rtl/>
        </w:rPr>
        <w:t>–</w:t>
      </w:r>
      <w:r>
        <w:rPr>
          <w:rFonts w:hint="cs"/>
          <w:rtl/>
        </w:rPr>
        <w:t xml:space="preserve"> מצוינים בגמ' במסכת ברכות </w:t>
      </w:r>
      <w:r>
        <w:rPr>
          <w:rFonts w:hint="cs"/>
          <w:sz w:val="16"/>
          <w:szCs w:val="16"/>
          <w:rtl/>
        </w:rPr>
        <w:t>[ל.]</w:t>
      </w:r>
      <w:r>
        <w:rPr>
          <w:rFonts w:hint="cs"/>
          <w:rtl/>
        </w:rPr>
        <w:t>: "</w:t>
      </w:r>
      <w:r w:rsidRPr="00F32F50">
        <w:rPr>
          <w:rtl/>
        </w:rPr>
        <w:t>היה עומד בירושלים יכוין את לבו כנגד בית המקדש</w:t>
      </w:r>
      <w:r>
        <w:rPr>
          <w:rFonts w:hint="cs"/>
          <w:rtl/>
        </w:rPr>
        <w:t>...</w:t>
      </w:r>
      <w:r w:rsidRPr="00F32F50">
        <w:rPr>
          <w:rtl/>
        </w:rPr>
        <w:t xml:space="preserve"> היה עומד בבית המקדש יכוין את לבו כנגד בית קדשי הקדשים</w:t>
      </w:r>
      <w:r>
        <w:rPr>
          <w:rFonts w:hint="cs"/>
          <w:rtl/>
        </w:rPr>
        <w:t>...</w:t>
      </w:r>
      <w:r w:rsidRPr="00F32F50">
        <w:rPr>
          <w:rtl/>
        </w:rPr>
        <w:t xml:space="preserve"> היה עומד בבית קדשי הקדשים יכוין את לבו כנגד בית הכפורת</w:t>
      </w:r>
      <w:r>
        <w:rPr>
          <w:rFonts w:hint="cs"/>
          <w:rtl/>
        </w:rPr>
        <w:t>". [ועי' עוד בדברי הרמב"ן בסוף דרשתו לראש השנה: "הדר ירושלים בית המקדש, הדר בית המקדש בית קודש הקדשים, הדר בית קודש הקדשים מקום הכרובים ששם השכינה שורה"].</w:t>
      </w:r>
    </w:p>
  </w:footnote>
  <w:footnote w:id="92">
    <w:p w:rsidR="00A527D5" w:rsidRPr="001D5202" w:rsidRDefault="00A527D5" w:rsidP="00C26E1A">
      <w:pPr>
        <w:pStyle w:val="a5"/>
        <w:rPr>
          <w:rtl/>
        </w:rPr>
      </w:pPr>
      <w:r>
        <w:rPr>
          <w:rStyle w:val="a7"/>
        </w:rPr>
        <w:footnoteRef/>
      </w:r>
      <w:r>
        <w:rPr>
          <w:rtl/>
        </w:rPr>
        <w:t xml:space="preserve"> </w:t>
      </w:r>
      <w:r>
        <w:rPr>
          <w:rFonts w:hint="cs"/>
          <w:rtl/>
        </w:rPr>
        <w:t xml:space="preserve">הגמ' </w:t>
      </w:r>
      <w:r>
        <w:rPr>
          <w:rFonts w:hint="cs"/>
          <w:sz w:val="16"/>
          <w:szCs w:val="16"/>
          <w:rtl/>
        </w:rPr>
        <w:t>[שם]</w:t>
      </w:r>
      <w:r>
        <w:rPr>
          <w:rFonts w:hint="cs"/>
          <w:rtl/>
        </w:rPr>
        <w:t xml:space="preserve"> מבארת, כי לשיטה זו הכתוב מחולק באופן אחר: "ואל יבא בכל עת אל הקדש" </w:t>
      </w:r>
      <w:r>
        <w:rPr>
          <w:rtl/>
        </w:rPr>
        <w:t>–</w:t>
      </w:r>
      <w:r>
        <w:rPr>
          <w:rFonts w:hint="cs"/>
          <w:rtl/>
        </w:rPr>
        <w:t xml:space="preserve"> כניסה להיכל אסורה; "מבית לפרכת אל פני הכפרת אשר על הארון ולא ימות" </w:t>
      </w:r>
      <w:r>
        <w:rPr>
          <w:rtl/>
        </w:rPr>
        <w:t>–</w:t>
      </w:r>
      <w:r>
        <w:rPr>
          <w:rFonts w:hint="cs"/>
          <w:rtl/>
        </w:rPr>
        <w:t xml:space="preserve"> כניסה לקודש הקדשים גורמת למיתה. </w:t>
      </w:r>
    </w:p>
  </w:footnote>
  <w:footnote w:id="93">
    <w:p w:rsidR="00A527D5" w:rsidRPr="00930E50" w:rsidRDefault="00A527D5" w:rsidP="00C26E1A">
      <w:pPr>
        <w:pStyle w:val="a5"/>
      </w:pPr>
      <w:r>
        <w:rPr>
          <w:rStyle w:val="a7"/>
        </w:rPr>
        <w:footnoteRef/>
      </w:r>
      <w:r>
        <w:rPr>
          <w:rtl/>
        </w:rPr>
        <w:t xml:space="preserve"> </w:t>
      </w:r>
      <w:r>
        <w:rPr>
          <w:rFonts w:hint="cs"/>
          <w:rtl/>
        </w:rPr>
        <w:t xml:space="preserve">דברי הגרי"ד אמורים כנגד האור שמח </w:t>
      </w:r>
      <w:r>
        <w:rPr>
          <w:rFonts w:hint="cs"/>
          <w:sz w:val="16"/>
          <w:szCs w:val="16"/>
          <w:rtl/>
        </w:rPr>
        <w:t>[הל' עבודת יום הכיפורים פ"ה הכ"ה]</w:t>
      </w:r>
      <w:r>
        <w:rPr>
          <w:rFonts w:hint="cs"/>
          <w:rtl/>
        </w:rPr>
        <w:t xml:space="preserve"> המסתפק בדין כניסה לקודש הקדשים מחמת הספק: "מי זה מיקרי שלא לצורך או לא". לטענת הגרי"ד, צורך מתיר כניסה להיכל אך לא לקודש הקדשים. [כעין זה כותב החזון יחזקאל </w:t>
      </w:r>
      <w:r>
        <w:rPr>
          <w:rFonts w:hint="cs"/>
          <w:sz w:val="16"/>
          <w:szCs w:val="16"/>
          <w:rtl/>
        </w:rPr>
        <w:t>[יומא פ"ב הי"א]</w:t>
      </w:r>
      <w:r>
        <w:rPr>
          <w:rFonts w:hint="cs"/>
          <w:rtl/>
        </w:rPr>
        <w:t xml:space="preserve">, החולק על המנחת חינוך </w:t>
      </w:r>
      <w:r>
        <w:rPr>
          <w:rFonts w:hint="cs"/>
          <w:sz w:val="16"/>
          <w:szCs w:val="16"/>
          <w:rtl/>
        </w:rPr>
        <w:t>[מצוה קפד אות ב]</w:t>
      </w:r>
      <w:r>
        <w:rPr>
          <w:rFonts w:hint="cs"/>
          <w:rtl/>
        </w:rPr>
        <w:t xml:space="preserve"> המתיר כניסה לקודש הקדשים לשם אכילת קדשים].</w:t>
      </w:r>
    </w:p>
  </w:footnote>
  <w:footnote w:id="94">
    <w:p w:rsidR="00A527D5" w:rsidRPr="005C655A" w:rsidRDefault="00A527D5" w:rsidP="00C26E1A">
      <w:pPr>
        <w:pStyle w:val="a5"/>
        <w:rPr>
          <w:rtl/>
        </w:rPr>
      </w:pPr>
      <w:r>
        <w:rPr>
          <w:rStyle w:val="a7"/>
        </w:rPr>
        <w:footnoteRef/>
      </w:r>
      <w:r>
        <w:rPr>
          <w:rtl/>
        </w:rPr>
        <w:t xml:space="preserve"> </w:t>
      </w:r>
      <w:r>
        <w:rPr>
          <w:rFonts w:hint="cs"/>
          <w:rtl/>
        </w:rPr>
        <w:t xml:space="preserve">הרב מרדכי ברויאר </w:t>
      </w:r>
      <w:r>
        <w:rPr>
          <w:rFonts w:hint="cs"/>
          <w:sz w:val="16"/>
          <w:szCs w:val="16"/>
          <w:rtl/>
        </w:rPr>
        <w:t>[פרקי מקראות עמ' 331-332]</w:t>
      </w:r>
      <w:r>
        <w:rPr>
          <w:rFonts w:hint="cs"/>
          <w:rtl/>
        </w:rPr>
        <w:t xml:space="preserve"> מיישב את קושיית הקרן אורה באופן אחר. הרב ברויאר אינו מחלק בין איסור 'ביאה ריקנית' להיכל ולקודש הקדשים, אלא בין ייעודיהם השונים: ההיכל הוא מקום העבודה, ולכן כל כניסה לשם עבודה מותרת, ובכלל זה השתחוויה. קודש הקדשים, לעומת זאת, אינו מקום העבודה אלא מקום השכינה, ולכן אסורה כניסה לשם לצורך עבודה, מלבד עבודות יום הכיפורים המיועדות להיעשות במקום זה.</w:t>
      </w:r>
    </w:p>
  </w:footnote>
  <w:footnote w:id="95">
    <w:p w:rsidR="00A527D5" w:rsidRPr="008D385D" w:rsidRDefault="00A527D5" w:rsidP="00C26E1A">
      <w:pPr>
        <w:pStyle w:val="a5"/>
      </w:pPr>
      <w:r>
        <w:rPr>
          <w:rStyle w:val="a7"/>
        </w:rPr>
        <w:footnoteRef/>
      </w:r>
      <w:r>
        <w:rPr>
          <w:rtl/>
        </w:rPr>
        <w:t xml:space="preserve"> </w:t>
      </w:r>
      <w:r>
        <w:rPr>
          <w:rFonts w:hint="cs"/>
          <w:rtl/>
        </w:rPr>
        <w:t xml:space="preserve">בעניין זה דנו גם בשיעור התשיעי </w:t>
      </w:r>
      <w:r>
        <w:rPr>
          <w:rFonts w:hint="cs"/>
          <w:sz w:val="16"/>
          <w:szCs w:val="16"/>
          <w:rtl/>
        </w:rPr>
        <w:t>['פרו של כהן גדול']</w:t>
      </w:r>
      <w:r>
        <w:rPr>
          <w:rFonts w:hint="cs"/>
          <w:rtl/>
        </w:rPr>
        <w:t>.</w:t>
      </w:r>
    </w:p>
  </w:footnote>
  <w:footnote w:id="96">
    <w:p w:rsidR="00A527D5" w:rsidRPr="00EB2B81" w:rsidRDefault="00A527D5" w:rsidP="00C26E1A">
      <w:pPr>
        <w:pStyle w:val="a5"/>
        <w:rPr>
          <w:rtl/>
        </w:rPr>
      </w:pPr>
      <w:r>
        <w:rPr>
          <w:rStyle w:val="a7"/>
        </w:rPr>
        <w:footnoteRef/>
      </w:r>
      <w:r>
        <w:rPr>
          <w:rtl/>
        </w:rPr>
        <w:t xml:space="preserve"> </w:t>
      </w:r>
      <w:r>
        <w:rPr>
          <w:rFonts w:hint="cs"/>
          <w:rtl/>
        </w:rPr>
        <w:t xml:space="preserve">נראה כי מטעם זה נאמר בויקרא רבה </w:t>
      </w:r>
      <w:r>
        <w:rPr>
          <w:rFonts w:hint="cs"/>
          <w:sz w:val="16"/>
          <w:szCs w:val="16"/>
          <w:rtl/>
        </w:rPr>
        <w:t>[פרשת אחרי מות פרשה כא סי' יב]</w:t>
      </w:r>
      <w:r>
        <w:rPr>
          <w:rFonts w:hint="cs"/>
          <w:rtl/>
        </w:rPr>
        <w:t>: "</w:t>
      </w:r>
      <w:r w:rsidRPr="00B57CAE">
        <w:rPr>
          <w:rtl/>
        </w:rPr>
        <w:t>וכל אדם לא יהיה באהל מועד</w:t>
      </w:r>
      <w:r>
        <w:rPr>
          <w:rFonts w:hint="cs"/>
          <w:rtl/>
        </w:rPr>
        <w:t>...</w:t>
      </w:r>
      <w:r w:rsidRPr="00B57CAE">
        <w:rPr>
          <w:rtl/>
        </w:rPr>
        <w:t xml:space="preserve"> אמר ר</w:t>
      </w:r>
      <w:r>
        <w:rPr>
          <w:rFonts w:hint="cs"/>
          <w:rtl/>
        </w:rPr>
        <w:t>בי</w:t>
      </w:r>
      <w:r w:rsidRPr="00B57CAE">
        <w:rPr>
          <w:rtl/>
        </w:rPr>
        <w:t xml:space="preserve"> אבהו</w:t>
      </w:r>
      <w:r>
        <w:rPr>
          <w:rFonts w:hint="cs"/>
          <w:rtl/>
        </w:rPr>
        <w:t>:</w:t>
      </w:r>
      <w:r w:rsidRPr="00B57CAE">
        <w:rPr>
          <w:rtl/>
        </w:rPr>
        <w:t xml:space="preserve"> וכהן גדול לא אדם היה</w:t>
      </w:r>
      <w:r>
        <w:rPr>
          <w:rFonts w:hint="cs"/>
          <w:rtl/>
        </w:rPr>
        <w:t>?!</w:t>
      </w:r>
      <w:r>
        <w:rPr>
          <w:rtl/>
        </w:rPr>
        <w:t xml:space="preserve"> אלא כההוא דאמר ר</w:t>
      </w:r>
      <w:r>
        <w:rPr>
          <w:rFonts w:hint="cs"/>
          <w:rtl/>
        </w:rPr>
        <w:t>בי</w:t>
      </w:r>
      <w:r w:rsidRPr="00B57CAE">
        <w:rPr>
          <w:rtl/>
        </w:rPr>
        <w:t xml:space="preserve"> פנחס</w:t>
      </w:r>
      <w:r>
        <w:rPr>
          <w:rFonts w:hint="cs"/>
          <w:rtl/>
        </w:rPr>
        <w:t>:</w:t>
      </w:r>
      <w:r w:rsidRPr="00B57CAE">
        <w:rPr>
          <w:rtl/>
        </w:rPr>
        <w:t xml:space="preserve"> בשעה שהיה רוח הקודש שרוי עליו היו פניו בוערות כלפידים עליו</w:t>
      </w:r>
      <w:r>
        <w:rPr>
          <w:rFonts w:hint="cs"/>
          <w:rtl/>
        </w:rPr>
        <w:t>, הדא הוא דכתיב '</w:t>
      </w:r>
      <w:r w:rsidRPr="00B57CAE">
        <w:rPr>
          <w:rtl/>
        </w:rPr>
        <w:t>כי שפתי כהן ישמרו דעת</w:t>
      </w:r>
      <w:r>
        <w:rPr>
          <w:rFonts w:hint="cs"/>
          <w:rtl/>
        </w:rPr>
        <w:t>'</w:t>
      </w:r>
      <w:r w:rsidRPr="00B57CAE">
        <w:rPr>
          <w:rtl/>
        </w:rPr>
        <w:t xml:space="preserve"> וגו'</w:t>
      </w:r>
      <w:r>
        <w:rPr>
          <w:rFonts w:hint="cs"/>
          <w:rtl/>
        </w:rPr>
        <w:t xml:space="preserve">". מדברי המדרש עולה כי הכהן הגדול נכנס לקודש הקדשים כמלאך. מסתבר שדברי המדרש מבוססים על כך שאין מקום למציאות אנושית במקום בו שורה השכינה </w:t>
      </w:r>
      <w:r>
        <w:rPr>
          <w:rtl/>
        </w:rPr>
        <w:t>–</w:t>
      </w:r>
      <w:r>
        <w:rPr>
          <w:rFonts w:hint="cs"/>
          <w:rtl/>
        </w:rPr>
        <w:t xml:space="preserve"> "וכל </w:t>
      </w:r>
      <w:r w:rsidRPr="00EB2B81">
        <w:rPr>
          <w:rFonts w:hint="cs"/>
          <w:b/>
          <w:bCs/>
          <w:rtl/>
        </w:rPr>
        <w:t>אדם</w:t>
      </w:r>
      <w:r>
        <w:rPr>
          <w:rFonts w:hint="cs"/>
          <w:rtl/>
        </w:rPr>
        <w:t xml:space="preserve"> לא יהיה באהל מועד". בשל כך הם מבארים כי הכהן הגדול נכנס לקודש הקדשים כמלאך ה' צ-באות. [להרחבה בהגדרת הכהן הגדול כמלאך בשעת עבודת יום הכיפורים, עי' בשיעור השישי </w:t>
      </w:r>
      <w:r>
        <w:rPr>
          <w:rFonts w:hint="cs"/>
          <w:sz w:val="16"/>
          <w:szCs w:val="16"/>
          <w:rtl/>
        </w:rPr>
        <w:t>['בגדי זהב ובגדי לבן']</w:t>
      </w:r>
      <w:r>
        <w:rPr>
          <w:rFonts w:hint="cs"/>
          <w:rtl/>
        </w:rPr>
        <w:t>].</w:t>
      </w:r>
    </w:p>
  </w:footnote>
  <w:footnote w:id="97">
    <w:p w:rsidR="00A527D5" w:rsidRDefault="00A527D5" w:rsidP="00C26E1A">
      <w:pPr>
        <w:pStyle w:val="a5"/>
        <w:rPr>
          <w:rtl/>
        </w:rPr>
      </w:pPr>
      <w:r>
        <w:rPr>
          <w:rStyle w:val="a7"/>
        </w:rPr>
        <w:footnoteRef/>
      </w:r>
      <w:r>
        <w:rPr>
          <w:rtl/>
        </w:rPr>
        <w:t xml:space="preserve"> </w:t>
      </w:r>
      <w:r>
        <w:rPr>
          <w:rFonts w:hint="cs"/>
          <w:rtl/>
        </w:rPr>
        <w:t xml:space="preserve">וכן מבואר בדברי הרמב"ם בסוף פרק זה: "וכן פשוט הוא כי הדירוג במעלות, שעשו להר הבית דינים, ולחיל דינים, ולעזרת נשים דינים, ולעזרה דינים, וכך עד קדש הקדשים, </w:t>
      </w:r>
      <w:r w:rsidRPr="00DA0899">
        <w:rPr>
          <w:rFonts w:hint="cs"/>
          <w:b/>
          <w:bCs/>
          <w:rtl/>
        </w:rPr>
        <w:t>כל זה תוספת רוממות והשראת יראה יתרה בלב כל הפונה לשם</w:t>
      </w:r>
      <w:r>
        <w:rPr>
          <w:rFonts w:hint="cs"/>
          <w:rtl/>
        </w:rPr>
        <w:t>".</w:t>
      </w:r>
    </w:p>
  </w:footnote>
  <w:footnote w:id="98">
    <w:p w:rsidR="00A527D5" w:rsidRPr="00B347E7" w:rsidRDefault="00A527D5" w:rsidP="00C26E1A">
      <w:pPr>
        <w:pStyle w:val="a5"/>
      </w:pPr>
      <w:r w:rsidRPr="00B347E7">
        <w:rPr>
          <w:rStyle w:val="a7"/>
        </w:rPr>
        <w:footnoteRef/>
      </w:r>
      <w:r w:rsidRPr="00B347E7">
        <w:rPr>
          <w:rtl/>
        </w:rPr>
        <w:t xml:space="preserve"> </w:t>
      </w:r>
      <w:r w:rsidRPr="00B347E7">
        <w:rPr>
          <w:rFonts w:hint="cs"/>
          <w:rtl/>
        </w:rPr>
        <w:t xml:space="preserve">הבדל זה בין שתי המצוות קיים גם בדברי ספר החינוך </w:t>
      </w:r>
      <w:r w:rsidRPr="00B347E7">
        <w:rPr>
          <w:rFonts w:hint="cs"/>
          <w:sz w:val="16"/>
          <w:szCs w:val="16"/>
          <w:rtl/>
        </w:rPr>
        <w:t>[מצוה קג; מצוה תא]</w:t>
      </w:r>
      <w:r w:rsidRPr="00B347E7">
        <w:rPr>
          <w:rFonts w:hint="cs"/>
          <w:rtl/>
        </w:rPr>
        <w:t>.</w:t>
      </w:r>
    </w:p>
  </w:footnote>
  <w:footnote w:id="99">
    <w:p w:rsidR="00A527D5" w:rsidRPr="00B347E7" w:rsidRDefault="00A527D5" w:rsidP="00C26E1A">
      <w:pPr>
        <w:pStyle w:val="a5"/>
      </w:pPr>
      <w:r w:rsidRPr="00B347E7">
        <w:rPr>
          <w:rStyle w:val="a7"/>
        </w:rPr>
        <w:footnoteRef/>
      </w:r>
      <w:r w:rsidRPr="00B347E7">
        <w:rPr>
          <w:rtl/>
        </w:rPr>
        <w:t xml:space="preserve"> </w:t>
      </w:r>
      <w:r w:rsidRPr="00B347E7">
        <w:rPr>
          <w:rFonts w:hint="cs"/>
          <w:rtl/>
        </w:rPr>
        <w:t xml:space="preserve">עי' רמב"ן </w:t>
      </w:r>
      <w:r w:rsidRPr="00B347E7">
        <w:rPr>
          <w:rFonts w:hint="cs"/>
          <w:sz w:val="16"/>
          <w:szCs w:val="16"/>
          <w:rtl/>
        </w:rPr>
        <w:t>[שמות ל, א]</w:t>
      </w:r>
      <w:r w:rsidRPr="00B347E7">
        <w:rPr>
          <w:rFonts w:hint="cs"/>
          <w:rtl/>
        </w:rPr>
        <w:t xml:space="preserve"> וגר"א </w:t>
      </w:r>
      <w:r w:rsidRPr="00B347E7">
        <w:rPr>
          <w:rFonts w:hint="cs"/>
          <w:sz w:val="16"/>
          <w:szCs w:val="16"/>
          <w:rtl/>
        </w:rPr>
        <w:t>[אדרת אליהו, שם]</w:t>
      </w:r>
      <w:r w:rsidRPr="00B347E7">
        <w:rPr>
          <w:rFonts w:hint="cs"/>
          <w:rtl/>
        </w:rPr>
        <w:t xml:space="preserve"> העומדים גם על ההבדל בין הקטורת לשאר עבודות הנעשות בהיכל, אם כי בדרכים אחרות. [המשך חכמה </w:t>
      </w:r>
      <w:r w:rsidRPr="00B347E7">
        <w:rPr>
          <w:rFonts w:hint="cs"/>
          <w:sz w:val="16"/>
          <w:szCs w:val="16"/>
          <w:rtl/>
        </w:rPr>
        <w:t>[שם]</w:t>
      </w:r>
      <w:r w:rsidRPr="00B347E7">
        <w:rPr>
          <w:rFonts w:hint="cs"/>
          <w:rtl/>
        </w:rPr>
        <w:t xml:space="preserve"> טוען שהציווי על מזבח הקטורת אינו מופיע יחד עם שאר הציווי על שאר הכלים, מחמת דברי הגמרא </w:t>
      </w:r>
      <w:r w:rsidRPr="00B347E7">
        <w:rPr>
          <w:rFonts w:hint="cs"/>
          <w:sz w:val="16"/>
          <w:szCs w:val="16"/>
          <w:rtl/>
        </w:rPr>
        <w:t>[זבחים נט.]</w:t>
      </w:r>
      <w:r w:rsidRPr="00B347E7">
        <w:rPr>
          <w:rFonts w:hint="cs"/>
          <w:rtl/>
        </w:rPr>
        <w:t xml:space="preserve"> שמזבח הקטורת אינו מעכב וניתן להקטיר קטורת גם ללא מזבח. דין זה מוסבר היטב על פי האמור: מזבח אינו חלק מה'ריהוט' של ההיכל והוא אינו נדרש כדי לעצב את ההיכל כבית ה'; הוא נמצא רק לשם הקטרת הקטורת, ולכן הוא אינו מעכב].</w:t>
      </w:r>
    </w:p>
  </w:footnote>
  <w:footnote w:id="100">
    <w:p w:rsidR="00A527D5" w:rsidRPr="00B347E7" w:rsidRDefault="00A527D5" w:rsidP="00C26E1A">
      <w:pPr>
        <w:pStyle w:val="a5"/>
        <w:rPr>
          <w:rtl/>
        </w:rPr>
      </w:pPr>
      <w:r w:rsidRPr="00B347E7">
        <w:rPr>
          <w:rStyle w:val="a7"/>
        </w:rPr>
        <w:footnoteRef/>
      </w:r>
      <w:r w:rsidRPr="00B347E7">
        <w:rPr>
          <w:rtl/>
        </w:rPr>
        <w:t xml:space="preserve"> </w:t>
      </w:r>
      <w:r w:rsidRPr="00B347E7">
        <w:rPr>
          <w:rFonts w:hint="cs"/>
          <w:rtl/>
        </w:rPr>
        <w:t xml:space="preserve">דברים דומים בטעם מצות הקטורת כותב הרמב"ם </w:t>
      </w:r>
      <w:r w:rsidRPr="00B347E7">
        <w:rPr>
          <w:rFonts w:hint="cs"/>
          <w:sz w:val="16"/>
          <w:szCs w:val="16"/>
          <w:rtl/>
        </w:rPr>
        <w:t>[מורה הנבוכים ג, מה]</w:t>
      </w:r>
      <w:r w:rsidRPr="00B347E7">
        <w:rPr>
          <w:rFonts w:hint="cs"/>
          <w:rtl/>
        </w:rPr>
        <w:t xml:space="preserve">. </w:t>
      </w:r>
    </w:p>
  </w:footnote>
  <w:footnote w:id="101">
    <w:p w:rsidR="00A527D5" w:rsidRPr="00B347E7" w:rsidRDefault="00A527D5" w:rsidP="00C26E1A">
      <w:pPr>
        <w:pStyle w:val="a5"/>
        <w:rPr>
          <w:rtl/>
        </w:rPr>
      </w:pPr>
      <w:r w:rsidRPr="00B347E7">
        <w:rPr>
          <w:rStyle w:val="a7"/>
        </w:rPr>
        <w:footnoteRef/>
      </w:r>
      <w:r w:rsidRPr="00B347E7">
        <w:rPr>
          <w:rtl/>
        </w:rPr>
        <w:t xml:space="preserve"> </w:t>
      </w:r>
      <w:r w:rsidRPr="00B347E7">
        <w:rPr>
          <w:rFonts w:hint="cs"/>
          <w:rtl/>
        </w:rPr>
        <w:t xml:space="preserve">המשנה למלך </w:t>
      </w:r>
      <w:r w:rsidRPr="00B347E7">
        <w:rPr>
          <w:rFonts w:hint="cs"/>
          <w:sz w:val="16"/>
          <w:szCs w:val="16"/>
          <w:rtl/>
        </w:rPr>
        <w:t>[הל' כלי המקדש פ"ב ה"ג]</w:t>
      </w:r>
      <w:r w:rsidRPr="00B347E7">
        <w:rPr>
          <w:rFonts w:hint="cs"/>
          <w:rtl/>
        </w:rPr>
        <w:t xml:space="preserve"> מדייק שיטה זו מדברי הרמב"ם </w:t>
      </w:r>
      <w:r w:rsidRPr="00B347E7">
        <w:rPr>
          <w:rFonts w:hint="cs"/>
          <w:sz w:val="16"/>
          <w:szCs w:val="16"/>
          <w:rtl/>
        </w:rPr>
        <w:t>[הל' כלי המקדש, שם; הל' עבודת יום הכיפורים פ"ה הכ"ה]</w:t>
      </w:r>
      <w:r w:rsidRPr="00B347E7">
        <w:rPr>
          <w:rFonts w:hint="cs"/>
          <w:rtl/>
        </w:rPr>
        <w:t xml:space="preserve">, וכן עולה מדברי הבית יוסף </w:t>
      </w:r>
      <w:r w:rsidRPr="00B347E7">
        <w:rPr>
          <w:rFonts w:hint="cs"/>
          <w:sz w:val="16"/>
          <w:szCs w:val="16"/>
          <w:rtl/>
        </w:rPr>
        <w:t>[או"ח סי' קלג]</w:t>
      </w:r>
      <w:r w:rsidRPr="00B347E7">
        <w:rPr>
          <w:rFonts w:hint="cs"/>
          <w:rtl/>
        </w:rPr>
        <w:t xml:space="preserve">. עם זאת, התוספות ישנים </w:t>
      </w:r>
      <w:r w:rsidRPr="00B347E7">
        <w:rPr>
          <w:rFonts w:hint="cs"/>
          <w:sz w:val="16"/>
          <w:szCs w:val="16"/>
          <w:rtl/>
        </w:rPr>
        <w:t>[שם]</w:t>
      </w:r>
      <w:r w:rsidRPr="00B347E7">
        <w:rPr>
          <w:rFonts w:hint="cs"/>
          <w:rtl/>
        </w:rPr>
        <w:t xml:space="preserve"> מביאים את שיטת רבנו אלחנן הטוען שאין חילוק לגבי מעלה עשן בין יום הכיפורים לכל השנה (כפשט דברי הגמרא </w:t>
      </w:r>
      <w:r w:rsidRPr="00B347E7">
        <w:rPr>
          <w:rFonts w:hint="cs"/>
          <w:sz w:val="16"/>
          <w:szCs w:val="16"/>
          <w:rtl/>
        </w:rPr>
        <w:t>[נג.]</w:t>
      </w:r>
      <w:r w:rsidRPr="00B347E7">
        <w:rPr>
          <w:rFonts w:hint="cs"/>
          <w:rtl/>
        </w:rPr>
        <w:t xml:space="preserve">: "אין לי אלא ביום הכפורים, בשאר ימות השנה מנין? תלמוד לומר 'וכסה'"); ועי' משנה למלך </w:t>
      </w:r>
      <w:r w:rsidRPr="00B347E7">
        <w:rPr>
          <w:rFonts w:hint="cs"/>
          <w:sz w:val="16"/>
          <w:szCs w:val="16"/>
          <w:rtl/>
        </w:rPr>
        <w:t>[שם]</w:t>
      </w:r>
      <w:r w:rsidRPr="00B347E7">
        <w:rPr>
          <w:rFonts w:hint="cs"/>
          <w:rtl/>
        </w:rPr>
        <w:t xml:space="preserve"> המאריך בעניין זה.</w:t>
      </w:r>
    </w:p>
  </w:footnote>
  <w:footnote w:id="102">
    <w:p w:rsidR="00A527D5" w:rsidRPr="00B347E7" w:rsidRDefault="00A527D5" w:rsidP="00C26E1A">
      <w:pPr>
        <w:pStyle w:val="a5"/>
        <w:rPr>
          <w:sz w:val="18"/>
          <w:szCs w:val="18"/>
          <w:rtl/>
        </w:rPr>
      </w:pPr>
      <w:r w:rsidRPr="00B347E7">
        <w:rPr>
          <w:rStyle w:val="a7"/>
        </w:rPr>
        <w:footnoteRef/>
      </w:r>
      <w:r w:rsidRPr="00B347E7">
        <w:rPr>
          <w:rtl/>
        </w:rPr>
        <w:t xml:space="preserve"> </w:t>
      </w:r>
      <w:r w:rsidRPr="00B347E7">
        <w:rPr>
          <w:rFonts w:hint="cs"/>
          <w:rtl/>
        </w:rPr>
        <w:t xml:space="preserve">הגדרה זו מפורשת בדברי הבית יוסף </w:t>
      </w:r>
      <w:r w:rsidRPr="00B347E7">
        <w:rPr>
          <w:rFonts w:hint="cs"/>
          <w:sz w:val="16"/>
          <w:szCs w:val="16"/>
          <w:rtl/>
        </w:rPr>
        <w:t>[או"ח סי' קלג]</w:t>
      </w:r>
      <w:r w:rsidRPr="00B347E7">
        <w:rPr>
          <w:rFonts w:hint="cs"/>
          <w:rtl/>
        </w:rPr>
        <w:t>: "</w:t>
      </w:r>
      <w:r w:rsidRPr="00B347E7">
        <w:rPr>
          <w:rtl/>
        </w:rPr>
        <w:t>גם יש לך לדעת</w:t>
      </w:r>
      <w:r w:rsidRPr="00B347E7">
        <w:rPr>
          <w:rFonts w:hint="cs"/>
          <w:rtl/>
        </w:rPr>
        <w:t>,</w:t>
      </w:r>
      <w:r w:rsidRPr="00B347E7">
        <w:rPr>
          <w:rtl/>
        </w:rPr>
        <w:t xml:space="preserve"> שמנין הי"א סמנין הם הצרי והצפורן וכו' עד קינמון</w:t>
      </w:r>
      <w:r w:rsidRPr="00B347E7">
        <w:rPr>
          <w:rFonts w:hint="cs"/>
          <w:rtl/>
        </w:rPr>
        <w:t>,</w:t>
      </w:r>
      <w:r w:rsidRPr="00B347E7">
        <w:rPr>
          <w:rtl/>
        </w:rPr>
        <w:t xml:space="preserve"> ואלו הם הסמנים שנאמרו למשה מסיני</w:t>
      </w:r>
      <w:r w:rsidRPr="00B347E7">
        <w:rPr>
          <w:rFonts w:hint="cs"/>
          <w:rtl/>
        </w:rPr>
        <w:t>,</w:t>
      </w:r>
      <w:r w:rsidRPr="00B347E7">
        <w:rPr>
          <w:rtl/>
        </w:rPr>
        <w:t xml:space="preserve"> ואם חיסר אחת מהם חייב מיתה</w:t>
      </w:r>
      <w:r w:rsidRPr="00B347E7">
        <w:rPr>
          <w:rFonts w:hint="cs"/>
          <w:rtl/>
        </w:rPr>
        <w:t>.</w:t>
      </w:r>
      <w:r w:rsidRPr="00B347E7">
        <w:rPr>
          <w:rtl/>
        </w:rPr>
        <w:t xml:space="preserve"> </w:t>
      </w:r>
      <w:r w:rsidRPr="00B347E7">
        <w:rPr>
          <w:b/>
          <w:bCs/>
          <w:rtl/>
        </w:rPr>
        <w:t>ושאר דברים אינם באים אלא לתקן מעשה הקטורת</w:t>
      </w:r>
      <w:r w:rsidRPr="00B347E7">
        <w:rPr>
          <w:rtl/>
        </w:rPr>
        <w:t xml:space="preserve"> סמנין אלו</w:t>
      </w:r>
      <w:r w:rsidRPr="00B347E7">
        <w:rPr>
          <w:rFonts w:hint="cs"/>
          <w:rtl/>
        </w:rPr>
        <w:t>,</w:t>
      </w:r>
      <w:r w:rsidRPr="00B347E7">
        <w:rPr>
          <w:rtl/>
        </w:rPr>
        <w:t xml:space="preserve"> שהרי בורית כרשינא ויין קפריסין אינם באים אלא לתקן הצפורן</w:t>
      </w:r>
      <w:r w:rsidRPr="00B347E7">
        <w:rPr>
          <w:rFonts w:hint="cs"/>
          <w:rtl/>
        </w:rPr>
        <w:t>,</w:t>
      </w:r>
      <w:r w:rsidRPr="00B347E7">
        <w:rPr>
          <w:rtl/>
        </w:rPr>
        <w:t xml:space="preserve"> </w:t>
      </w:r>
      <w:r w:rsidRPr="00B347E7">
        <w:rPr>
          <w:b/>
          <w:bCs/>
          <w:rtl/>
        </w:rPr>
        <w:t>ומעלה עשן כדי לתקן שיהא העשן מתמר ועולה</w:t>
      </w:r>
      <w:r w:rsidRPr="00B347E7">
        <w:rPr>
          <w:rFonts w:hint="cs"/>
          <w:b/>
          <w:bCs/>
          <w:rtl/>
        </w:rPr>
        <w:t>.</w:t>
      </w:r>
      <w:r w:rsidRPr="00B347E7">
        <w:rPr>
          <w:rFonts w:hint="cs"/>
          <w:rtl/>
        </w:rPr>
        <w:t>..</w:t>
      </w:r>
      <w:r w:rsidRPr="00B347E7">
        <w:rPr>
          <w:rtl/>
        </w:rPr>
        <w:t xml:space="preserve"> וכיון שאינם באים אלא לתיקון לא מנאתם תורה בכלל הסמנים</w:t>
      </w:r>
      <w:r w:rsidRPr="00B347E7">
        <w:rPr>
          <w:rFonts w:hint="cs"/>
          <w:rtl/>
        </w:rPr>
        <w:t>.</w:t>
      </w:r>
      <w:r w:rsidRPr="00B347E7">
        <w:rPr>
          <w:rtl/>
        </w:rPr>
        <w:t xml:space="preserve"> ומשמע שאפילו אם חיסרם אינו חייב כלום</w:t>
      </w:r>
      <w:r w:rsidRPr="00B347E7">
        <w:rPr>
          <w:rFonts w:hint="cs"/>
          <w:rtl/>
        </w:rPr>
        <w:t>".</w:t>
      </w:r>
    </w:p>
  </w:footnote>
  <w:footnote w:id="103">
    <w:p w:rsidR="00A527D5" w:rsidRDefault="00A527D5" w:rsidP="00C26E1A">
      <w:pPr>
        <w:pStyle w:val="a5"/>
        <w:rPr>
          <w:rtl/>
        </w:rPr>
      </w:pPr>
      <w:r w:rsidRPr="00B347E7">
        <w:rPr>
          <w:rStyle w:val="a7"/>
        </w:rPr>
        <w:footnoteRef/>
      </w:r>
      <w:r w:rsidRPr="00B347E7">
        <w:rPr>
          <w:rtl/>
        </w:rPr>
        <w:t xml:space="preserve"> </w:t>
      </w:r>
      <w:r w:rsidRPr="00B347E7">
        <w:rPr>
          <w:rFonts w:hint="cs"/>
          <w:rtl/>
        </w:rPr>
        <w:t>דברי הגרי"ז הם מתוך מכתב ששלח לאחיינו, הגרי"ד סולוב</w:t>
      </w:r>
      <w:r>
        <w:rPr>
          <w:rFonts w:hint="cs"/>
          <w:rtl/>
        </w:rPr>
        <w:t xml:space="preserve">יצ'יק, שהציע הבנה שונה לדין זה </w:t>
      </w:r>
      <w:r>
        <w:rPr>
          <w:rFonts w:hint="cs"/>
          <w:sz w:val="14"/>
          <w:szCs w:val="14"/>
          <w:rtl/>
        </w:rPr>
        <w:t xml:space="preserve">[דברי הגרי"ד נדפסו בספר אגרות הגרי"ד הלוי </w:t>
      </w:r>
      <w:r w:rsidRPr="00B347E7">
        <w:rPr>
          <w:rFonts w:hint="cs"/>
          <w:sz w:val="16"/>
          <w:szCs w:val="16"/>
          <w:rtl/>
        </w:rPr>
        <w:t>הל' תמידין ומוספין פ"ג ה"ג]</w:t>
      </w:r>
      <w:r w:rsidRPr="00B347E7">
        <w:rPr>
          <w:rFonts w:hint="cs"/>
          <w:rtl/>
        </w:rPr>
        <w:t>.</w:t>
      </w:r>
    </w:p>
  </w:footnote>
  <w:footnote w:id="104">
    <w:p w:rsidR="00A527D5" w:rsidRPr="00E34525" w:rsidRDefault="00A527D5" w:rsidP="00C26E1A">
      <w:pPr>
        <w:pStyle w:val="a5"/>
        <w:rPr>
          <w:rtl/>
        </w:rPr>
      </w:pPr>
      <w:r>
        <w:rPr>
          <w:rStyle w:val="a7"/>
        </w:rPr>
        <w:footnoteRef/>
      </w:r>
      <w:r>
        <w:rPr>
          <w:rtl/>
        </w:rPr>
        <w:t xml:space="preserve"> ייתכן והבנות אלו עומדות ביסוד מחלוקת הצדוקים והפרושים בשעת הקטרת הקטורת</w:t>
      </w:r>
      <w:r>
        <w:rPr>
          <w:rFonts w:hint="cs"/>
          <w:rtl/>
        </w:rPr>
        <w:t xml:space="preserve"> </w:t>
      </w:r>
      <w:r>
        <w:rPr>
          <w:rFonts w:hint="cs"/>
          <w:sz w:val="16"/>
          <w:szCs w:val="16"/>
          <w:rtl/>
        </w:rPr>
        <w:t>[יומא נג.]</w:t>
      </w:r>
      <w:r>
        <w:rPr>
          <w:rtl/>
        </w:rPr>
        <w:t>:</w:t>
      </w:r>
      <w:r>
        <w:rPr>
          <w:rFonts w:hint="cs"/>
          <w:rtl/>
        </w:rPr>
        <w:t xml:space="preserve"> "</w:t>
      </w:r>
      <w:r>
        <w:rPr>
          <w:rtl/>
        </w:rPr>
        <w:t>תנו רבנן, 'ונתן את הקטרת על האש לפני ה'' – שלא יתקן מבחוץ ויכניס. להוציא מלבן של צדוקין שאומרים יתקן מבחוץ ויכניס. מאי דרוש? 'כי בענן אראה על הכפרת' – מלמד שיתקן מבחוץ ויכניס. אמרו להם חכמים: והלא כבר נאמר 'ונתן את הקטרת על האש לפני ה''. אם כן מה תלמוד לומר 'כי בענן אראה על הכפרת'? מלמד שנותן בה מעלה עשן</w:t>
      </w:r>
      <w:r>
        <w:rPr>
          <w:rFonts w:hint="cs"/>
          <w:rtl/>
        </w:rPr>
        <w:t>"</w:t>
      </w:r>
      <w:r>
        <w:rPr>
          <w:rtl/>
        </w:rPr>
        <w:t>.</w:t>
      </w:r>
      <w:r>
        <w:rPr>
          <w:rFonts w:hint="cs"/>
          <w:rtl/>
        </w:rPr>
        <w:t xml:space="preserve"> </w:t>
      </w:r>
      <w:r>
        <w:rPr>
          <w:rtl/>
        </w:rPr>
        <w:t>לטענת הצדוקים, הקטרת הקטורת נעשית לפני הכניסה לקודש הקדשים. הפרושים חולקים ומלמדים כי הקטרת הקטורת נעשית בתוך קודש הקדשים. בפשטות, לפי ההבנה שהקטורת באה כדי להאפיל ולמנוע מראיית השכינה, מסתברת שיטת הצדוקים: בטרם הכניסה לקודש הקדשים יש להקדים ולהקטיר את הקטורת, כדי שלא יראה את פני השכינה בשעת כניסתו לפני ולפנים. לעומת זאת, לפי ההבנה שהקטורת יוצרת את גילוי השכינה בקודש הקדשים, בהכרח הקטרת הקטורת צריכה להיעשות בקודש הקדשים, מקום השראת השכינה.</w:t>
      </w:r>
      <w:r>
        <w:rPr>
          <w:rFonts w:hint="cs"/>
          <w:rtl/>
        </w:rPr>
        <w:t xml:space="preserve"> [עי' על כך במאמרו של הרב יהודה ברנדס: 'הקטורת' </w:t>
      </w:r>
      <w:r>
        <w:rPr>
          <w:rFonts w:hint="cs"/>
          <w:sz w:val="16"/>
          <w:szCs w:val="16"/>
          <w:rtl/>
        </w:rPr>
        <w:t>[בתוך 'וביום צום כיפור יחתמון' עמ' 106-108]</w:t>
      </w:r>
      <w:r>
        <w:rPr>
          <w:rFonts w:hint="cs"/>
          <w:rtl/>
        </w:rPr>
        <w:t xml:space="preserve"> ובספרו של הרב רא"ם הכהן 'העלם וגילוי' </w:t>
      </w:r>
      <w:r>
        <w:rPr>
          <w:rFonts w:hint="cs"/>
          <w:sz w:val="16"/>
          <w:szCs w:val="16"/>
          <w:rtl/>
        </w:rPr>
        <w:t>[עמ' 174-175]</w:t>
      </w:r>
      <w:r>
        <w:rPr>
          <w:rFonts w:hint="cs"/>
          <w:rtl/>
        </w:rPr>
        <w:t>].</w:t>
      </w:r>
    </w:p>
  </w:footnote>
  <w:footnote w:id="105">
    <w:p w:rsidR="00A527D5" w:rsidRDefault="00A527D5" w:rsidP="00C26E1A">
      <w:pPr>
        <w:pStyle w:val="a5"/>
      </w:pPr>
      <w:r>
        <w:rPr>
          <w:rStyle w:val="a7"/>
        </w:rPr>
        <w:footnoteRef/>
      </w:r>
      <w:r>
        <w:rPr>
          <w:rtl/>
        </w:rPr>
        <w:t xml:space="preserve"> </w:t>
      </w:r>
      <w:r>
        <w:rPr>
          <w:rFonts w:hint="cs"/>
          <w:rtl/>
        </w:rPr>
        <w:t>מדבריו עולה שלא כהבחנה שהובאה לעיל בין השולחן והמנורה למזבח הקטורת.</w:t>
      </w:r>
    </w:p>
  </w:footnote>
  <w:footnote w:id="106">
    <w:p w:rsidR="00A527D5" w:rsidRPr="00407FF4" w:rsidRDefault="00A527D5" w:rsidP="00C26E1A">
      <w:pPr>
        <w:pStyle w:val="a5"/>
      </w:pPr>
      <w:r>
        <w:rPr>
          <w:rStyle w:val="a7"/>
        </w:rPr>
        <w:footnoteRef/>
      </w:r>
      <w:r>
        <w:rPr>
          <w:rtl/>
        </w:rPr>
        <w:t xml:space="preserve"> </w:t>
      </w:r>
      <w:r>
        <w:rPr>
          <w:rFonts w:hint="cs"/>
          <w:rtl/>
        </w:rPr>
        <w:t xml:space="preserve">הקשר בין הקטורת להשראת השכינה עולה מדברי מדרש תנחומא </w:t>
      </w:r>
      <w:r>
        <w:rPr>
          <w:rFonts w:hint="cs"/>
          <w:sz w:val="16"/>
          <w:szCs w:val="16"/>
          <w:rtl/>
        </w:rPr>
        <w:t>[תצוה סי' טו]</w:t>
      </w:r>
      <w:r>
        <w:rPr>
          <w:rFonts w:hint="cs"/>
          <w:rtl/>
        </w:rPr>
        <w:t>: "</w:t>
      </w:r>
      <w:r>
        <w:rPr>
          <w:rtl/>
        </w:rPr>
        <w:t>אמר רבי יצחק בן אליעזר: תדע לך, שנעשה המשכן וכל כליו ושחט את הקרבנות והקריבו וערך על המזבח וסדר את השלחן ואת המנורה ואת הכל, ולא ירדה שכינה עד שהקריבו את הקטורת. מנין? דכתיב 'עורי צפון ובואי תימן הפיחי גני יזלו בשמיו'</w:t>
      </w:r>
      <w:r>
        <w:rPr>
          <w:rFonts w:hint="cs"/>
          <w:rtl/>
        </w:rPr>
        <w:t>".</w:t>
      </w:r>
    </w:p>
  </w:footnote>
  <w:footnote w:id="107">
    <w:p w:rsidR="00A527D5" w:rsidRPr="00AA0421" w:rsidRDefault="00A527D5" w:rsidP="00A527D5">
      <w:pPr>
        <w:pStyle w:val="a5"/>
        <w:rPr>
          <w:rtl/>
        </w:rPr>
      </w:pPr>
      <w:r>
        <w:rPr>
          <w:rStyle w:val="a7"/>
        </w:rPr>
        <w:footnoteRef/>
      </w:r>
      <w:r>
        <w:rPr>
          <w:rtl/>
        </w:rPr>
        <w:t xml:space="preserve"> </w:t>
      </w:r>
      <w:r>
        <w:rPr>
          <w:rFonts w:hint="cs"/>
          <w:rtl/>
        </w:rPr>
        <w:t>הרי"פ פערלא טוען, על פי דרכו, כי דין זה הוא לעיכובא: "</w:t>
      </w:r>
      <w:r>
        <w:rPr>
          <w:rtl/>
        </w:rPr>
        <w:t>ולפ</w:t>
      </w:r>
      <w:r>
        <w:rPr>
          <w:rFonts w:hint="cs"/>
          <w:rtl/>
        </w:rPr>
        <w:t>י זה</w:t>
      </w:r>
      <w:r w:rsidRPr="00AA0421">
        <w:rPr>
          <w:rtl/>
        </w:rPr>
        <w:t xml:space="preserve"> נראה</w:t>
      </w:r>
      <w:r>
        <w:rPr>
          <w:rFonts w:hint="cs"/>
          <w:rtl/>
        </w:rPr>
        <w:t>,</w:t>
      </w:r>
      <w:r w:rsidRPr="00AA0421">
        <w:rPr>
          <w:rtl/>
        </w:rPr>
        <w:t xml:space="preserve"> דאם עבר והקטיר שלא בחשאי שלא הפרישו כל אדם מא</w:t>
      </w:r>
      <w:r>
        <w:rPr>
          <w:rtl/>
        </w:rPr>
        <w:t>הל מועד בשעת הקטרה נפסלה ההקטרה</w:t>
      </w:r>
      <w:r>
        <w:rPr>
          <w:rFonts w:hint="cs"/>
          <w:rtl/>
        </w:rPr>
        <w:t>,</w:t>
      </w:r>
      <w:r w:rsidRPr="00AA0421">
        <w:rPr>
          <w:rtl/>
        </w:rPr>
        <w:t xml:space="preserve"> דהרי חוקה כתיב בפרשה. דכתיב </w:t>
      </w:r>
      <w:r>
        <w:rPr>
          <w:rFonts w:hint="cs"/>
          <w:rtl/>
        </w:rPr>
        <w:t>'</w:t>
      </w:r>
      <w:r w:rsidRPr="00AA0421">
        <w:rPr>
          <w:rtl/>
        </w:rPr>
        <w:t>והיתה לכם לחוקת עולם</w:t>
      </w:r>
      <w:r>
        <w:rPr>
          <w:rFonts w:hint="cs"/>
          <w:rtl/>
        </w:rPr>
        <w:t>',</w:t>
      </w:r>
      <w:r w:rsidRPr="00AA0421">
        <w:rPr>
          <w:rtl/>
        </w:rPr>
        <w:t xml:space="preserve"> וכ</w:t>
      </w:r>
      <w:r>
        <w:rPr>
          <w:rtl/>
        </w:rPr>
        <w:t>ל מקום שנאמר חוקה אינו אלא לעכב</w:t>
      </w:r>
      <w:r>
        <w:rPr>
          <w:rFonts w:hint="cs"/>
          <w:rtl/>
        </w:rPr>
        <w:t xml:space="preserve">". [הרי"פ פערלא דן האם דין זה הוא לעיכובא רק לגבי הקטרת הקטורת או גם לגבי מתן הדמים]. וע"ע 'זרע אברהם' </w:t>
      </w:r>
      <w:r>
        <w:rPr>
          <w:rFonts w:hint="cs"/>
          <w:sz w:val="16"/>
          <w:szCs w:val="16"/>
          <w:rtl/>
        </w:rPr>
        <w:t>[סי' מח אות ו]</w:t>
      </w:r>
      <w:r>
        <w:rPr>
          <w:rFonts w:hint="cs"/>
          <w:rtl/>
        </w:rPr>
        <w:t xml:space="preserve"> הדן בכך. </w:t>
      </w:r>
    </w:p>
  </w:footnote>
  <w:footnote w:id="108">
    <w:p w:rsidR="00A527D5" w:rsidRPr="00307B9E" w:rsidRDefault="00A527D5" w:rsidP="00A527D5">
      <w:pPr>
        <w:pStyle w:val="a5"/>
        <w:rPr>
          <w:rtl/>
        </w:rPr>
      </w:pPr>
      <w:r>
        <w:rPr>
          <w:rStyle w:val="a7"/>
        </w:rPr>
        <w:footnoteRef/>
      </w:r>
      <w:r>
        <w:rPr>
          <w:rtl/>
        </w:rPr>
        <w:t xml:space="preserve"> </w:t>
      </w:r>
      <w:r>
        <w:rPr>
          <w:rFonts w:hint="cs"/>
          <w:rtl/>
        </w:rPr>
        <w:t xml:space="preserve">נראה להבין כי כפרת האדם נעשית בפומבי, אך כפרת הקודש במהותה היא עניין מוצנע, שעליו להיעשות באופן נסתר, ללא נוכחות כהנים נוספים. [וע"ע בדברי הגמ' </w:t>
      </w:r>
      <w:r>
        <w:rPr>
          <w:rFonts w:hint="cs"/>
          <w:sz w:val="16"/>
          <w:szCs w:val="16"/>
          <w:rtl/>
        </w:rPr>
        <w:t>[יומא מד.; זבחים פח:]</w:t>
      </w:r>
      <w:r>
        <w:rPr>
          <w:rFonts w:hint="cs"/>
          <w:rtl/>
        </w:rPr>
        <w:t xml:space="preserve"> לגבי הקטורת: "יבוא דבר שבחשאי ויכפר על מעשה חשאי"].</w:t>
      </w:r>
    </w:p>
  </w:footnote>
  <w:footnote w:id="109">
    <w:p w:rsidR="00A527D5" w:rsidRPr="00EF55AC" w:rsidRDefault="00A527D5" w:rsidP="00A527D5">
      <w:pPr>
        <w:pStyle w:val="a5"/>
      </w:pPr>
      <w:r>
        <w:rPr>
          <w:rStyle w:val="a7"/>
        </w:rPr>
        <w:footnoteRef/>
      </w:r>
      <w:r>
        <w:rPr>
          <w:rtl/>
        </w:rPr>
        <w:t xml:space="preserve"> </w:t>
      </w:r>
      <w:r>
        <w:rPr>
          <w:rFonts w:hint="cs"/>
          <w:rtl/>
        </w:rPr>
        <w:t>הבכור שור מוסיף ומביא טעם נוסף לאיסור זה: "</w:t>
      </w:r>
      <w:r w:rsidRPr="00EF55AC">
        <w:rPr>
          <w:rtl/>
        </w:rPr>
        <w:t>וגם שלא יזונו עיניהם מבית קדשי הקדשים כשהוא פותח פתח האמה טרקסון ליכנס</w:t>
      </w:r>
      <w:r>
        <w:rPr>
          <w:rFonts w:hint="cs"/>
          <w:rtl/>
        </w:rPr>
        <w:t>"</w:t>
      </w:r>
      <w:r w:rsidRPr="00EF55AC">
        <w:rPr>
          <w:rtl/>
        </w:rPr>
        <w:t>.</w:t>
      </w:r>
    </w:p>
  </w:footnote>
  <w:footnote w:id="110">
    <w:p w:rsidR="00A527D5" w:rsidRDefault="00A527D5" w:rsidP="00A527D5">
      <w:pPr>
        <w:pStyle w:val="a5"/>
        <w:rPr>
          <w:rtl/>
        </w:rPr>
      </w:pPr>
      <w:r>
        <w:rPr>
          <w:rStyle w:val="a7"/>
        </w:rPr>
        <w:footnoteRef/>
      </w:r>
      <w:r>
        <w:rPr>
          <w:rtl/>
        </w:rPr>
        <w:t xml:space="preserve"> </w:t>
      </w:r>
      <w:r>
        <w:rPr>
          <w:rFonts w:hint="cs"/>
          <w:rtl/>
        </w:rPr>
        <w:t xml:space="preserve">הגדרה זו בטיבה של הקטורת נידונה בשיעור הקודם </w:t>
      </w:r>
      <w:r>
        <w:rPr>
          <w:rFonts w:hint="cs"/>
          <w:sz w:val="16"/>
          <w:szCs w:val="16"/>
          <w:rtl/>
        </w:rPr>
        <w:t>['הקטרת הקטורת']</w:t>
      </w:r>
      <w:r>
        <w:rPr>
          <w:rFonts w:hint="cs"/>
          <w:rtl/>
        </w:rPr>
        <w:t>.</w:t>
      </w:r>
    </w:p>
  </w:footnote>
  <w:footnote w:id="111">
    <w:p w:rsidR="00A527D5" w:rsidRPr="003A06C8" w:rsidRDefault="00A527D5" w:rsidP="00A527D5">
      <w:pPr>
        <w:pStyle w:val="a5"/>
      </w:pPr>
      <w:r>
        <w:rPr>
          <w:rStyle w:val="a7"/>
        </w:rPr>
        <w:footnoteRef/>
      </w:r>
      <w:r>
        <w:rPr>
          <w:rtl/>
        </w:rPr>
        <w:t xml:space="preserve"> </w:t>
      </w:r>
      <w:r>
        <w:rPr>
          <w:rFonts w:hint="cs"/>
          <w:rtl/>
        </w:rPr>
        <w:t xml:space="preserve">מטעם זה, הרב אהרן ליכטנשטיין </w:t>
      </w:r>
      <w:r>
        <w:rPr>
          <w:rFonts w:hint="cs"/>
          <w:sz w:val="16"/>
          <w:szCs w:val="16"/>
          <w:rtl/>
        </w:rPr>
        <w:t>[קדושת אביב עמ' 424]</w:t>
      </w:r>
      <w:r>
        <w:rPr>
          <w:rFonts w:hint="cs"/>
          <w:rtl/>
        </w:rPr>
        <w:t xml:space="preserve"> מציע כי חובת הפרישה בשעת הקטרת הקטורת וחובת הפרישה בשעת מתן הדמים בהיכל נובע מטעמים שונים: "את חובת הפרישה בשעת ההקטרה ממקום ההקטרה עצמו, דהיא דין דאורייתא, יש להסביר לאור נוכחות השכינה המתלווה להקטרת הקטורת. ואף דילפינן חובת פרישה גם בשעת מתן הדמים בגזירה שווה מהקטרת הקטורת (כמבואר ביומא מד ע"ב), הדינים שונים במהותם".</w:t>
      </w:r>
    </w:p>
  </w:footnote>
  <w:footnote w:id="112">
    <w:p w:rsidR="00A527D5" w:rsidRDefault="00A527D5" w:rsidP="00A527D5">
      <w:pPr>
        <w:pStyle w:val="a5"/>
        <w:rPr>
          <w:rtl/>
        </w:rPr>
      </w:pPr>
      <w:r>
        <w:rPr>
          <w:rStyle w:val="a7"/>
        </w:rPr>
        <w:footnoteRef/>
      </w:r>
      <w:r>
        <w:rPr>
          <w:rtl/>
        </w:rPr>
        <w:t xml:space="preserve"> </w:t>
      </w:r>
      <w:r>
        <w:rPr>
          <w:rFonts w:hint="cs"/>
          <w:rtl/>
        </w:rPr>
        <w:t xml:space="preserve">על אף דברים אלו, יש להדגיש שאינה דומה השראת השכינה שבקודש הקדשים להשראת השכינה שבהיכל, ולכן ההימצאות בהיכל בשעה זו אסורה אך אין על כך חיוב מיתה. </w:t>
      </w:r>
    </w:p>
  </w:footnote>
  <w:footnote w:id="113">
    <w:p w:rsidR="00A527D5" w:rsidRPr="009A2FAC" w:rsidRDefault="00A527D5" w:rsidP="00C26E1A">
      <w:pPr>
        <w:pStyle w:val="a5"/>
        <w:rPr>
          <w:rtl/>
        </w:rPr>
      </w:pPr>
      <w:r>
        <w:rPr>
          <w:rStyle w:val="a7"/>
        </w:rPr>
        <w:footnoteRef/>
      </w:r>
      <w:r>
        <w:rPr>
          <w:rtl/>
        </w:rPr>
        <w:t xml:space="preserve"> </w:t>
      </w:r>
      <w:r>
        <w:rPr>
          <w:rFonts w:hint="cs"/>
          <w:rtl/>
        </w:rPr>
        <w:t xml:space="preserve">אמנם שיירי הדם נשפכים על יסוד המזבח החיצון, אך דין זה </w:t>
      </w:r>
      <w:r>
        <w:rPr>
          <w:rtl/>
        </w:rPr>
        <w:t>–</w:t>
      </w:r>
      <w:r>
        <w:rPr>
          <w:rFonts w:hint="cs"/>
          <w:rtl/>
        </w:rPr>
        <w:t xml:space="preserve"> כמבואר במשנה בזבחים </w:t>
      </w:r>
      <w:r>
        <w:rPr>
          <w:rFonts w:hint="cs"/>
          <w:sz w:val="16"/>
          <w:szCs w:val="16"/>
          <w:rtl/>
        </w:rPr>
        <w:t>[שם]</w:t>
      </w:r>
      <w:r>
        <w:rPr>
          <w:rFonts w:hint="cs"/>
          <w:rtl/>
        </w:rPr>
        <w:t xml:space="preserve"> </w:t>
      </w:r>
      <w:r>
        <w:rPr>
          <w:rtl/>
        </w:rPr>
        <w:t>–</w:t>
      </w:r>
      <w:r>
        <w:rPr>
          <w:rFonts w:hint="cs"/>
          <w:rtl/>
        </w:rPr>
        <w:t xml:space="preserve"> אינו לעיכובא. </w:t>
      </w:r>
    </w:p>
  </w:footnote>
  <w:footnote w:id="114">
    <w:p w:rsidR="00A527D5" w:rsidRPr="00D1072C" w:rsidRDefault="00A527D5" w:rsidP="00C26E1A">
      <w:pPr>
        <w:pStyle w:val="a5"/>
      </w:pPr>
      <w:r>
        <w:rPr>
          <w:rStyle w:val="a7"/>
        </w:rPr>
        <w:footnoteRef/>
      </w:r>
      <w:r>
        <w:rPr>
          <w:rtl/>
        </w:rPr>
        <w:t xml:space="preserve"> </w:t>
      </w:r>
      <w:r>
        <w:rPr>
          <w:rFonts w:hint="cs"/>
          <w:rtl/>
        </w:rPr>
        <w:t xml:space="preserve">עי' חידושי רבי אריה לייב </w:t>
      </w:r>
      <w:r>
        <w:rPr>
          <w:rFonts w:hint="cs"/>
          <w:sz w:val="16"/>
          <w:szCs w:val="16"/>
          <w:rtl/>
        </w:rPr>
        <w:t>[ח"ב סי' יז]</w:t>
      </w:r>
      <w:r>
        <w:rPr>
          <w:rFonts w:hint="cs"/>
          <w:rtl/>
        </w:rPr>
        <w:t xml:space="preserve"> המבסס טענה זו. </w:t>
      </w:r>
    </w:p>
  </w:footnote>
  <w:footnote w:id="115">
    <w:p w:rsidR="00A527D5" w:rsidRPr="00ED3FFF" w:rsidRDefault="00A527D5" w:rsidP="00C26E1A">
      <w:pPr>
        <w:pStyle w:val="a5"/>
      </w:pPr>
      <w:r>
        <w:rPr>
          <w:rStyle w:val="a7"/>
        </w:rPr>
        <w:footnoteRef/>
      </w:r>
      <w:r>
        <w:rPr>
          <w:rtl/>
        </w:rPr>
        <w:t xml:space="preserve"> </w:t>
      </w:r>
      <w:r>
        <w:rPr>
          <w:rFonts w:hint="cs"/>
          <w:rtl/>
        </w:rPr>
        <w:t xml:space="preserve">כן נראה גם מדברי התורה בסוף פרשת תצוה </w:t>
      </w:r>
      <w:r>
        <w:rPr>
          <w:rFonts w:hint="cs"/>
          <w:sz w:val="16"/>
          <w:szCs w:val="16"/>
          <w:rtl/>
        </w:rPr>
        <w:t>[שמות ל, י]</w:t>
      </w:r>
      <w:r>
        <w:rPr>
          <w:rFonts w:hint="cs"/>
          <w:rtl/>
        </w:rPr>
        <w:t>: "</w:t>
      </w:r>
      <w:r w:rsidRPr="00ED3FFF">
        <w:rPr>
          <w:rtl/>
        </w:rPr>
        <w:t>וכפר אהרן על קרנתיו אחת בשנה</w:t>
      </w:r>
      <w:r>
        <w:rPr>
          <w:rFonts w:hint="cs"/>
          <w:rtl/>
        </w:rPr>
        <w:t xml:space="preserve">, </w:t>
      </w:r>
      <w:r w:rsidRPr="00ED3FFF">
        <w:rPr>
          <w:rtl/>
        </w:rPr>
        <w:t>מדם חטאת הכפרים אחת בשנה יכפר עליו לדרתיכם קדש קדשים הוא לה'</w:t>
      </w:r>
      <w:r>
        <w:rPr>
          <w:rFonts w:hint="cs"/>
          <w:rtl/>
        </w:rPr>
        <w:t>".</w:t>
      </w:r>
    </w:p>
  </w:footnote>
  <w:footnote w:id="116">
    <w:p w:rsidR="00A527D5" w:rsidRDefault="00A527D5" w:rsidP="00C26E1A">
      <w:pPr>
        <w:pStyle w:val="a5"/>
        <w:rPr>
          <w:rtl/>
        </w:rPr>
      </w:pPr>
      <w:r>
        <w:rPr>
          <w:rStyle w:val="a7"/>
        </w:rPr>
        <w:footnoteRef/>
      </w:r>
      <w:r>
        <w:rPr>
          <w:rtl/>
        </w:rPr>
        <w:t xml:space="preserve"> </w:t>
      </w:r>
      <w:r>
        <w:rPr>
          <w:rFonts w:hint="cs"/>
          <w:rtl/>
        </w:rPr>
        <w:t>אמנם, דברי רבי נחמיה לא נפסקו להלכה על ידי הרמב"ם, ואכמ"ל.</w:t>
      </w:r>
    </w:p>
  </w:footnote>
  <w:footnote w:id="117">
    <w:p w:rsidR="00A527D5" w:rsidRPr="0065422A" w:rsidRDefault="00A527D5" w:rsidP="00C26E1A">
      <w:pPr>
        <w:pStyle w:val="a5"/>
        <w:rPr>
          <w:rtl/>
        </w:rPr>
      </w:pPr>
      <w:r>
        <w:rPr>
          <w:rStyle w:val="a7"/>
        </w:rPr>
        <w:footnoteRef/>
      </w:r>
      <w:r>
        <w:rPr>
          <w:rtl/>
        </w:rPr>
        <w:t xml:space="preserve"> </w:t>
      </w:r>
      <w:r>
        <w:rPr>
          <w:rFonts w:hint="cs"/>
          <w:rtl/>
        </w:rPr>
        <w:t xml:space="preserve">על דברים אלו יש להוסיף: חטאת חיצונית באה כדי לכפר על החטא, וכפרה זו נעשית על ידי זריקת הדם על קרנות המזבח. לעומתה, בעבירות עליהן באות החטאות הפנימיות, לא די בכפרת החטא, שכן מדובר בחטא ציבורי הגורם לפגיעה בהשראת השכינה בישראל. בשל כך, לא די בהעברת החטא המקומי, אלא יש צורך לכפר ולנקות את השכינה מהטומאה שדבקה בה. לשם כך מזים אל מול הפרוכת </w:t>
      </w:r>
      <w:r>
        <w:rPr>
          <w:rtl/>
        </w:rPr>
        <w:t>–</w:t>
      </w:r>
      <w:r>
        <w:rPr>
          <w:rFonts w:hint="cs"/>
          <w:rtl/>
        </w:rPr>
        <w:t xml:space="preserve"> כנגד קודש הקדשים, מקום השראת השכינה. בכך דומות חטאות אלו לפר ושעיר של יום הכיפורים, שגם הם באים לכפר על הפגיעה בהשראת השכינה, אמנם קיים הבדל עקרוני ביניהם: ביום הכיפורים הכפרה נעשית ביחס למקדש (כפי שהגדירו חז"ל </w:t>
      </w:r>
      <w:r>
        <w:rPr>
          <w:rFonts w:hint="cs"/>
          <w:sz w:val="16"/>
          <w:szCs w:val="16"/>
          <w:rtl/>
        </w:rPr>
        <w:t>[שבועות פ"א מ"ג-ז]</w:t>
      </w:r>
      <w:r>
        <w:rPr>
          <w:rFonts w:hint="cs"/>
          <w:rtl/>
        </w:rPr>
        <w:t xml:space="preserve">, שהכפרה נעשית ביחס לטומאת מקדש וקדשיו), ואילו בשאר הפרים והשעירים הנשרפים הכפרה אינה ביחס למקום המקדש שנטמא, אלא באופן כללי כלפי הפגם שנוצר בהשראת השכינה מחמת החטא. [פרופ' יונתן גרוסמן </w:t>
      </w:r>
      <w:r>
        <w:rPr>
          <w:rFonts w:hint="cs"/>
          <w:sz w:val="16"/>
          <w:szCs w:val="16"/>
          <w:rtl/>
        </w:rPr>
        <w:t>[בשיעורו 'חטאת כוהן משיח'; שיעור 26 בסדרת השיעורים 'תורת הקרבנות' המופיעה באתר 'תורת הר עציון']</w:t>
      </w:r>
      <w:r>
        <w:rPr>
          <w:rFonts w:hint="cs"/>
          <w:rtl/>
        </w:rPr>
        <w:t xml:space="preserve"> טוען כי ההזאות הנעשות על מזבח הקטורת קשורות גם הן לחיטוי הקודש, שכן הקטורת קשורה להשראת השכינה במקדש (עי' על כך בדברינו בשיעור שלושה עשר </w:t>
      </w:r>
      <w:r>
        <w:rPr>
          <w:rFonts w:hint="cs"/>
          <w:sz w:val="16"/>
          <w:szCs w:val="16"/>
          <w:rtl/>
        </w:rPr>
        <w:t>['הקטרת הקטורת']</w:t>
      </w:r>
      <w:r>
        <w:rPr>
          <w:rFonts w:hint="cs"/>
          <w:rtl/>
        </w:rPr>
        <w:t>)].</w:t>
      </w:r>
    </w:p>
  </w:footnote>
  <w:footnote w:id="118">
    <w:p w:rsidR="00A527D5" w:rsidRPr="00103A44" w:rsidRDefault="00A527D5" w:rsidP="00C26E1A">
      <w:pPr>
        <w:pStyle w:val="a5"/>
        <w:rPr>
          <w:rtl/>
        </w:rPr>
      </w:pPr>
      <w:r>
        <w:rPr>
          <w:rStyle w:val="a7"/>
        </w:rPr>
        <w:footnoteRef/>
      </w:r>
      <w:r>
        <w:rPr>
          <w:rtl/>
        </w:rPr>
        <w:t xml:space="preserve"> </w:t>
      </w:r>
      <w:r>
        <w:rPr>
          <w:rFonts w:hint="cs"/>
          <w:rtl/>
        </w:rPr>
        <w:t xml:space="preserve">וכן כותב החזון איש </w:t>
      </w:r>
      <w:r>
        <w:rPr>
          <w:rFonts w:hint="cs"/>
          <w:sz w:val="16"/>
          <w:szCs w:val="16"/>
          <w:rtl/>
        </w:rPr>
        <w:t>[מועד סי' קכו ס"ק לט</w:t>
      </w:r>
      <w:r>
        <w:rPr>
          <w:sz w:val="16"/>
          <w:szCs w:val="16"/>
          <w:rtl/>
        </w:rPr>
        <w:tab/>
      </w:r>
      <w:r>
        <w:rPr>
          <w:rFonts w:hint="cs"/>
          <w:sz w:val="16"/>
          <w:szCs w:val="16"/>
          <w:rtl/>
        </w:rPr>
        <w:t xml:space="preserve"> ד"ה ס"א א' מלמד]</w:t>
      </w:r>
      <w:r>
        <w:rPr>
          <w:rFonts w:hint="cs"/>
          <w:rtl/>
        </w:rPr>
        <w:t>.</w:t>
      </w:r>
    </w:p>
  </w:footnote>
  <w:footnote w:id="119">
    <w:p w:rsidR="00A527D5" w:rsidRDefault="00A527D5" w:rsidP="00C26E1A">
      <w:pPr>
        <w:pStyle w:val="a5"/>
        <w:rPr>
          <w:rtl/>
        </w:rPr>
      </w:pPr>
      <w:r>
        <w:rPr>
          <w:rStyle w:val="a7"/>
        </w:rPr>
        <w:footnoteRef/>
      </w:r>
      <w:r>
        <w:rPr>
          <w:rtl/>
        </w:rPr>
        <w:t xml:space="preserve"> </w:t>
      </w:r>
      <w:r>
        <w:rPr>
          <w:rFonts w:hint="cs"/>
          <w:rtl/>
        </w:rPr>
        <w:t>רבים חולקים על חידושו של הגבורת ארי, אך לא בהכרח הם חולקים על ההבחנה העקרונית בין הזאות פר ושעיר של יום הכיפורים להזאות שאר חטאות הפנימיות, ואכמ"ל.</w:t>
      </w:r>
    </w:p>
  </w:footnote>
  <w:footnote w:id="120">
    <w:p w:rsidR="00A527D5" w:rsidRPr="0079296E" w:rsidRDefault="00A527D5" w:rsidP="00C26E1A">
      <w:pPr>
        <w:pStyle w:val="a5"/>
        <w:rPr>
          <w:rtl/>
        </w:rPr>
      </w:pPr>
      <w:r>
        <w:rPr>
          <w:rStyle w:val="a7"/>
        </w:rPr>
        <w:footnoteRef/>
      </w:r>
      <w:r>
        <w:rPr>
          <w:rtl/>
        </w:rPr>
        <w:t xml:space="preserve"> </w:t>
      </w:r>
      <w:r>
        <w:rPr>
          <w:rFonts w:hint="cs"/>
          <w:rtl/>
        </w:rPr>
        <w:t xml:space="preserve">וכן מפורש במשנה </w:t>
      </w:r>
      <w:r>
        <w:rPr>
          <w:rFonts w:hint="cs"/>
          <w:sz w:val="16"/>
          <w:szCs w:val="16"/>
          <w:rtl/>
        </w:rPr>
        <w:t>[נג:]</w:t>
      </w:r>
      <w:r>
        <w:rPr>
          <w:rFonts w:hint="cs"/>
          <w:rtl/>
        </w:rPr>
        <w:t>.</w:t>
      </w:r>
    </w:p>
  </w:footnote>
  <w:footnote w:id="121">
    <w:p w:rsidR="00A527D5" w:rsidRPr="00554A1E" w:rsidRDefault="00A527D5" w:rsidP="00C26E1A">
      <w:pPr>
        <w:pStyle w:val="a5"/>
        <w:rPr>
          <w:rtl/>
        </w:rPr>
      </w:pPr>
      <w:r>
        <w:rPr>
          <w:rStyle w:val="a7"/>
        </w:rPr>
        <w:footnoteRef/>
      </w:r>
      <w:r>
        <w:rPr>
          <w:rtl/>
        </w:rPr>
        <w:t xml:space="preserve"> </w:t>
      </w:r>
      <w:r>
        <w:rPr>
          <w:rFonts w:hint="cs"/>
          <w:rtl/>
        </w:rPr>
        <w:t xml:space="preserve">המשנה למלך </w:t>
      </w:r>
      <w:r>
        <w:rPr>
          <w:rFonts w:hint="cs"/>
          <w:sz w:val="16"/>
          <w:szCs w:val="16"/>
          <w:rtl/>
        </w:rPr>
        <w:t>[שם]</w:t>
      </w:r>
      <w:r>
        <w:rPr>
          <w:rFonts w:hint="cs"/>
          <w:rtl/>
        </w:rPr>
        <w:t xml:space="preserve"> מציין כי הספרא </w:t>
      </w:r>
      <w:r>
        <w:rPr>
          <w:rFonts w:hint="cs"/>
          <w:sz w:val="16"/>
          <w:szCs w:val="16"/>
          <w:rtl/>
        </w:rPr>
        <w:t>[דיבורא דחובה פרשה ג הל' י]</w:t>
      </w:r>
      <w:r>
        <w:rPr>
          <w:rFonts w:hint="cs"/>
          <w:rtl/>
        </w:rPr>
        <w:t xml:space="preserve"> לומד את החובה להזות כנגד הבדים מהכתוב </w:t>
      </w:r>
      <w:r>
        <w:rPr>
          <w:rFonts w:hint="cs"/>
          <w:sz w:val="16"/>
          <w:szCs w:val="16"/>
          <w:rtl/>
        </w:rPr>
        <w:t>[ויקרא ד, ו]</w:t>
      </w:r>
      <w:r>
        <w:rPr>
          <w:rFonts w:hint="cs"/>
          <w:rtl/>
        </w:rPr>
        <w:t xml:space="preserve">: "את פני פרוכת </w:t>
      </w:r>
      <w:r>
        <w:rPr>
          <w:rFonts w:hint="cs"/>
          <w:b/>
          <w:bCs/>
          <w:rtl/>
        </w:rPr>
        <w:t>הקדש</w:t>
      </w:r>
      <w:r>
        <w:rPr>
          <w:rFonts w:hint="cs"/>
          <w:rtl/>
        </w:rPr>
        <w:t xml:space="preserve">", האמור לגבי פר של כהן משיח. ועי' מרכבת המשנה </w:t>
      </w:r>
      <w:r>
        <w:rPr>
          <w:rFonts w:hint="cs"/>
          <w:sz w:val="16"/>
          <w:szCs w:val="16"/>
          <w:rtl/>
        </w:rPr>
        <w:t>[שם]</w:t>
      </w:r>
      <w:r>
        <w:rPr>
          <w:rFonts w:hint="cs"/>
          <w:rtl/>
        </w:rPr>
        <w:t xml:space="preserve">, הר המוריה </w:t>
      </w:r>
      <w:r>
        <w:rPr>
          <w:rFonts w:hint="cs"/>
          <w:sz w:val="16"/>
          <w:szCs w:val="16"/>
          <w:rtl/>
        </w:rPr>
        <w:t>[שם]</w:t>
      </w:r>
      <w:r>
        <w:rPr>
          <w:rFonts w:hint="cs"/>
          <w:rtl/>
        </w:rPr>
        <w:t xml:space="preserve"> ומלבי"ם </w:t>
      </w:r>
      <w:r>
        <w:rPr>
          <w:rFonts w:hint="cs"/>
          <w:sz w:val="16"/>
          <w:szCs w:val="16"/>
          <w:rtl/>
        </w:rPr>
        <w:t>[ויקרא אות רכב]</w:t>
      </w:r>
      <w:r>
        <w:rPr>
          <w:rFonts w:hint="cs"/>
          <w:rtl/>
        </w:rPr>
        <w:t xml:space="preserve"> המבארים בדרכים שונות מדוע הרמב"ם לא פסק את דרשת הספרא. </w:t>
      </w:r>
    </w:p>
  </w:footnote>
  <w:footnote w:id="122">
    <w:p w:rsidR="00A527D5" w:rsidRPr="009D7CF2" w:rsidRDefault="00A527D5" w:rsidP="00C26E1A">
      <w:pPr>
        <w:pStyle w:val="a5"/>
        <w:rPr>
          <w:sz w:val="18"/>
          <w:szCs w:val="18"/>
        </w:rPr>
      </w:pPr>
      <w:r>
        <w:rPr>
          <w:rStyle w:val="a7"/>
        </w:rPr>
        <w:footnoteRef/>
      </w:r>
      <w:r>
        <w:rPr>
          <w:rtl/>
        </w:rPr>
        <w:t xml:space="preserve"> </w:t>
      </w:r>
      <w:r>
        <w:rPr>
          <w:rFonts w:hint="cs"/>
          <w:rtl/>
        </w:rPr>
        <w:t xml:space="preserve">דבריו הובאו ב'אוצר חידושים' על מסכת יומא </w:t>
      </w:r>
      <w:r>
        <w:rPr>
          <w:rFonts w:hint="cs"/>
          <w:sz w:val="16"/>
          <w:szCs w:val="16"/>
          <w:rtl/>
        </w:rPr>
        <w:t>[עמ' תעז]</w:t>
      </w:r>
      <w:r>
        <w:rPr>
          <w:rFonts w:hint="cs"/>
          <w:sz w:val="18"/>
          <w:szCs w:val="18"/>
          <w:rtl/>
        </w:rPr>
        <w:t>.</w:t>
      </w:r>
    </w:p>
  </w:footnote>
  <w:footnote w:id="123">
    <w:p w:rsidR="00A527D5" w:rsidRDefault="00A527D5" w:rsidP="00C26E1A">
      <w:pPr>
        <w:pStyle w:val="a5"/>
        <w:rPr>
          <w:rtl/>
        </w:rPr>
      </w:pPr>
      <w:r>
        <w:rPr>
          <w:rStyle w:val="a7"/>
        </w:rPr>
        <w:footnoteRef/>
      </w:r>
      <w:r>
        <w:rPr>
          <w:rtl/>
        </w:rPr>
        <w:t xml:space="preserve"> </w:t>
      </w:r>
      <w:r>
        <w:rPr>
          <w:rFonts w:hint="cs"/>
          <w:rtl/>
        </w:rPr>
        <w:t xml:space="preserve">כדוגמת הזאות דם פרה אדומה </w:t>
      </w:r>
      <w:r>
        <w:rPr>
          <w:rFonts w:hint="cs"/>
          <w:sz w:val="16"/>
          <w:szCs w:val="16"/>
          <w:rtl/>
        </w:rPr>
        <w:t>[פרה פ"ג מ"ט]</w:t>
      </w:r>
      <w:r>
        <w:rPr>
          <w:rFonts w:hint="cs"/>
          <w:rtl/>
        </w:rPr>
        <w:t xml:space="preserve"> והזאות השמן על המצורע </w:t>
      </w:r>
      <w:r>
        <w:rPr>
          <w:rFonts w:hint="cs"/>
          <w:sz w:val="16"/>
          <w:szCs w:val="16"/>
          <w:rtl/>
        </w:rPr>
        <w:t>[נגעים פי"ד מ"י]</w:t>
      </w:r>
      <w:r>
        <w:rPr>
          <w:rFonts w:hint="cs"/>
          <w:rtl/>
        </w:rPr>
        <w:t xml:space="preserve"> הנעשות "כנגד בית קדש הקדשים".</w:t>
      </w:r>
    </w:p>
  </w:footnote>
  <w:footnote w:id="124">
    <w:p w:rsidR="00A527D5" w:rsidRPr="00D87C17" w:rsidRDefault="00A527D5" w:rsidP="00C26E1A">
      <w:pPr>
        <w:pStyle w:val="a5"/>
        <w:rPr>
          <w:rtl/>
        </w:rPr>
      </w:pPr>
      <w:r>
        <w:rPr>
          <w:rStyle w:val="a7"/>
        </w:rPr>
        <w:footnoteRef/>
      </w:r>
      <w:r>
        <w:rPr>
          <w:rtl/>
        </w:rPr>
        <w:t xml:space="preserve"> </w:t>
      </w:r>
      <w:r>
        <w:rPr>
          <w:rFonts w:hint="cs"/>
          <w:rtl/>
        </w:rPr>
        <w:t xml:space="preserve">כך דורש הספרא </w:t>
      </w:r>
      <w:r>
        <w:rPr>
          <w:rFonts w:hint="cs"/>
          <w:sz w:val="16"/>
          <w:szCs w:val="16"/>
          <w:rtl/>
        </w:rPr>
        <w:t>[אחרי מות פרק ד הל' יב]</w:t>
      </w:r>
      <w:r>
        <w:rPr>
          <w:rFonts w:hint="cs"/>
          <w:rtl/>
        </w:rPr>
        <w:t xml:space="preserve"> את הכתוב </w:t>
      </w:r>
      <w:r>
        <w:rPr>
          <w:rFonts w:hint="cs"/>
          <w:sz w:val="16"/>
          <w:szCs w:val="16"/>
          <w:rtl/>
        </w:rPr>
        <w:t>[ויקרא טז, יט]</w:t>
      </w:r>
      <w:r>
        <w:rPr>
          <w:rFonts w:hint="cs"/>
          <w:rtl/>
        </w:rPr>
        <w:t xml:space="preserve"> לגבי ההזאות על מזבח הזהב: "</w:t>
      </w:r>
      <w:r>
        <w:rPr>
          <w:rtl/>
        </w:rPr>
        <w:t>וטהרו וקדשו מטומאות בני ישראל</w:t>
      </w:r>
      <w:r>
        <w:rPr>
          <w:rFonts w:hint="cs"/>
          <w:rtl/>
        </w:rPr>
        <w:t xml:space="preserve"> </w:t>
      </w:r>
      <w:r>
        <w:rPr>
          <w:rtl/>
        </w:rPr>
        <w:t>–</w:t>
      </w:r>
      <w:r>
        <w:rPr>
          <w:rFonts w:hint="cs"/>
          <w:rtl/>
        </w:rPr>
        <w:t xml:space="preserve"> </w:t>
      </w:r>
      <w:r>
        <w:rPr>
          <w:rtl/>
        </w:rPr>
        <w:t>טהרו לשעבר וקידשו לעתיד לבו</w:t>
      </w:r>
      <w:r>
        <w:rPr>
          <w:rFonts w:hint="cs"/>
          <w:rtl/>
        </w:rPr>
        <w:t xml:space="preserve">א". </w:t>
      </w:r>
    </w:p>
  </w:footnote>
  <w:footnote w:id="125">
    <w:p w:rsidR="00A527D5" w:rsidRPr="0027148D" w:rsidRDefault="00A527D5" w:rsidP="00C26E1A">
      <w:pPr>
        <w:pStyle w:val="a5"/>
        <w:rPr>
          <w:rtl/>
        </w:rPr>
      </w:pPr>
      <w:r>
        <w:rPr>
          <w:rStyle w:val="a7"/>
        </w:rPr>
        <w:footnoteRef/>
      </w:r>
      <w:r>
        <w:rPr>
          <w:rtl/>
        </w:rPr>
        <w:t xml:space="preserve"> </w:t>
      </w:r>
      <w:r>
        <w:rPr>
          <w:rFonts w:hint="cs"/>
          <w:rtl/>
        </w:rPr>
        <w:t xml:space="preserve">עי' בספרו של הרב רא"ם הכהן 'העלם וגילוי' </w:t>
      </w:r>
      <w:r>
        <w:rPr>
          <w:rFonts w:hint="cs"/>
          <w:sz w:val="16"/>
          <w:szCs w:val="16"/>
          <w:rtl/>
        </w:rPr>
        <w:t>[עמ' 251-256]</w:t>
      </w:r>
      <w:r>
        <w:rPr>
          <w:rFonts w:hint="cs"/>
          <w:rtl/>
        </w:rPr>
        <w:t xml:space="preserve"> המבאר באריכות, על פי דרכו, את משמעותן הייחודית של ההזאות ביום הכיפורים.</w:t>
      </w:r>
    </w:p>
  </w:footnote>
  <w:footnote w:id="126">
    <w:p w:rsidR="00A527D5" w:rsidRDefault="00A527D5" w:rsidP="00C26E1A">
      <w:pPr>
        <w:pStyle w:val="a5"/>
        <w:rPr>
          <w:rtl/>
        </w:rPr>
      </w:pPr>
      <w:r>
        <w:rPr>
          <w:rStyle w:val="a7"/>
        </w:rPr>
        <w:footnoteRef/>
      </w:r>
      <w:r>
        <w:rPr>
          <w:rtl/>
        </w:rPr>
        <w:t xml:space="preserve"> </w:t>
      </w:r>
      <w:r>
        <w:rPr>
          <w:rFonts w:hint="cs"/>
          <w:rtl/>
        </w:rPr>
        <w:t xml:space="preserve">ברם עיין בדברות משה </w:t>
      </w:r>
      <w:r>
        <w:rPr>
          <w:rFonts w:hint="cs"/>
          <w:sz w:val="16"/>
          <w:szCs w:val="16"/>
          <w:rtl/>
        </w:rPr>
        <w:t>[???]</w:t>
      </w:r>
      <w:r>
        <w:rPr>
          <w:rFonts w:hint="cs"/>
          <w:rtl/>
        </w:rPr>
        <w:t xml:space="preserve"> שסבר שמכוח הצורך המעשי בשני שעירים תמימים כפי שהוא עולה בדברי רבא, נוצר דין עקרוני ביחס למעמדו של השעיר המשתלח. הגרי"ז </w:t>
      </w:r>
      <w:r>
        <w:rPr>
          <w:rFonts w:hint="cs"/>
          <w:sz w:val="16"/>
          <w:szCs w:val="16"/>
          <w:rtl/>
        </w:rPr>
        <w:t xml:space="preserve">[תמורה ו: ד"ה והנראה] </w:t>
      </w:r>
      <w:r>
        <w:rPr>
          <w:rFonts w:hint="cs"/>
          <w:rtl/>
        </w:rPr>
        <w:t>אף הוא הציע פרשנות שונה לדברי רבא בכדי שיהלמו את טענתו לפיה הכלל "אין הגורל קובע אלא בראוי לשם", מחייב דין תמימות אף לאחר ההגרלה, עיי"ש בדבריו.</w:t>
      </w:r>
    </w:p>
  </w:footnote>
  <w:footnote w:id="127">
    <w:p w:rsidR="00A527D5" w:rsidRDefault="00A527D5" w:rsidP="00C26E1A">
      <w:pPr>
        <w:pStyle w:val="a5"/>
      </w:pPr>
      <w:r>
        <w:rPr>
          <w:rStyle w:val="a7"/>
        </w:rPr>
        <w:footnoteRef/>
      </w:r>
      <w:r>
        <w:rPr>
          <w:rtl/>
        </w:rPr>
        <w:t xml:space="preserve"> </w:t>
      </w:r>
      <w:r>
        <w:rPr>
          <w:rFonts w:hint="cs"/>
          <w:rtl/>
        </w:rPr>
        <w:t xml:space="preserve">ייתכן שרש"י, אשר פירש את הכלל כפי שהצענו לעיל, פירש כך מתוך הנחה שהשוחט את השעיר המשתלח בחוץ אינו חייב משום שחוטי חוץ אף קודם הגרלה, כפי שנראה מדבריו במקום אחר בסוגיה </w:t>
      </w:r>
      <w:r>
        <w:rPr>
          <w:rFonts w:hint="cs"/>
          <w:sz w:val="16"/>
          <w:szCs w:val="16"/>
          <w:rtl/>
        </w:rPr>
        <w:t>[סג: ד"ה ולא]</w:t>
      </w:r>
      <w:r>
        <w:rPr>
          <w:rFonts w:hint="cs"/>
          <w:rtl/>
        </w:rPr>
        <w:t xml:space="preserve">, ועיין ריטב"א </w:t>
      </w:r>
      <w:r>
        <w:rPr>
          <w:rFonts w:hint="cs"/>
          <w:sz w:val="16"/>
          <w:szCs w:val="16"/>
          <w:rtl/>
        </w:rPr>
        <w:t>[שם ד"ה יש גורסים]</w:t>
      </w:r>
      <w:r>
        <w:rPr>
          <w:rFonts w:hint="cs"/>
          <w:rtl/>
        </w:rPr>
        <w:t xml:space="preserve">. ואולי רש"י מאמץ כאן את פרשנות הגמרא בזבחים </w:t>
      </w:r>
      <w:r>
        <w:rPr>
          <w:rFonts w:hint="cs"/>
          <w:sz w:val="16"/>
          <w:szCs w:val="16"/>
          <w:rtl/>
        </w:rPr>
        <w:t>[קיג:]</w:t>
      </w:r>
      <w:r>
        <w:rPr>
          <w:rFonts w:hint="cs"/>
          <w:rtl/>
        </w:rPr>
        <w:t xml:space="preserve"> לברייתא, בניגוד לעולה מתחילת הסוגיה ביומא, ואכמ"ל.</w:t>
      </w:r>
    </w:p>
  </w:footnote>
  <w:footnote w:id="128">
    <w:p w:rsidR="00A527D5" w:rsidRDefault="00A527D5" w:rsidP="00C26E1A">
      <w:pPr>
        <w:pStyle w:val="a5"/>
        <w:rPr>
          <w:rtl/>
        </w:rPr>
      </w:pPr>
      <w:r>
        <w:rPr>
          <w:rStyle w:val="a7"/>
        </w:rPr>
        <w:footnoteRef/>
      </w:r>
      <w:r>
        <w:rPr>
          <w:rtl/>
        </w:rPr>
        <w:t xml:space="preserve"> </w:t>
      </w:r>
      <w:r>
        <w:rPr>
          <w:rFonts w:hint="cs"/>
          <w:rtl/>
        </w:rPr>
        <w:t xml:space="preserve">כך דייק הגרי"ז </w:t>
      </w:r>
      <w:r>
        <w:rPr>
          <w:rFonts w:hint="cs"/>
          <w:sz w:val="16"/>
          <w:szCs w:val="16"/>
          <w:rtl/>
        </w:rPr>
        <w:t>[שם ד"ה והנה]</w:t>
      </w:r>
      <w:r>
        <w:rPr>
          <w:rFonts w:hint="cs"/>
          <w:rtl/>
        </w:rPr>
        <w:t xml:space="preserve">. ועיין בדבריו </w:t>
      </w:r>
      <w:r>
        <w:rPr>
          <w:rFonts w:hint="cs"/>
          <w:sz w:val="16"/>
          <w:szCs w:val="16"/>
          <w:rtl/>
        </w:rPr>
        <w:t xml:space="preserve">[שם ד"ה והנראה] </w:t>
      </w:r>
      <w:r>
        <w:rPr>
          <w:rFonts w:hint="cs"/>
          <w:rtl/>
        </w:rPr>
        <w:t>שתמך פרשנות זו ביסוד נוסף העולה בסוגיה בחולין, אשר נראה שזיהתה את הכלל עם הדרישה שעל שני השעירים להיות שווים. נוסיף, שלאור דברי הגמרא בחולין ניתן לשוב ולפרש את דברי הגמרא בתמורה באופן אחר. אכן, בהו"א ניתן היה להבין שמשמעות הכלל היא הצורך המעשי שהשעיר לה' יהיה ראוי לקורבן, והדרשה הנוספת המלמדת שבשעיר המשתלח יש דין תמימות, מלמדת שיש לשוב ולפרש את הכלל באופן אחר, לפיו מדובר בדרישה עקרונית המבוססת על מעמדו של השעיר המשתלח כקורבן.</w:t>
      </w:r>
    </w:p>
  </w:footnote>
  <w:footnote w:id="129">
    <w:p w:rsidR="00A527D5" w:rsidRDefault="00A527D5" w:rsidP="00C26E1A">
      <w:pPr>
        <w:pStyle w:val="a5"/>
        <w:rPr>
          <w:rtl/>
        </w:rPr>
      </w:pPr>
      <w:r>
        <w:rPr>
          <w:rStyle w:val="a7"/>
        </w:rPr>
        <w:footnoteRef/>
      </w:r>
      <w:r>
        <w:rPr>
          <w:rtl/>
        </w:rPr>
        <w:t xml:space="preserve"> </w:t>
      </w:r>
      <w:r>
        <w:rPr>
          <w:rFonts w:hint="cs"/>
          <w:rtl/>
        </w:rPr>
        <w:t xml:space="preserve">כיוון דומה עולה מדברי השיטה מקובצת </w:t>
      </w:r>
      <w:r>
        <w:rPr>
          <w:rFonts w:hint="cs"/>
          <w:sz w:val="16"/>
          <w:szCs w:val="16"/>
          <w:rtl/>
        </w:rPr>
        <w:t>[תמורה ו: בהשמטות ד"ה וחיללו]</w:t>
      </w:r>
      <w:r>
        <w:rPr>
          <w:rFonts w:hint="cs"/>
          <w:rtl/>
        </w:rPr>
        <w:t xml:space="preserve"> שהקשה מדוע הגמרא בתמורה העמידה את דברי הברייתא במקרה שחילל את השעיר בעל המום על שעיר בעל מום אחר, ולא הציגה את המקרה הפשוט שהמשלח שילח את השעיר בעל המום לצוק: "ותימה, למה ליה למימר וחיללו, לימא שהומם ושלחו לצוק דהיינו הקרבתו". מדבריו מבואר ששילוח השעיר מהצוק מוגדר כמעשה הקרבה.</w:t>
      </w:r>
    </w:p>
  </w:footnote>
  <w:footnote w:id="130">
    <w:p w:rsidR="00A527D5" w:rsidRDefault="00A527D5" w:rsidP="00C26E1A">
      <w:pPr>
        <w:pStyle w:val="a5"/>
      </w:pPr>
      <w:r>
        <w:rPr>
          <w:rStyle w:val="a7"/>
        </w:rPr>
        <w:footnoteRef/>
      </w:r>
      <w:r>
        <w:rPr>
          <w:rtl/>
        </w:rPr>
        <w:t xml:space="preserve"> </w:t>
      </w:r>
      <w:r>
        <w:rPr>
          <w:rFonts w:hint="cs"/>
          <w:rtl/>
        </w:rPr>
        <w:t xml:space="preserve">הרשב"א שם מציע פירוש אחר לדברי התוספתא, ולמסקנה אף מאמץ אותו ודוחה את האפשרות שהבאנו בגוף הדברים. </w:t>
      </w:r>
    </w:p>
  </w:footnote>
  <w:footnote w:id="131">
    <w:p w:rsidR="00A527D5" w:rsidRDefault="00A527D5" w:rsidP="00C26E1A">
      <w:pPr>
        <w:pStyle w:val="a5"/>
      </w:pPr>
      <w:r>
        <w:rPr>
          <w:rStyle w:val="a7"/>
        </w:rPr>
        <w:footnoteRef/>
      </w:r>
      <w:r>
        <w:rPr>
          <w:rtl/>
        </w:rPr>
        <w:t xml:space="preserve"> </w:t>
      </w:r>
      <w:r>
        <w:rPr>
          <w:rFonts w:hint="cs"/>
          <w:rtl/>
        </w:rPr>
        <w:t xml:space="preserve">לפי שיטה זו, צריך לומר שלולי הלימודים בברייתות היינו סוברים שמשום שהשעיר המשתלח הוא קרבן הקרב בחוץ ולא קרבן הנעשה בפנים, גם דיני הפסול שלו יהיו שונים משאר הקרבנות. הדברות משה </w:t>
      </w:r>
      <w:r>
        <w:rPr>
          <w:rFonts w:hint="cs"/>
          <w:sz w:val="16"/>
          <w:szCs w:val="16"/>
          <w:rtl/>
        </w:rPr>
        <w:t>[שם ד"ה ולכן]</w:t>
      </w:r>
      <w:r>
        <w:rPr>
          <w:rFonts w:hint="cs"/>
          <w:rtl/>
        </w:rPr>
        <w:t xml:space="preserve"> הוסיף שמכך שהגמרא עוסקת בביאור הצריכותות בין שני דיני הפטור, היא למעשה מכריעה כפי האפשרות השנייה, לפיה גם לאחר ההגרלה יש לשעיר מעמד של קורבן: "ולכן צריך לומר מזה שמצריך הגמרא להתרי קראי שבעל מום ומחוסר זמן ובלא זה היו למדין זה מזה, שהוא כדרך הב'... שלכן שייך שיהיה פסול מצד זה לעולם". לדבריו, אם הגמרא הייתה סוברת שלשעיר אין דין קורבן לאחר ההגרלה, לא הייתה כל הו"א להרחיב את דיני הפסול מעבר לפסולים המפורשים הנלמדים.</w:t>
      </w:r>
    </w:p>
  </w:footnote>
  <w:footnote w:id="132">
    <w:p w:rsidR="00A527D5" w:rsidRDefault="00A527D5" w:rsidP="00C26E1A">
      <w:pPr>
        <w:pStyle w:val="a5"/>
        <w:rPr>
          <w:rtl/>
        </w:rPr>
      </w:pPr>
      <w:r>
        <w:rPr>
          <w:rStyle w:val="a7"/>
        </w:rPr>
        <w:footnoteRef/>
      </w:r>
      <w:r>
        <w:rPr>
          <w:rtl/>
        </w:rPr>
        <w:t xml:space="preserve"> </w:t>
      </w:r>
      <w:r>
        <w:rPr>
          <w:rFonts w:hint="cs"/>
          <w:rtl/>
        </w:rPr>
        <w:t>המשנה בזבחים</w:t>
      </w:r>
      <w:r>
        <w:rPr>
          <w:rFonts w:hint="cs"/>
          <w:sz w:val="16"/>
          <w:szCs w:val="16"/>
          <w:rtl/>
        </w:rPr>
        <w:t xml:space="preserve"> [קיב.]</w:t>
      </w:r>
      <w:r>
        <w:rPr>
          <w:rFonts w:hint="cs"/>
          <w:rtl/>
        </w:rPr>
        <w:t xml:space="preserve"> קובעת שהשוחט את השעיר המשתלח בחוץ פטור משום שהשעיר המשתלח אינו ראוי לבוא אל פתח אוהל מועד. הגמרא </w:t>
      </w:r>
      <w:r>
        <w:rPr>
          <w:rFonts w:hint="cs"/>
          <w:sz w:val="16"/>
          <w:szCs w:val="16"/>
          <w:rtl/>
        </w:rPr>
        <w:t xml:space="preserve">[קיג:] </w:t>
      </w:r>
      <w:r>
        <w:rPr>
          <w:rFonts w:hint="cs"/>
          <w:rtl/>
        </w:rPr>
        <w:t>לעומת זאת מציינת לברייתא שממנה נראה שפטור השוחט את השעיר המשתלח בחוץ נובע מסיבה אחרת: "</w:t>
      </w:r>
      <w:r>
        <w:rPr>
          <w:rtl/>
        </w:rPr>
        <w:t>או קרבן שומע אני אפילו קדשי בדק הבית שנקראו קרבן שנאמר ונקרב את קרבן ה' ת"ל ואל פתח אהל מועד לא הביאו מי שראוי לבא באהל מועד יצאו קדשי בדק הבית שאינן ראוין אוציא את אלו שאינן ראוין ולא אוציא את שעיר המשתלח שהוא ראוי לבא אל פתח אהל מועד ת"ל לה' להוציא שעיר המשתלח שאינו מיוחד לה'</w:t>
      </w:r>
      <w:r>
        <w:rPr>
          <w:rFonts w:hint="cs"/>
          <w:rtl/>
        </w:rPr>
        <w:t xml:space="preserve">". מדברי הברייתא נראה שהסיבה שהשוחט את השעיר פטור היא משום שהשעיר המשתלח "אינו מיוחד לה'". הגמרא </w:t>
      </w:r>
      <w:r>
        <w:rPr>
          <w:rFonts w:hint="cs"/>
          <w:sz w:val="16"/>
          <w:szCs w:val="16"/>
          <w:rtl/>
        </w:rPr>
        <w:t xml:space="preserve">[שם] </w:t>
      </w:r>
      <w:r>
        <w:rPr>
          <w:rFonts w:hint="cs"/>
          <w:rtl/>
        </w:rPr>
        <w:t>מיישבת בין המשנה ובין הברייתא וקובעת למסקנה:</w:t>
      </w:r>
      <w:r>
        <w:rPr>
          <w:rtl/>
        </w:rPr>
        <w:t xml:space="preserve"> </w:t>
      </w:r>
      <w:r>
        <w:rPr>
          <w:rFonts w:hint="cs"/>
          <w:rtl/>
        </w:rPr>
        <w:t>"</w:t>
      </w:r>
      <w:r>
        <w:rPr>
          <w:rtl/>
        </w:rPr>
        <w:t>לא קשיא כאן קודם וידוי כאן לאחר וידוי</w:t>
      </w:r>
      <w:r>
        <w:rPr>
          <w:rFonts w:hint="cs"/>
          <w:rtl/>
        </w:rPr>
        <w:t xml:space="preserve">". כלומר, עד לרגע הוידוי השעיר ראוי לבוא אל פתח אוהל מועד, אך אינו מיוחד לה', ולאחר הוידוי השעיר אינו ראוי לבוא אל פתח אוהל מועד. לרבמ"ם כנראה הייתה גרסה שונה, לפיה הברייתא מרבה את השוחט את השעיר המשתלח בחוץ, וממילא משמעות הסתירה בין המשנה ובין הברייתא שונה, והמסקנה היא שעד הוידוי השוחט את השעיר בחוץ חייב, ולאחר הוידוי השוחט את השעיר פטור, ועיין כסף משנה </w:t>
      </w:r>
      <w:r>
        <w:rPr>
          <w:rFonts w:hint="cs"/>
          <w:sz w:val="16"/>
          <w:szCs w:val="16"/>
          <w:rtl/>
        </w:rPr>
        <w:t>[שם ד"ה וכתב]</w:t>
      </w:r>
      <w:r>
        <w:rPr>
          <w:rFonts w:hint="cs"/>
          <w:rtl/>
        </w:rPr>
        <w:t>.</w:t>
      </w:r>
    </w:p>
  </w:footnote>
  <w:footnote w:id="133">
    <w:p w:rsidR="00A527D5" w:rsidRDefault="00A527D5" w:rsidP="00C26E1A">
      <w:pPr>
        <w:pStyle w:val="a5"/>
        <w:rPr>
          <w:rtl/>
        </w:rPr>
      </w:pPr>
      <w:r>
        <w:rPr>
          <w:rStyle w:val="a7"/>
        </w:rPr>
        <w:footnoteRef/>
      </w:r>
      <w:r>
        <w:rPr>
          <w:rtl/>
        </w:rPr>
        <w:t xml:space="preserve"> </w:t>
      </w:r>
      <w:r>
        <w:rPr>
          <w:rFonts w:hint="cs"/>
          <w:rtl/>
        </w:rPr>
        <w:t>אף שהיה ניתן לומר שגם לאחר הוידוי נשמר מעמד הקרבן בשעיר המשתלח, ר' חיים סובר שקיים הכרח לומר שדין הקרבן בשעיר פוקע לאחר הוידוי: "</w:t>
      </w:r>
      <w:r>
        <w:rPr>
          <w:rtl/>
        </w:rPr>
        <w:t>אמנם ביומא (דף ס"ו ע"א) איתא איש להכשיר את הזר לשילוח ופריך פשיטא מהו דתימא כפרה כתיבא בי' קמ"ל, והיינו דהו"א דלא פקע מיני' אף לאחר וידוי דין קרבן שכבר חל עליו, וע"ז קמ"ל דאחר וידוי פקע מיני' דין קרבן ואין בו אלא מצות שילוח ודחיה לצוק</w:t>
      </w:r>
      <w:r>
        <w:rPr>
          <w:rFonts w:hint="cs"/>
          <w:rtl/>
        </w:rPr>
        <w:t>".</w:t>
      </w:r>
    </w:p>
  </w:footnote>
  <w:footnote w:id="134">
    <w:p w:rsidR="00A527D5" w:rsidRDefault="00A527D5" w:rsidP="00C26E1A">
      <w:pPr>
        <w:pStyle w:val="a5"/>
        <w:rPr>
          <w:rtl/>
        </w:rPr>
      </w:pPr>
      <w:r>
        <w:rPr>
          <w:rStyle w:val="a7"/>
        </w:rPr>
        <w:footnoteRef/>
      </w:r>
      <w:r>
        <w:rPr>
          <w:rtl/>
        </w:rPr>
        <w:t xml:space="preserve"> </w:t>
      </w:r>
      <w:r>
        <w:rPr>
          <w:rFonts w:hint="cs"/>
          <w:rtl/>
        </w:rPr>
        <w:t>עיי"ש בדבריו שהאריך לבאר את היחס בין שני דיני קרבן אלו, וכיצד תובנה זו מיישבת את היחס בין ההלכות השונות ברמב"ם בעניין דין השעיר המשתלח, ואכמ"ל.</w:t>
      </w:r>
    </w:p>
  </w:footnote>
  <w:footnote w:id="135">
    <w:p w:rsidR="00A527D5" w:rsidRDefault="00A527D5" w:rsidP="00C26E1A">
      <w:pPr>
        <w:pStyle w:val="a5"/>
        <w:rPr>
          <w:rtl/>
        </w:rPr>
      </w:pPr>
      <w:r>
        <w:rPr>
          <w:rStyle w:val="a7"/>
        </w:rPr>
        <w:footnoteRef/>
      </w:r>
      <w:r>
        <w:rPr>
          <w:rtl/>
        </w:rPr>
        <w:t xml:space="preserve"> </w:t>
      </w:r>
      <w:r>
        <w:rPr>
          <w:rFonts w:hint="cs"/>
          <w:rtl/>
        </w:rPr>
        <w:t xml:space="preserve">כך כאמור כתב המיוחס לר"ש ביחס לדברי הירושלמי </w:t>
      </w:r>
      <w:r>
        <w:rPr>
          <w:rFonts w:hint="cs"/>
          <w:sz w:val="16"/>
          <w:szCs w:val="16"/>
          <w:rtl/>
        </w:rPr>
        <w:t>[ספרא אחרי מות פ"ד ה"ח ד"ה עתי]</w:t>
      </w:r>
      <w:r>
        <w:rPr>
          <w:rFonts w:hint="cs"/>
          <w:rtl/>
        </w:rPr>
        <w:t xml:space="preserve">, וכך כתב גם במרכבת המשנה </w:t>
      </w:r>
      <w:r>
        <w:rPr>
          <w:rFonts w:hint="cs"/>
          <w:sz w:val="16"/>
          <w:szCs w:val="16"/>
          <w:rtl/>
        </w:rPr>
        <w:t>[עבודת יום הכיפורים פ"ה הי"ט]</w:t>
      </w:r>
      <w:r>
        <w:rPr>
          <w:rFonts w:hint="cs"/>
          <w:rtl/>
        </w:rPr>
        <w:t xml:space="preserve"> והוסיף שכך גם סובר הרמב"ם. אמנם העיר הרב שאול ליברמן </w:t>
      </w:r>
      <w:r>
        <w:rPr>
          <w:rFonts w:hint="cs"/>
          <w:sz w:val="16"/>
          <w:szCs w:val="16"/>
          <w:rtl/>
        </w:rPr>
        <w:t>[תוספתא כפשוטה עמ' 792 הע' 41]</w:t>
      </w:r>
      <w:r>
        <w:rPr>
          <w:rFonts w:hint="cs"/>
          <w:rtl/>
        </w:rPr>
        <w:t xml:space="preserve"> שאין הכרח להסיק זאת מדברי הירושלמי, וייתכן שהוא הדין בברח.</w:t>
      </w:r>
    </w:p>
  </w:footnote>
  <w:footnote w:id="136">
    <w:p w:rsidR="00A527D5" w:rsidRDefault="00A527D5" w:rsidP="00C26E1A">
      <w:pPr>
        <w:pStyle w:val="a5"/>
        <w:rPr>
          <w:rtl/>
        </w:rPr>
      </w:pPr>
      <w:r>
        <w:rPr>
          <w:rStyle w:val="a7"/>
        </w:rPr>
        <w:footnoteRef/>
      </w:r>
      <w:r>
        <w:rPr>
          <w:rtl/>
        </w:rPr>
        <w:t xml:space="preserve"> </w:t>
      </w:r>
      <w:r>
        <w:rPr>
          <w:rFonts w:hint="cs"/>
          <w:rtl/>
        </w:rPr>
        <w:t xml:space="preserve">אכן בשיעור הקודם ראינו שעל פי המיוחס לר"ש </w:t>
      </w:r>
      <w:r>
        <w:rPr>
          <w:rFonts w:hint="cs"/>
          <w:sz w:val="16"/>
          <w:szCs w:val="16"/>
          <w:rtl/>
        </w:rPr>
        <w:t>[ספרא אחרי מות פ"ד ה"ח ד"ה עתי]</w:t>
      </w:r>
      <w:r>
        <w:rPr>
          <w:rFonts w:hint="cs"/>
          <w:rtl/>
        </w:rPr>
        <w:t>, זו בדיוק הסיבה שיש צורך בדרשה מיוחדת המלמדת ששילוח השעיר דוחה את השבת. שכן אם שילוח השעיר מעכב, מדוע שלא ידחה את השבת. אך נראה שהגבורת ארי מבקש לתת טעם וסברא למסקנת הדרשה לפיה השילוח דוחה את השבת אף שאינו מעכב.</w:t>
      </w:r>
    </w:p>
  </w:footnote>
  <w:footnote w:id="137">
    <w:p w:rsidR="00A527D5" w:rsidRDefault="00A527D5" w:rsidP="00C26E1A">
      <w:pPr>
        <w:pStyle w:val="a5"/>
        <w:rPr>
          <w:rtl/>
        </w:rPr>
      </w:pPr>
      <w:r>
        <w:rPr>
          <w:rStyle w:val="a7"/>
        </w:rPr>
        <w:footnoteRef/>
      </w:r>
      <w:r>
        <w:rPr>
          <w:rtl/>
        </w:rPr>
        <w:t xml:space="preserve"> </w:t>
      </w:r>
      <w:r>
        <w:rPr>
          <w:rFonts w:hint="cs"/>
          <w:rtl/>
        </w:rPr>
        <w:t xml:space="preserve">הגבורת ארי </w:t>
      </w:r>
      <w:r>
        <w:rPr>
          <w:rFonts w:hint="cs"/>
          <w:sz w:val="16"/>
          <w:szCs w:val="16"/>
          <w:rtl/>
        </w:rPr>
        <w:t xml:space="preserve">[שם] </w:t>
      </w:r>
      <w:r>
        <w:rPr>
          <w:rFonts w:hint="cs"/>
          <w:rtl/>
        </w:rPr>
        <w:t>השווה את שילוח השעיר להקטרת איברי התמיד, שם לא ממתינים לצאת השבת בכדי להקטיר את האיברים, אף שהקטרתם כשרה כל הלילה, וזאת משום "</w:t>
      </w:r>
      <w:r>
        <w:rPr>
          <w:rtl/>
        </w:rPr>
        <w:t>שכבר ניתן שבת לדחות אצל שחיטת קרבן זה ניתנה נמי לדחות אצל הקטרתו משום חביבה מצוה</w:t>
      </w:r>
      <w:r>
        <w:rPr>
          <w:rFonts w:hint="cs"/>
          <w:rtl/>
        </w:rPr>
        <w:t xml:space="preserve">",  עיי"ש. </w:t>
      </w:r>
    </w:p>
  </w:footnote>
  <w:footnote w:id="138">
    <w:p w:rsidR="00A527D5" w:rsidRDefault="00A527D5" w:rsidP="00C26E1A">
      <w:pPr>
        <w:pStyle w:val="a5"/>
        <w:rPr>
          <w:rtl/>
        </w:rPr>
      </w:pPr>
      <w:r>
        <w:rPr>
          <w:rStyle w:val="a7"/>
        </w:rPr>
        <w:footnoteRef/>
      </w:r>
      <w:r>
        <w:rPr>
          <w:rtl/>
        </w:rPr>
        <w:t xml:space="preserve"> </w:t>
      </w:r>
      <w:r>
        <w:rPr>
          <w:rFonts w:hint="cs"/>
          <w:rtl/>
        </w:rPr>
        <w:t xml:space="preserve">כך גורס הגר"א בסוגיה, אך בגרסה לפנינו מופיע "קא משמע לן </w:t>
      </w:r>
      <w:r w:rsidRPr="00D21503">
        <w:rPr>
          <w:rFonts w:hint="cs"/>
          <w:b/>
          <w:bCs/>
          <w:rtl/>
        </w:rPr>
        <w:t>קסבר ר' יהודה</w:t>
      </w:r>
      <w:r>
        <w:rPr>
          <w:rFonts w:hint="cs"/>
          <w:rtl/>
        </w:rPr>
        <w:t>".</w:t>
      </w:r>
    </w:p>
  </w:footnote>
  <w:footnote w:id="139">
    <w:p w:rsidR="00A527D5" w:rsidRDefault="00A527D5" w:rsidP="00C26E1A">
      <w:pPr>
        <w:pStyle w:val="a5"/>
      </w:pPr>
      <w:r>
        <w:rPr>
          <w:rStyle w:val="a7"/>
        </w:rPr>
        <w:footnoteRef/>
      </w:r>
      <w:r>
        <w:rPr>
          <w:rtl/>
        </w:rPr>
        <w:t xml:space="preserve"> </w:t>
      </w:r>
      <w:r>
        <w:rPr>
          <w:rFonts w:hint="cs"/>
          <w:rtl/>
        </w:rPr>
        <w:t xml:space="preserve">המאירי בפירושו </w:t>
      </w:r>
      <w:r>
        <w:rPr>
          <w:rFonts w:hint="cs"/>
          <w:sz w:val="16"/>
          <w:szCs w:val="16"/>
          <w:rtl/>
        </w:rPr>
        <w:t xml:space="preserve">[שם] </w:t>
      </w:r>
      <w:r>
        <w:rPr>
          <w:rFonts w:hint="cs"/>
          <w:rtl/>
        </w:rPr>
        <w:t>מציין לשתי אפשרויות נוספות, ביניהן האפשרות שהוידוי בלבד מעכב את כפרת השעיר. ברם נראה שאף שגם בפירושו לדף מ. ציין המאירי לשלוש העמדות, מכך שהמאירי בוחר להדגיש בכל מקום אפשרות אחרת, מסתבר שאף הוא הרגיש בשניות הקיימת בין הסוגיה בדף מ: ובין הסוגיה בדף סח:.</w:t>
      </w:r>
    </w:p>
  </w:footnote>
  <w:footnote w:id="140">
    <w:p w:rsidR="00A527D5" w:rsidRDefault="00A527D5" w:rsidP="00C26E1A">
      <w:pPr>
        <w:pStyle w:val="a5"/>
      </w:pPr>
      <w:r>
        <w:rPr>
          <w:rStyle w:val="a7"/>
        </w:rPr>
        <w:footnoteRef/>
      </w:r>
      <w:r>
        <w:rPr>
          <w:rtl/>
        </w:rPr>
        <w:t xml:space="preserve"> </w:t>
      </w:r>
      <w:r>
        <w:rPr>
          <w:rFonts w:hint="cs"/>
          <w:rtl/>
        </w:rPr>
        <w:t xml:space="preserve">ובסגנון אחר כתב בספר 'דברות אריאל' </w:t>
      </w:r>
      <w:r>
        <w:rPr>
          <w:rFonts w:hint="cs"/>
          <w:sz w:val="16"/>
          <w:szCs w:val="16"/>
          <w:rtl/>
        </w:rPr>
        <w:t>[סימן מד]</w:t>
      </w:r>
      <w:r>
        <w:rPr>
          <w:rFonts w:hint="cs"/>
          <w:rtl/>
        </w:rPr>
        <w:t>: "</w:t>
      </w:r>
      <w:r w:rsidRPr="00445570">
        <w:rPr>
          <w:rtl/>
        </w:rPr>
        <w:t>וצ</w:t>
      </w:r>
      <w:r>
        <w:rPr>
          <w:rFonts w:hint="cs"/>
          <w:rtl/>
        </w:rPr>
        <w:t>"</w:t>
      </w:r>
      <w:r w:rsidRPr="00445570">
        <w:rPr>
          <w:rtl/>
        </w:rPr>
        <w:t>ל לשיטת רש"י ד</w:t>
      </w:r>
      <w:r>
        <w:rPr>
          <w:rFonts w:hint="cs"/>
          <w:rtl/>
        </w:rPr>
        <w:t>"</w:t>
      </w:r>
      <w:r w:rsidRPr="00445570">
        <w:rPr>
          <w:rtl/>
        </w:rPr>
        <w:t>מעכב</w:t>
      </w:r>
      <w:r>
        <w:rPr>
          <w:rFonts w:hint="cs"/>
          <w:rtl/>
        </w:rPr>
        <w:t>"</w:t>
      </w:r>
      <w:r w:rsidRPr="00445570">
        <w:rPr>
          <w:rtl/>
        </w:rPr>
        <w:t xml:space="preserve"> ו</w:t>
      </w:r>
      <w:r>
        <w:rPr>
          <w:rFonts w:hint="cs"/>
          <w:rtl/>
        </w:rPr>
        <w:t>"</w:t>
      </w:r>
      <w:r w:rsidRPr="00445570">
        <w:rPr>
          <w:rtl/>
        </w:rPr>
        <w:t>נעשית מצוותו וכיפר</w:t>
      </w:r>
      <w:r>
        <w:rPr>
          <w:rFonts w:hint="cs"/>
          <w:rtl/>
        </w:rPr>
        <w:t>"</w:t>
      </w:r>
      <w:r w:rsidRPr="00445570">
        <w:rPr>
          <w:rtl/>
        </w:rPr>
        <w:t xml:space="preserve"> תרי מילי </w:t>
      </w:r>
      <w:r>
        <w:rPr>
          <w:rFonts w:hint="cs"/>
          <w:rtl/>
        </w:rPr>
        <w:t>נינהו, "</w:t>
      </w:r>
      <w:r w:rsidRPr="00445570">
        <w:rPr>
          <w:rtl/>
        </w:rPr>
        <w:t>מעכב</w:t>
      </w:r>
      <w:r>
        <w:rPr>
          <w:rFonts w:hint="cs"/>
          <w:rtl/>
        </w:rPr>
        <w:t>"</w:t>
      </w:r>
      <w:r w:rsidRPr="00445570">
        <w:rPr>
          <w:rtl/>
        </w:rPr>
        <w:t xml:space="preserve"> הכוונה היא שהוא מעכב את השעיר </w:t>
      </w:r>
      <w:r>
        <w:rPr>
          <w:rFonts w:hint="cs"/>
          <w:rtl/>
        </w:rPr>
        <w:t>"</w:t>
      </w:r>
      <w:r w:rsidRPr="00445570">
        <w:rPr>
          <w:rtl/>
        </w:rPr>
        <w:t>הפנימי</w:t>
      </w:r>
      <w:r>
        <w:rPr>
          <w:rFonts w:hint="cs"/>
          <w:rtl/>
        </w:rPr>
        <w:t>",</w:t>
      </w:r>
      <w:r w:rsidRPr="00445570">
        <w:rPr>
          <w:rtl/>
        </w:rPr>
        <w:t xml:space="preserve"> ואם מת השעיר המשתלח </w:t>
      </w:r>
      <w:r>
        <w:rPr>
          <w:rFonts w:hint="cs"/>
          <w:rtl/>
        </w:rPr>
        <w:t xml:space="preserve">קודם זריקת דם הפנימי נפסל השעיר הפנימי עצמו כי השעירים מעכבים זה את זה... </w:t>
      </w:r>
      <w:r w:rsidRPr="00445570">
        <w:rPr>
          <w:rtl/>
        </w:rPr>
        <w:t>ומשא"כ אם מת השעיר המשתלח אחרי שכבר נזרק דם חבירו אז אין השעיר הפנימי נפסל כי בשעה שכיפר היה לו זוג ושפיר כיפר את מה שהשעיר הפנימי מכפר אבל אה"נ דמצוותו של המשתלח אינה מתקיימת עד שיגיע למדבר</w:t>
      </w:r>
      <w:r>
        <w:rPr>
          <w:rFonts w:hint="cs"/>
          <w:rtl/>
        </w:rPr>
        <w:t xml:space="preserve">... </w:t>
      </w:r>
      <w:r w:rsidRPr="00445570">
        <w:rPr>
          <w:rtl/>
        </w:rPr>
        <w:t>אלא שלדעת רש"י אם מת השעיר המשתלח קודם שהגיע למדבר אין מביאים אחר אע"פ שלא נתקיימה מצוותו ולא כיפר ואה"נ שבשנה זו לא תהוי להו כפרת שעיר המשתלח</w:t>
      </w:r>
      <w:r>
        <w:rPr>
          <w:rFonts w:hint="cs"/>
          <w:rtl/>
        </w:rPr>
        <w:t xml:space="preserve">". </w:t>
      </w:r>
    </w:p>
  </w:footnote>
  <w:footnote w:id="141">
    <w:p w:rsidR="00A527D5" w:rsidRDefault="00A527D5" w:rsidP="00C26E1A">
      <w:pPr>
        <w:pStyle w:val="a5"/>
        <w:rPr>
          <w:rtl/>
        </w:rPr>
      </w:pPr>
      <w:r>
        <w:rPr>
          <w:rStyle w:val="a7"/>
        </w:rPr>
        <w:footnoteRef/>
      </w:r>
      <w:r>
        <w:rPr>
          <w:rtl/>
        </w:rPr>
        <w:t xml:space="preserve"> </w:t>
      </w:r>
      <w:r>
        <w:rPr>
          <w:rFonts w:hint="cs"/>
          <w:rtl/>
        </w:rPr>
        <w:t xml:space="preserve">ואפילו לשיטת ר' נתן הסובר ש'חי נושא את עצמו', ומשום ש"חלה שאני", כמבואר בגמרא </w:t>
      </w:r>
      <w:r>
        <w:rPr>
          <w:rFonts w:hint="cs"/>
          <w:sz w:val="16"/>
          <w:szCs w:val="16"/>
          <w:rtl/>
        </w:rPr>
        <w:t>[שם]</w:t>
      </w:r>
      <w:r>
        <w:rPr>
          <w:rFonts w:hint="cs"/>
          <w:rtl/>
        </w:rPr>
        <w:t>.</w:t>
      </w:r>
    </w:p>
  </w:footnote>
  <w:footnote w:id="142">
    <w:p w:rsidR="00A527D5" w:rsidRDefault="00A527D5" w:rsidP="00C26E1A">
      <w:pPr>
        <w:pStyle w:val="a5"/>
      </w:pPr>
      <w:r>
        <w:rPr>
          <w:rStyle w:val="a7"/>
        </w:rPr>
        <w:footnoteRef/>
      </w:r>
      <w:r>
        <w:rPr>
          <w:rtl/>
        </w:rPr>
        <w:t xml:space="preserve"> </w:t>
      </w:r>
      <w:r>
        <w:rPr>
          <w:rFonts w:hint="cs"/>
          <w:rtl/>
        </w:rPr>
        <w:t xml:space="preserve">בתרגום המיוחס ליונתן </w:t>
      </w:r>
      <w:r>
        <w:rPr>
          <w:rFonts w:hint="cs"/>
          <w:sz w:val="16"/>
          <w:szCs w:val="16"/>
          <w:rtl/>
        </w:rPr>
        <w:t>[טז כב]</w:t>
      </w:r>
      <w:r>
        <w:rPr>
          <w:rFonts w:hint="cs"/>
          <w:rtl/>
        </w:rPr>
        <w:t xml:space="preserve"> כתוב: "</w:t>
      </w:r>
      <w:r>
        <w:rPr>
          <w:rtl/>
        </w:rPr>
        <w:t xml:space="preserve">ויסובר צפירא עלוי ית כל חוביהון לאתר צדיא ויפטור גברא ית צפירא למדברא דצוק ויסוק צפירא על טווריא דבית חרורי וידחיניה רוח זיקא מן קדם יי וימות </w:t>
      </w:r>
      <w:r>
        <w:rPr>
          <w:rFonts w:hint="cs"/>
          <w:rtl/>
        </w:rPr>
        <w:t xml:space="preserve">". מדברים אלו משמע שהדחייה נעשית על ידי 'רוח סופה', ולא קיימת דרישה לדחות את השעיר מהצוק אפילו לכתחילה. אמנם במשנה </w:t>
      </w:r>
      <w:r>
        <w:rPr>
          <w:rFonts w:hint="cs"/>
          <w:sz w:val="16"/>
          <w:szCs w:val="16"/>
          <w:rtl/>
        </w:rPr>
        <w:t>[סז.]</w:t>
      </w:r>
      <w:r>
        <w:rPr>
          <w:rFonts w:hint="cs"/>
          <w:rtl/>
        </w:rPr>
        <w:t xml:space="preserve"> נאמר בפירוש שיש חובה כזו, לכל הפחות לכתחילה. ועיין בדבר אברהם </w:t>
      </w:r>
      <w:r>
        <w:rPr>
          <w:rFonts w:hint="cs"/>
          <w:sz w:val="16"/>
          <w:szCs w:val="16"/>
          <w:rtl/>
        </w:rPr>
        <w:t xml:space="preserve">[ח"ב סימן ח] </w:t>
      </w:r>
      <w:r>
        <w:rPr>
          <w:rFonts w:hint="cs"/>
          <w:rtl/>
        </w:rPr>
        <w:t>שהאריך לעסוק בשאלה האם המתת השעיר היא חלק ממצוות הדחייה, או שמא די בדחייה הראויה להמית. ושם יישב את קושיית השאגת אריה בעניין אחר, עיי"ש.</w:t>
      </w:r>
    </w:p>
  </w:footnote>
  <w:footnote w:id="143">
    <w:p w:rsidR="00A527D5" w:rsidRDefault="00A527D5" w:rsidP="00C26E1A">
      <w:pPr>
        <w:pStyle w:val="a5"/>
      </w:pPr>
      <w:r>
        <w:rPr>
          <w:rStyle w:val="a7"/>
        </w:rPr>
        <w:footnoteRef/>
      </w:r>
      <w:r>
        <w:rPr>
          <w:rtl/>
        </w:rPr>
        <w:t xml:space="preserve"> </w:t>
      </w:r>
      <w:r>
        <w:rPr>
          <w:rFonts w:hint="cs"/>
          <w:rtl/>
        </w:rPr>
        <w:t xml:space="preserve">עיין בשיח יצחק </w:t>
      </w:r>
      <w:r>
        <w:rPr>
          <w:rFonts w:hint="cs"/>
          <w:sz w:val="16"/>
          <w:szCs w:val="16"/>
          <w:rtl/>
        </w:rPr>
        <w:t xml:space="preserve">[סו: ד"ה רש"י ד"ה למאי הלכתא] </w:t>
      </w:r>
      <w:r>
        <w:rPr>
          <w:rFonts w:hint="cs"/>
          <w:rtl/>
        </w:rPr>
        <w:t xml:space="preserve">שביאר את קושיית הגמרא בעניין אחר: "אכתי אימא דלהא למה לי קרא, דמאי שנא משאר מלאכות שהותרו בו ביום הכיפורים שהא אם לא מת ירד אחריו וימיתנו כדלקמן... יהיה שבת או יום הכיפורים דכיון דקרא סתמא כתיב... מהיכא תיתי לחלק בין שבת ליום הכיפורים דאיצטריך קרא לרבות? ומשני לומר שאם היה חולה וכו' ולא תימא דכיון דיש תקנה ליקח אחר במקומו בזה לא התיר הכתוב, קא משמע לן קרא דשבת הותרה לגמרי לסדר יום הכיפורים ומרכיבו על כתיפו ואין בזה איסור כלל". לפי דבריו יוצא שברור שגם לפי הספרא דחיית השעיר דוחה את השבת, אלא שלכך לא נצרכה דרשה מיוחדת. הדרשה נועדה לחדש שיש לראות דין דחיית שילוח השעיר כ'הותרה', ולכן גם אם אפשר היה להימנע מחילול השבת בתהליך שילוח השעיר, מחדש הספרא שאין צורך בכך. </w:t>
      </w:r>
    </w:p>
  </w:footnote>
  <w:footnote w:id="144">
    <w:p w:rsidR="00A527D5" w:rsidRDefault="00A527D5" w:rsidP="00C26E1A">
      <w:pPr>
        <w:pStyle w:val="a5"/>
      </w:pPr>
      <w:r>
        <w:rPr>
          <w:rStyle w:val="a7"/>
        </w:rPr>
        <w:footnoteRef/>
      </w:r>
      <w:r>
        <w:rPr>
          <w:rtl/>
        </w:rPr>
        <w:t xml:space="preserve"> </w:t>
      </w:r>
      <w:r>
        <w:rPr>
          <w:rFonts w:hint="cs"/>
          <w:rtl/>
        </w:rPr>
        <w:t xml:space="preserve">הגרי"ד מוסיף לבאר כך את היחס בין פסיקת הרמב"ם </w:t>
      </w:r>
      <w:r>
        <w:rPr>
          <w:rFonts w:hint="cs"/>
          <w:sz w:val="16"/>
          <w:szCs w:val="16"/>
          <w:rtl/>
        </w:rPr>
        <w:t xml:space="preserve">[עבודת יום הכיפורים פ"ג ה"ח] </w:t>
      </w:r>
      <w:r>
        <w:rPr>
          <w:rFonts w:hint="cs"/>
          <w:rtl/>
        </w:rPr>
        <w:t xml:space="preserve">לפיה "כיון שהגיע שעיר למדבר יצא כהן גדול לעזרת הנשים לקרות בתורה", המבוססת על דברי הגמרא בדף סח:, ובין פסיקת הרמב"ם בעניין טומאת בגדי המשלח </w:t>
      </w:r>
      <w:r>
        <w:rPr>
          <w:rFonts w:hint="cs"/>
          <w:sz w:val="16"/>
          <w:szCs w:val="16"/>
          <w:rtl/>
        </w:rPr>
        <w:t>[פרה אדומה פ"ה ה"ו]</w:t>
      </w:r>
      <w:r>
        <w:rPr>
          <w:rFonts w:hint="cs"/>
          <w:rtl/>
        </w:rPr>
        <w:t xml:space="preserve">: "ומאימתי מטמא בגדים המשלח את השעיר? משיצא חוץ לחומת ירושלים עד שעת דחייתו לעזאזל", על פי הברייתא המובאת בדברי הגמרא </w:t>
      </w:r>
      <w:r>
        <w:rPr>
          <w:rFonts w:hint="cs"/>
          <w:sz w:val="16"/>
          <w:szCs w:val="16"/>
          <w:rtl/>
        </w:rPr>
        <w:t>[סז:]</w:t>
      </w:r>
      <w:r>
        <w:rPr>
          <w:rFonts w:hint="cs"/>
          <w:rtl/>
        </w:rPr>
        <w:t>. לדבריו, הגעת השעיר למדבר היא מצוות הכהן הגדול, ורק לאחריה יכול הכהן הגדול להמשיך בסדר העבודה. ברם, דחיית השעיר לעזאזל הינה קיום שילוח ב'חפצא' של השעיר, המשלים את תהליך השילוח כולו, וזו גם הסיבה שטומאת הבגדים נוהגת עד לשלב זה, עיי"ש.</w:t>
      </w:r>
    </w:p>
  </w:footnote>
  <w:footnote w:id="145">
    <w:p w:rsidR="00A527D5" w:rsidRDefault="00A527D5" w:rsidP="00C26E1A">
      <w:pPr>
        <w:pStyle w:val="a5"/>
      </w:pPr>
      <w:r>
        <w:rPr>
          <w:rStyle w:val="a7"/>
        </w:rPr>
        <w:footnoteRef/>
      </w:r>
      <w:r>
        <w:rPr>
          <w:rtl/>
        </w:rPr>
        <w:t xml:space="preserve"> </w:t>
      </w:r>
      <w:r>
        <w:rPr>
          <w:rFonts w:hint="cs"/>
          <w:rtl/>
        </w:rPr>
        <w:t xml:space="preserve">בעולת נדבה </w:t>
      </w:r>
      <w:r>
        <w:rPr>
          <w:rFonts w:hint="cs"/>
          <w:sz w:val="16"/>
          <w:szCs w:val="16"/>
          <w:rtl/>
        </w:rPr>
        <w:t>[ויקרא א, ד]</w:t>
      </w:r>
      <w:r>
        <w:rPr>
          <w:rFonts w:hint="cs"/>
          <w:rtl/>
        </w:rPr>
        <w:t xml:space="preserve">, בקרבן שלמים </w:t>
      </w:r>
      <w:r>
        <w:rPr>
          <w:rFonts w:hint="cs"/>
          <w:sz w:val="16"/>
          <w:szCs w:val="16"/>
          <w:rtl/>
        </w:rPr>
        <w:t>[ג, ב; ד, ח; ג, יג]</w:t>
      </w:r>
      <w:r>
        <w:rPr>
          <w:rFonts w:hint="cs"/>
          <w:rtl/>
        </w:rPr>
        <w:t xml:space="preserve"> ובקרבן חטאת </w:t>
      </w:r>
      <w:r>
        <w:rPr>
          <w:rFonts w:hint="cs"/>
          <w:sz w:val="16"/>
          <w:szCs w:val="16"/>
          <w:rtl/>
        </w:rPr>
        <w:t>[ד, ד; ד, דטו; ד, כט; ד, לג]</w:t>
      </w:r>
      <w:r>
        <w:rPr>
          <w:rFonts w:hint="cs"/>
          <w:rtl/>
        </w:rPr>
        <w:t>.</w:t>
      </w:r>
    </w:p>
  </w:footnote>
  <w:footnote w:id="146">
    <w:p w:rsidR="00A527D5" w:rsidRDefault="00A527D5" w:rsidP="00C26E1A">
      <w:pPr>
        <w:pStyle w:val="a5"/>
        <w:rPr>
          <w:rtl/>
        </w:rPr>
      </w:pPr>
      <w:r>
        <w:rPr>
          <w:rStyle w:val="a7"/>
        </w:rPr>
        <w:footnoteRef/>
      </w:r>
      <w:r>
        <w:rPr>
          <w:rtl/>
        </w:rPr>
        <w:t xml:space="preserve"> </w:t>
      </w:r>
      <w:r w:rsidRPr="003A1420">
        <w:rPr>
          <w:rtl/>
        </w:rPr>
        <w:t>בספרי [</w:t>
      </w:r>
      <w:r w:rsidRPr="003A1420">
        <w:rPr>
          <w:sz w:val="16"/>
          <w:szCs w:val="16"/>
          <w:rtl/>
        </w:rPr>
        <w:t>פרשת נשא פסקה ב]</w:t>
      </w:r>
      <w:r w:rsidRPr="003A1420">
        <w:rPr>
          <w:rtl/>
        </w:rPr>
        <w:t xml:space="preserve"> ובספרי זוטא </w:t>
      </w:r>
      <w:r w:rsidRPr="003A1420">
        <w:rPr>
          <w:sz w:val="16"/>
          <w:szCs w:val="16"/>
          <w:rtl/>
        </w:rPr>
        <w:t>[במדבר ה, ה]</w:t>
      </w:r>
      <w:r w:rsidRPr="003A1420">
        <w:rPr>
          <w:rtl/>
        </w:rPr>
        <w:t xml:space="preserve"> נאמר כי חובת הווידוי קיימת בכל החטאות והאשמות.</w:t>
      </w:r>
    </w:p>
  </w:footnote>
  <w:footnote w:id="147">
    <w:p w:rsidR="00A527D5" w:rsidRPr="00990A93" w:rsidRDefault="00A527D5" w:rsidP="00C26E1A">
      <w:pPr>
        <w:pStyle w:val="a5"/>
      </w:pPr>
      <w:r>
        <w:rPr>
          <w:rStyle w:val="a7"/>
        </w:rPr>
        <w:footnoteRef/>
      </w:r>
      <w:r>
        <w:rPr>
          <w:rtl/>
        </w:rPr>
        <w:t xml:space="preserve"> </w:t>
      </w:r>
      <w:r>
        <w:rPr>
          <w:rFonts w:hint="cs"/>
          <w:rtl/>
        </w:rPr>
        <w:t xml:space="preserve">כדברי התורה </w:t>
      </w:r>
      <w:r>
        <w:rPr>
          <w:rFonts w:hint="cs"/>
          <w:sz w:val="16"/>
          <w:szCs w:val="16"/>
          <w:rtl/>
        </w:rPr>
        <w:t>[ויקרא טז, כא-כב]</w:t>
      </w:r>
      <w:r>
        <w:rPr>
          <w:rFonts w:hint="cs"/>
          <w:rtl/>
        </w:rPr>
        <w:t>: "</w:t>
      </w:r>
      <w:r w:rsidRPr="00990A93">
        <w:rPr>
          <w:rtl/>
        </w:rPr>
        <w:t>וסמך אהרן את שתי ידו ידיו על ראש השעיר החי והתודה עליו את כל עונת בני ישראל ואת כל פשעיהם לכל חטאתם</w:t>
      </w:r>
      <w:r>
        <w:rPr>
          <w:rFonts w:hint="cs"/>
          <w:rtl/>
        </w:rPr>
        <w:t>,</w:t>
      </w:r>
      <w:r w:rsidRPr="00990A93">
        <w:rPr>
          <w:rtl/>
        </w:rPr>
        <w:t xml:space="preserve"> </w:t>
      </w:r>
      <w:r w:rsidRPr="00990A93">
        <w:rPr>
          <w:b/>
          <w:bCs/>
          <w:rtl/>
        </w:rPr>
        <w:t>ונתן אתם על ראש השעיר</w:t>
      </w:r>
      <w:r>
        <w:rPr>
          <w:rtl/>
        </w:rPr>
        <w:t xml:space="preserve"> ושלח ביד איש עתי המדברה</w:t>
      </w:r>
      <w:r>
        <w:rPr>
          <w:rFonts w:hint="cs"/>
          <w:rtl/>
        </w:rPr>
        <w:t>.</w:t>
      </w:r>
      <w:r w:rsidRPr="00990A93">
        <w:rPr>
          <w:rtl/>
        </w:rPr>
        <w:t xml:space="preserve"> </w:t>
      </w:r>
      <w:r w:rsidRPr="00990A93">
        <w:rPr>
          <w:b/>
          <w:bCs/>
          <w:rtl/>
        </w:rPr>
        <w:t>ונשא השעיר עליו את כל עונתם אל ארץ גזרה</w:t>
      </w:r>
      <w:r>
        <w:rPr>
          <w:rFonts w:hint="cs"/>
          <w:rtl/>
        </w:rPr>
        <w:t>,</w:t>
      </w:r>
      <w:r w:rsidRPr="00990A93">
        <w:rPr>
          <w:rtl/>
        </w:rPr>
        <w:t xml:space="preserve"> ושלח את השעיר במדבר</w:t>
      </w:r>
      <w:r>
        <w:rPr>
          <w:rFonts w:hint="cs"/>
          <w:rtl/>
        </w:rPr>
        <w:t>".</w:t>
      </w:r>
    </w:p>
  </w:footnote>
  <w:footnote w:id="148">
    <w:p w:rsidR="00A527D5" w:rsidRPr="003A1420" w:rsidRDefault="00A527D5" w:rsidP="00C26E1A">
      <w:pPr>
        <w:pStyle w:val="a5"/>
      </w:pPr>
      <w:r>
        <w:rPr>
          <w:rStyle w:val="a7"/>
        </w:rPr>
        <w:footnoteRef/>
      </w:r>
      <w:r>
        <w:rPr>
          <w:rtl/>
        </w:rPr>
        <w:t xml:space="preserve"> </w:t>
      </w:r>
      <w:r>
        <w:rPr>
          <w:rFonts w:hint="cs"/>
          <w:rtl/>
        </w:rPr>
        <w:t xml:space="preserve">עי' בדברי הרד"צ הופמן </w:t>
      </w:r>
      <w:r>
        <w:rPr>
          <w:rFonts w:hint="cs"/>
          <w:sz w:val="16"/>
          <w:szCs w:val="16"/>
          <w:rtl/>
        </w:rPr>
        <w:t>[ויקרא ח"א עמ' פח-פט]</w:t>
      </w:r>
      <w:r>
        <w:rPr>
          <w:rFonts w:hint="cs"/>
          <w:rtl/>
        </w:rPr>
        <w:t xml:space="preserve"> המרחיב בביאור משמעותה של הסמיכה, ולטענתו הסמיכה קושרת בין הקרבן לבין האדם, והיא ביטוי לכך שהקרבן עומד תחת האדם ומרצה עליו.</w:t>
      </w:r>
    </w:p>
  </w:footnote>
  <w:footnote w:id="149">
    <w:p w:rsidR="00A527D5" w:rsidRPr="00E763E4" w:rsidRDefault="00A527D5" w:rsidP="00C26E1A">
      <w:pPr>
        <w:pStyle w:val="a5"/>
      </w:pPr>
      <w:r>
        <w:rPr>
          <w:rStyle w:val="a7"/>
        </w:rPr>
        <w:footnoteRef/>
      </w:r>
      <w:r>
        <w:rPr>
          <w:rtl/>
        </w:rPr>
        <w:t xml:space="preserve"> </w:t>
      </w:r>
      <w:r>
        <w:rPr>
          <w:rFonts w:hint="cs"/>
          <w:rtl/>
        </w:rPr>
        <w:t xml:space="preserve">מקור הברייתא בתוספתא </w:t>
      </w:r>
      <w:r>
        <w:rPr>
          <w:rFonts w:hint="cs"/>
          <w:sz w:val="16"/>
          <w:szCs w:val="16"/>
          <w:rtl/>
        </w:rPr>
        <w:t>[מנחות פ"י הי"ב]</w:t>
      </w:r>
      <w:r>
        <w:rPr>
          <w:rFonts w:hint="cs"/>
          <w:rtl/>
        </w:rPr>
        <w:t>.</w:t>
      </w:r>
    </w:p>
  </w:footnote>
  <w:footnote w:id="150">
    <w:p w:rsidR="00A527D5" w:rsidRDefault="00A527D5" w:rsidP="00C26E1A">
      <w:pPr>
        <w:pStyle w:val="a5"/>
        <w:rPr>
          <w:rtl/>
        </w:rPr>
      </w:pPr>
      <w:r>
        <w:rPr>
          <w:rStyle w:val="a7"/>
        </w:rPr>
        <w:footnoteRef/>
      </w:r>
      <w:r>
        <w:rPr>
          <w:rtl/>
        </w:rPr>
        <w:t xml:space="preserve"> </w:t>
      </w:r>
      <w:r>
        <w:rPr>
          <w:rFonts w:hint="cs"/>
          <w:rtl/>
        </w:rPr>
        <w:t>כפי שנראה מן הכתובים המדגישים את משמעות הווידוי ומפרטים כי על ידו השעיר 'נושא' את עוונות בני ישראל.</w:t>
      </w:r>
    </w:p>
  </w:footnote>
  <w:footnote w:id="151">
    <w:p w:rsidR="00A527D5" w:rsidRPr="00F65C90" w:rsidRDefault="00A527D5" w:rsidP="00C26E1A">
      <w:pPr>
        <w:pStyle w:val="a5"/>
        <w:rPr>
          <w:rtl/>
        </w:rPr>
      </w:pPr>
      <w:r>
        <w:rPr>
          <w:rStyle w:val="a7"/>
        </w:rPr>
        <w:footnoteRef/>
      </w:r>
      <w:r>
        <w:rPr>
          <w:rtl/>
        </w:rPr>
        <w:t xml:space="preserve"> </w:t>
      </w:r>
      <w:r>
        <w:rPr>
          <w:rFonts w:hint="cs"/>
          <w:rtl/>
        </w:rPr>
        <w:t xml:space="preserve">עי' תורת הקודש </w:t>
      </w:r>
      <w:r>
        <w:rPr>
          <w:rFonts w:hint="cs"/>
          <w:sz w:val="16"/>
          <w:szCs w:val="16"/>
          <w:rtl/>
        </w:rPr>
        <w:t>[ח"ג סי' ה]</w:t>
      </w:r>
      <w:r>
        <w:rPr>
          <w:rFonts w:hint="cs"/>
          <w:rtl/>
        </w:rPr>
        <w:t xml:space="preserve"> הדן בהבנה זו בהרחבה. </w:t>
      </w:r>
    </w:p>
  </w:footnote>
  <w:footnote w:id="152">
    <w:p w:rsidR="00A527D5" w:rsidRPr="000365EE" w:rsidRDefault="00A527D5" w:rsidP="00C26E1A">
      <w:pPr>
        <w:pStyle w:val="a5"/>
        <w:rPr>
          <w:rtl/>
        </w:rPr>
      </w:pPr>
      <w:r>
        <w:rPr>
          <w:rStyle w:val="a7"/>
        </w:rPr>
        <w:footnoteRef/>
      </w:r>
      <w:r>
        <w:rPr>
          <w:rtl/>
        </w:rPr>
        <w:t xml:space="preserve"> </w:t>
      </w:r>
      <w:r>
        <w:rPr>
          <w:rFonts w:hint="cs"/>
          <w:rtl/>
        </w:rPr>
        <w:t xml:space="preserve">כמפורש בכתוב </w:t>
      </w:r>
      <w:r>
        <w:rPr>
          <w:rFonts w:hint="cs"/>
          <w:sz w:val="16"/>
          <w:szCs w:val="16"/>
          <w:rtl/>
        </w:rPr>
        <w:t>[ויקרא ג, ב; שם, ח; שם, יג]</w:t>
      </w:r>
      <w:r>
        <w:rPr>
          <w:rFonts w:hint="cs"/>
          <w:rtl/>
        </w:rPr>
        <w:t>.</w:t>
      </w:r>
    </w:p>
  </w:footnote>
  <w:footnote w:id="153">
    <w:p w:rsidR="00A527D5" w:rsidRPr="00767322" w:rsidRDefault="00A527D5" w:rsidP="00C26E1A">
      <w:pPr>
        <w:pStyle w:val="a5"/>
        <w:rPr>
          <w:rtl/>
        </w:rPr>
      </w:pPr>
      <w:r>
        <w:rPr>
          <w:rStyle w:val="a7"/>
        </w:rPr>
        <w:footnoteRef/>
      </w:r>
      <w:r>
        <w:rPr>
          <w:rtl/>
        </w:rPr>
        <w:t xml:space="preserve"> </w:t>
      </w:r>
      <w:r>
        <w:rPr>
          <w:rFonts w:hint="cs"/>
          <w:rtl/>
        </w:rPr>
        <w:t xml:space="preserve">שיטה זו, כי מתוודים על קרבן שלמים, עולה מדברי רש"י </w:t>
      </w:r>
      <w:r>
        <w:rPr>
          <w:rFonts w:hint="cs"/>
          <w:sz w:val="16"/>
          <w:szCs w:val="16"/>
          <w:rtl/>
        </w:rPr>
        <w:t>[תענית כג. ד"ה הביאו]</w:t>
      </w:r>
      <w:r>
        <w:rPr>
          <w:rFonts w:hint="cs"/>
          <w:rtl/>
        </w:rPr>
        <w:t xml:space="preserve">; ועי' גבורת ארי </w:t>
      </w:r>
      <w:r>
        <w:rPr>
          <w:rFonts w:hint="cs"/>
          <w:sz w:val="16"/>
          <w:szCs w:val="16"/>
          <w:rtl/>
        </w:rPr>
        <w:t>[שם, ד"ה הביאו]</w:t>
      </w:r>
      <w:r>
        <w:rPr>
          <w:rFonts w:hint="cs"/>
          <w:rtl/>
        </w:rPr>
        <w:t xml:space="preserve"> התמה על דבריו. [וע"ע תורת הקודש </w:t>
      </w:r>
      <w:r>
        <w:rPr>
          <w:rFonts w:hint="cs"/>
          <w:sz w:val="16"/>
          <w:szCs w:val="16"/>
          <w:rtl/>
        </w:rPr>
        <w:t>[ח"ג סי' ה אות א]</w:t>
      </w:r>
      <w:r>
        <w:rPr>
          <w:rFonts w:hint="cs"/>
          <w:rtl/>
        </w:rPr>
        <w:t xml:space="preserve"> המביא מקורות נוספים הנוקטים ששלמים באים לכפרה].</w:t>
      </w:r>
      <w:r>
        <w:rPr>
          <w:rtl/>
        </w:rPr>
        <w:tab/>
      </w:r>
    </w:p>
  </w:footnote>
  <w:footnote w:id="154">
    <w:p w:rsidR="00A527D5" w:rsidRPr="00853157" w:rsidRDefault="00A527D5" w:rsidP="00C26E1A">
      <w:pPr>
        <w:pStyle w:val="a5"/>
      </w:pPr>
      <w:r>
        <w:rPr>
          <w:rStyle w:val="a7"/>
        </w:rPr>
        <w:footnoteRef/>
      </w:r>
      <w:r>
        <w:rPr>
          <w:rtl/>
        </w:rPr>
        <w:t xml:space="preserve"> </w:t>
      </w:r>
      <w:r>
        <w:rPr>
          <w:rFonts w:hint="cs"/>
          <w:rtl/>
        </w:rPr>
        <w:t xml:space="preserve">עם זאת, מדברי הרמב"ם בהלכות תשובה </w:t>
      </w:r>
      <w:r>
        <w:rPr>
          <w:rFonts w:hint="cs"/>
          <w:sz w:val="16"/>
          <w:szCs w:val="16"/>
          <w:rtl/>
        </w:rPr>
        <w:t>[פ"א ה"א-ב]</w:t>
      </w:r>
      <w:r>
        <w:rPr>
          <w:rFonts w:hint="cs"/>
          <w:rtl/>
        </w:rPr>
        <w:t xml:space="preserve"> עולה כי בקרבנות קיימת גם חובת ווידוי, שכן כפרת הקרבן תלויה בווידוי. ואם כן, הווידוי הוא גם דין בסמיכה והוא גם מהווה חיוב בפני עצמו. [וכן כותב משאת המלך </w:t>
      </w:r>
      <w:r>
        <w:rPr>
          <w:rFonts w:hint="cs"/>
          <w:sz w:val="16"/>
          <w:szCs w:val="16"/>
          <w:rtl/>
        </w:rPr>
        <w:t>[שם]</w:t>
      </w:r>
      <w:r>
        <w:rPr>
          <w:rFonts w:hint="cs"/>
          <w:rtl/>
        </w:rPr>
        <w:t>].</w:t>
      </w:r>
    </w:p>
  </w:footnote>
  <w:footnote w:id="155">
    <w:p w:rsidR="00A527D5" w:rsidRPr="0025343C" w:rsidRDefault="00A527D5" w:rsidP="00C26E1A">
      <w:pPr>
        <w:pStyle w:val="a5"/>
        <w:rPr>
          <w:rtl/>
        </w:rPr>
      </w:pPr>
      <w:r>
        <w:rPr>
          <w:rStyle w:val="a7"/>
        </w:rPr>
        <w:footnoteRef/>
      </w:r>
      <w:r>
        <w:rPr>
          <w:rtl/>
        </w:rPr>
        <w:t xml:space="preserve"> </w:t>
      </w:r>
      <w:r>
        <w:rPr>
          <w:rFonts w:hint="cs"/>
          <w:rtl/>
        </w:rPr>
        <w:t xml:space="preserve">ניתן להגדיר את שיטת הרמב"ם בגדר הסמיכה באופן מעט שונה. לשיטתו, </w:t>
      </w:r>
      <w:r>
        <w:rPr>
          <w:rFonts w:hint="cs"/>
          <w:rtl/>
          <w:lang w:eastAsia="he-IL"/>
        </w:rPr>
        <w:t xml:space="preserve">הסמיכה קושרת בין הבעלים לבין הקרבן, ולשם כך בשעת הסמיכה יש לומר דברים המביעים את רחשי ליבו של </w:t>
      </w:r>
      <w:r w:rsidRPr="0025343C">
        <w:rPr>
          <w:rFonts w:hint="cs"/>
          <w:rtl/>
          <w:lang w:eastAsia="he-IL"/>
        </w:rPr>
        <w:t>בעל הקרבן בשעת הבאת הקרבן. בהתאם לכך, טוען הרמב"ם, שכפי שבקרבנות הבאים על חטא בעל הקרבין מביע בשעת הסמיכה את חרטתו ושיבתו מחטאו, בקרבנות שלמים עליו לומר דברי שבח ולהביע את אהבת ה' שבלבו ואת חפץ קרבתו</w:t>
      </w:r>
      <w:r w:rsidRPr="0025343C">
        <w:rPr>
          <w:rFonts w:hint="cs"/>
          <w:rtl/>
        </w:rPr>
        <w:t xml:space="preserve">. [יש לדון על פי ההבנות השונות בגדר חובת הסמיכה, האם היא חובת הקרבן או חובת המקריב; עי' על כך במאמרו המקיף של ידידי הרב אהרון ווסר: 'מצוות הסמיכה בקרבנות' </w:t>
      </w:r>
      <w:r w:rsidRPr="0025343C">
        <w:rPr>
          <w:rFonts w:hint="cs"/>
          <w:sz w:val="16"/>
          <w:szCs w:val="16"/>
          <w:rtl/>
        </w:rPr>
        <w:t>['מעלין בקודש' לו עמ' 85-116]</w:t>
      </w:r>
      <w:r w:rsidRPr="0025343C">
        <w:rPr>
          <w:rFonts w:hint="cs"/>
          <w:rtl/>
        </w:rPr>
        <w:t>].</w:t>
      </w:r>
    </w:p>
  </w:footnote>
  <w:footnote w:id="156">
    <w:p w:rsidR="00A527D5" w:rsidRPr="0074762F" w:rsidRDefault="00A527D5" w:rsidP="00C26E1A">
      <w:pPr>
        <w:pStyle w:val="a5"/>
      </w:pPr>
      <w:r>
        <w:rPr>
          <w:rStyle w:val="a7"/>
        </w:rPr>
        <w:footnoteRef/>
      </w:r>
      <w:r>
        <w:rPr>
          <w:rtl/>
        </w:rPr>
        <w:t xml:space="preserve"> </w:t>
      </w:r>
      <w:r>
        <w:rPr>
          <w:rFonts w:hint="cs"/>
          <w:rtl/>
        </w:rPr>
        <w:t xml:space="preserve">דברי התוספתא מובאים בגמרא </w:t>
      </w:r>
      <w:r>
        <w:rPr>
          <w:rFonts w:hint="cs"/>
          <w:sz w:val="16"/>
          <w:szCs w:val="16"/>
          <w:rtl/>
        </w:rPr>
        <w:t>[מנחות צב.]</w:t>
      </w:r>
      <w:r>
        <w:rPr>
          <w:rFonts w:hint="cs"/>
          <w:rtl/>
        </w:rPr>
        <w:t>.</w:t>
      </w:r>
    </w:p>
  </w:footnote>
  <w:footnote w:id="157">
    <w:p w:rsidR="00A527D5" w:rsidRPr="000E1331" w:rsidRDefault="00A527D5" w:rsidP="00C26E1A">
      <w:pPr>
        <w:pStyle w:val="a5"/>
      </w:pPr>
      <w:r>
        <w:rPr>
          <w:rStyle w:val="a7"/>
        </w:rPr>
        <w:footnoteRef/>
      </w:r>
      <w:r>
        <w:rPr>
          <w:rFonts w:hint="cs"/>
          <w:rtl/>
        </w:rPr>
        <w:t xml:space="preserve"> לעומת דברי החזון יחזקאל, המיוחס לרשב"א </w:t>
      </w:r>
      <w:r>
        <w:rPr>
          <w:rFonts w:hint="cs"/>
          <w:sz w:val="16"/>
          <w:szCs w:val="16"/>
          <w:rtl/>
        </w:rPr>
        <w:t>[שם, ד"ה ור' יהודה]</w:t>
      </w:r>
      <w:r>
        <w:rPr>
          <w:rFonts w:hint="cs"/>
          <w:rtl/>
        </w:rPr>
        <w:t xml:space="preserve"> כותב: "דאי משום דאמר ר' יהודה דשעיר המשתלח כהנים מתכפרין בו והוו סמיכה בבעלים בציבור, מכל מקום נוכל לומר דלאו סמיכה דציבור היא, </w:t>
      </w:r>
      <w:r>
        <w:rPr>
          <w:rFonts w:hint="cs"/>
          <w:b/>
          <w:bCs/>
          <w:rtl/>
        </w:rPr>
        <w:t>דאין הסמיכה אלא בשביל הוידוי</w:t>
      </w:r>
      <w:r>
        <w:rPr>
          <w:rFonts w:hint="cs"/>
          <w:rtl/>
        </w:rPr>
        <w:t>". מבואר מדבריו, כי אין מחלוקת עקרונית בין רבי יהודה לרבי שמעון בגדר הסמיכה, ולפי שניהם הסמיכה נעשית מחמת חובת הווידוי.</w:t>
      </w:r>
    </w:p>
  </w:footnote>
  <w:footnote w:id="158">
    <w:p w:rsidR="00A527D5" w:rsidRPr="00080DA6" w:rsidRDefault="00A527D5" w:rsidP="00C26E1A">
      <w:pPr>
        <w:pStyle w:val="a5"/>
        <w:rPr>
          <w:rtl/>
        </w:rPr>
      </w:pPr>
      <w:r>
        <w:rPr>
          <w:rStyle w:val="a7"/>
        </w:rPr>
        <w:footnoteRef/>
      </w:r>
      <w:r>
        <w:rPr>
          <w:rtl/>
        </w:rPr>
        <w:t xml:space="preserve"> </w:t>
      </w:r>
      <w:r>
        <w:rPr>
          <w:rFonts w:hint="cs"/>
          <w:rtl/>
        </w:rPr>
        <w:t xml:space="preserve">בירושלמי </w:t>
      </w:r>
      <w:r>
        <w:rPr>
          <w:rFonts w:hint="cs"/>
          <w:sz w:val="16"/>
          <w:szCs w:val="16"/>
          <w:rtl/>
        </w:rPr>
        <w:t>[יומא פ"ו ה"ב]</w:t>
      </w:r>
      <w:r>
        <w:rPr>
          <w:rFonts w:hint="cs"/>
          <w:rtl/>
        </w:rPr>
        <w:t xml:space="preserve"> מבואר שמחלוקת רבי יהודה ורבי שמעון אינה רק לגבי ווידוי של שעיר המשתלח, אלא גם לגבי ווידויי הכהן הגדול על פרו. [ועי' מקדש דוד </w:t>
      </w:r>
      <w:r>
        <w:rPr>
          <w:rFonts w:hint="cs"/>
          <w:sz w:val="16"/>
          <w:szCs w:val="16"/>
          <w:rtl/>
        </w:rPr>
        <w:t>[סי' כד ס"ק ב]</w:t>
      </w:r>
      <w:r>
        <w:rPr>
          <w:rFonts w:hint="cs"/>
          <w:rtl/>
        </w:rPr>
        <w:t xml:space="preserve"> וגרי"ז </w:t>
      </w:r>
      <w:r>
        <w:rPr>
          <w:rFonts w:hint="cs"/>
          <w:sz w:val="16"/>
          <w:szCs w:val="16"/>
          <w:rtl/>
        </w:rPr>
        <w:t>[זבחים מא.]</w:t>
      </w:r>
      <w:r>
        <w:rPr>
          <w:rFonts w:hint="cs"/>
          <w:rtl/>
        </w:rPr>
        <w:t xml:space="preserve"> הדנים בכך].</w:t>
      </w:r>
    </w:p>
  </w:footnote>
  <w:footnote w:id="159">
    <w:p w:rsidR="00A527D5" w:rsidRPr="00023648" w:rsidRDefault="00A527D5" w:rsidP="00C26E1A">
      <w:pPr>
        <w:pStyle w:val="a5"/>
      </w:pPr>
      <w:r>
        <w:rPr>
          <w:rStyle w:val="a7"/>
        </w:rPr>
        <w:footnoteRef/>
      </w:r>
      <w:r>
        <w:rPr>
          <w:rtl/>
        </w:rPr>
        <w:t xml:space="preserve"> </w:t>
      </w:r>
      <w:r>
        <w:rPr>
          <w:rFonts w:hint="cs"/>
          <w:rtl/>
        </w:rPr>
        <w:t xml:space="preserve">בשיעור שישה עשר </w:t>
      </w:r>
      <w:r>
        <w:rPr>
          <w:rFonts w:hint="cs"/>
          <w:sz w:val="16"/>
          <w:szCs w:val="16"/>
          <w:rtl/>
        </w:rPr>
        <w:t>['שעיר המשתלח כקרבן']</w:t>
      </w:r>
      <w:r>
        <w:rPr>
          <w:rFonts w:hint="cs"/>
          <w:rtl/>
        </w:rPr>
        <w:t xml:space="preserve"> הובאו דברי הגרי"ז </w:t>
      </w:r>
      <w:r>
        <w:rPr>
          <w:rFonts w:hint="cs"/>
          <w:sz w:val="16"/>
          <w:szCs w:val="16"/>
          <w:rtl/>
        </w:rPr>
        <w:t>[זבחים קיג: ד"ה הרמב"ם]</w:t>
      </w:r>
      <w:r>
        <w:rPr>
          <w:rFonts w:hint="cs"/>
          <w:rtl/>
        </w:rPr>
        <w:t xml:space="preserve"> והמשנת יעבץ </w:t>
      </w:r>
      <w:r>
        <w:rPr>
          <w:rFonts w:hint="cs"/>
          <w:sz w:val="16"/>
          <w:szCs w:val="16"/>
          <w:rtl/>
        </w:rPr>
        <w:t>[או"ח סי' נו ענף ד]</w:t>
      </w:r>
      <w:r>
        <w:rPr>
          <w:rFonts w:hint="cs"/>
          <w:rtl/>
        </w:rPr>
        <w:t xml:space="preserve"> המעמיקים הבנה זו, שלשעיר המשתלח יש 'כפרת פנים', על ידי הווידוי הנעשה בעזרה.</w:t>
      </w:r>
    </w:p>
  </w:footnote>
  <w:footnote w:id="160">
    <w:p w:rsidR="00A527D5" w:rsidRPr="00DA42DB" w:rsidRDefault="00A527D5" w:rsidP="00C26E1A">
      <w:pPr>
        <w:pStyle w:val="a5"/>
      </w:pPr>
      <w:r>
        <w:rPr>
          <w:rStyle w:val="a7"/>
        </w:rPr>
        <w:footnoteRef/>
      </w:r>
      <w:r>
        <w:rPr>
          <w:rtl/>
        </w:rPr>
        <w:t xml:space="preserve"> </w:t>
      </w:r>
      <w:r>
        <w:rPr>
          <w:rFonts w:hint="cs"/>
          <w:rtl/>
        </w:rPr>
        <w:t xml:space="preserve">הרי"פ פערלא </w:t>
      </w:r>
      <w:r>
        <w:rPr>
          <w:rFonts w:hint="cs"/>
          <w:sz w:val="16"/>
          <w:szCs w:val="16"/>
          <w:rtl/>
        </w:rPr>
        <w:t>[ביאור לסהמ"צ לרס"ג, מניין ס"ה הפרשיות פרשה מב]</w:t>
      </w:r>
      <w:r>
        <w:rPr>
          <w:rFonts w:hint="cs"/>
          <w:rtl/>
        </w:rPr>
        <w:t xml:space="preserve"> תמה על שיטתו: </w:t>
      </w:r>
      <w:r w:rsidRPr="00DA42DB">
        <w:rPr>
          <w:rtl/>
        </w:rPr>
        <w:t>ובודאי דבריו תמוהים בזה... דוידוי זה שעל הפר ועל השעיר אינו אלא מכלל</w:t>
      </w:r>
      <w:r>
        <w:rPr>
          <w:rtl/>
        </w:rPr>
        <w:t xml:space="preserve"> סדר עבודת היום. ולא מיבעיא למ</w:t>
      </w:r>
      <w:r>
        <w:rPr>
          <w:rFonts w:hint="cs"/>
          <w:rtl/>
        </w:rPr>
        <w:t>אן דאמר</w:t>
      </w:r>
      <w:r w:rsidRPr="00DA42DB">
        <w:rPr>
          <w:rtl/>
        </w:rPr>
        <w:t xml:space="preserve"> (פרק טרף בקלפי מ' ע"א) דהוידוי מעכב... דפשיטא דלפי זה ודאי בכלל מצות הפר והשעיר הוא, ואינו אלא אחד מהכשר עבודתם בלבד. אלא אפיל</w:t>
      </w:r>
      <w:r>
        <w:rPr>
          <w:rtl/>
        </w:rPr>
        <w:t>ו למאן דאמר אין הוידוי מעכב, מ</w:t>
      </w:r>
      <w:r>
        <w:rPr>
          <w:rFonts w:hint="cs"/>
          <w:rtl/>
        </w:rPr>
        <w:t xml:space="preserve">כל מקום </w:t>
      </w:r>
      <w:r>
        <w:rPr>
          <w:rtl/>
        </w:rPr>
        <w:t>קשה טובא לומר דמצוה בפ</w:t>
      </w:r>
      <w:r>
        <w:rPr>
          <w:rFonts w:hint="cs"/>
          <w:rtl/>
        </w:rPr>
        <w:t>ני עצמה</w:t>
      </w:r>
      <w:r>
        <w:rPr>
          <w:rtl/>
        </w:rPr>
        <w:t xml:space="preserve"> הוא. דע</w:t>
      </w:r>
      <w:r>
        <w:rPr>
          <w:rFonts w:hint="cs"/>
          <w:rtl/>
        </w:rPr>
        <w:t>ל כל פנים</w:t>
      </w:r>
      <w:r w:rsidRPr="00DA42DB">
        <w:rPr>
          <w:rtl/>
        </w:rPr>
        <w:t xml:space="preserve"> מכלל סדר עבודת היום הוא</w:t>
      </w:r>
      <w:r>
        <w:rPr>
          <w:rFonts w:hint="cs"/>
          <w:rtl/>
        </w:rPr>
        <w:t>"</w:t>
      </w:r>
      <w:r w:rsidRPr="00DA42DB">
        <w:rPr>
          <w:rtl/>
        </w:rPr>
        <w:t>.</w:t>
      </w:r>
    </w:p>
  </w:footnote>
  <w:footnote w:id="161">
    <w:p w:rsidR="00A527D5" w:rsidRDefault="00A527D5" w:rsidP="00C26E1A">
      <w:pPr>
        <w:pStyle w:val="a5"/>
        <w:rPr>
          <w:rtl/>
        </w:rPr>
      </w:pPr>
      <w:r>
        <w:rPr>
          <w:rStyle w:val="a7"/>
        </w:rPr>
        <w:footnoteRef/>
      </w:r>
      <w:r>
        <w:rPr>
          <w:rtl/>
        </w:rPr>
        <w:t xml:space="preserve"> </w:t>
      </w:r>
      <w:r>
        <w:rPr>
          <w:rFonts w:hint="cs"/>
          <w:rtl/>
        </w:rPr>
        <w:t xml:space="preserve">בדברי ר' אלעזר הקפר לא מבואר מדוע נוהג זה היה קיים רק 'בראשונה', וכיצד נהגו לאחר מכן. ייתכן שהסיבה לכך קשורה בדברי הברייתא </w:t>
      </w:r>
      <w:r>
        <w:rPr>
          <w:rFonts w:hint="cs"/>
          <w:sz w:val="16"/>
          <w:szCs w:val="16"/>
          <w:rtl/>
        </w:rPr>
        <w:t>[ראש השנה לא:]</w:t>
      </w:r>
      <w:r>
        <w:rPr>
          <w:rFonts w:hint="cs"/>
          <w:rtl/>
        </w:rPr>
        <w:t>: "</w:t>
      </w:r>
      <w:r>
        <w:rPr>
          <w:rtl/>
        </w:rPr>
        <w:t>ארבעים שנה קודם שנחרב הבית לא היה לשון של זהורית מלבין אלא מאדים</w:t>
      </w:r>
      <w:r>
        <w:rPr>
          <w:rFonts w:hint="cs"/>
          <w:rtl/>
        </w:rPr>
        <w:t xml:space="preserve">". מכיוון שהלשון לא הייתה מלבינה, היא לא יכולה הייתה לשמש כסימן לכך שהתקיימה מצוות השעיר. בנוגע לתפקידה של הלשון בתקופה זאת, נראה שצריך לומר כפי אחת האפשרויות שנציע להלן. </w:t>
      </w:r>
    </w:p>
  </w:footnote>
  <w:footnote w:id="162">
    <w:p w:rsidR="00A527D5" w:rsidRDefault="00A527D5" w:rsidP="00C26E1A">
      <w:pPr>
        <w:pStyle w:val="a5"/>
      </w:pPr>
      <w:r>
        <w:rPr>
          <w:rStyle w:val="a7"/>
        </w:rPr>
        <w:footnoteRef/>
      </w:r>
      <w:r>
        <w:rPr>
          <w:rtl/>
        </w:rPr>
        <w:t xml:space="preserve"> </w:t>
      </w:r>
      <w:r>
        <w:rPr>
          <w:rFonts w:hint="cs"/>
          <w:rtl/>
        </w:rPr>
        <w:t xml:space="preserve">התוספות ישנים </w:t>
      </w:r>
      <w:r>
        <w:rPr>
          <w:rFonts w:hint="cs"/>
          <w:sz w:val="16"/>
          <w:szCs w:val="16"/>
          <w:rtl/>
        </w:rPr>
        <w:t xml:space="preserve">[סח: ד"ה קמ"ל] </w:t>
      </w:r>
      <w:r>
        <w:rPr>
          <w:rFonts w:hint="cs"/>
          <w:rtl/>
        </w:rPr>
        <w:t xml:space="preserve">סוברים שר' יהודה המובא ברישא של המשנה חולק מבחינה עקרונית על דברי ר' אלעזר הקפר, משום שהם מניחים שלכולי עלמא הלבנת הלשון התרחשה רק בסמוך לדחיפת השעיר מהצוק, ואילו לשיטת ר' יהודה מצוות השעיר מתקיימת קודם לכן, ומשום כך אין טעם להמתין להלבנת הלשון, עיי"ש. </w:t>
      </w:r>
    </w:p>
  </w:footnote>
  <w:footnote w:id="163">
    <w:p w:rsidR="00A527D5" w:rsidRDefault="00A527D5" w:rsidP="00C26E1A">
      <w:pPr>
        <w:pStyle w:val="a5"/>
      </w:pPr>
      <w:r>
        <w:rPr>
          <w:rStyle w:val="a7"/>
        </w:rPr>
        <w:footnoteRef/>
      </w:r>
      <w:r>
        <w:rPr>
          <w:rtl/>
        </w:rPr>
        <w:t xml:space="preserve"> </w:t>
      </w:r>
      <w:r>
        <w:rPr>
          <w:rFonts w:hint="cs"/>
          <w:rtl/>
        </w:rPr>
        <w:t xml:space="preserve">כך עולה מדברי רש"י </w:t>
      </w:r>
      <w:r>
        <w:rPr>
          <w:rFonts w:hint="cs"/>
          <w:sz w:val="16"/>
          <w:szCs w:val="16"/>
          <w:rtl/>
        </w:rPr>
        <w:t>[מא: ד"ה כיון, דגמיש]</w:t>
      </w:r>
      <w:r>
        <w:rPr>
          <w:rFonts w:hint="cs"/>
          <w:rtl/>
        </w:rPr>
        <w:t>.</w:t>
      </w:r>
    </w:p>
  </w:footnote>
  <w:footnote w:id="164">
    <w:p w:rsidR="00A527D5" w:rsidRDefault="00A527D5" w:rsidP="00C26E1A">
      <w:pPr>
        <w:pStyle w:val="a5"/>
      </w:pPr>
      <w:r>
        <w:rPr>
          <w:rStyle w:val="a7"/>
        </w:rPr>
        <w:footnoteRef/>
      </w:r>
      <w:r>
        <w:rPr>
          <w:rtl/>
        </w:rPr>
        <w:t xml:space="preserve"> </w:t>
      </w:r>
      <w:r>
        <w:rPr>
          <w:rFonts w:hint="cs"/>
          <w:rtl/>
        </w:rPr>
        <w:t>ר' חיים שם מוסיף לבאר שהלשון הינה חלק ממצוות השילוח, ובכך מובן מדוע אין בהולכתה על ידי השעיר משום איסור מחמר, עיי"ש.</w:t>
      </w:r>
    </w:p>
  </w:footnote>
  <w:footnote w:id="165">
    <w:p w:rsidR="00A527D5" w:rsidRDefault="00A527D5" w:rsidP="00C26E1A">
      <w:pPr>
        <w:pStyle w:val="a5"/>
      </w:pPr>
      <w:r>
        <w:rPr>
          <w:rStyle w:val="a7"/>
        </w:rPr>
        <w:footnoteRef/>
      </w:r>
      <w:r>
        <w:rPr>
          <w:rtl/>
        </w:rPr>
        <w:t xml:space="preserve"> </w:t>
      </w:r>
      <w:r>
        <w:rPr>
          <w:rFonts w:hint="cs"/>
          <w:rtl/>
        </w:rPr>
        <w:t xml:space="preserve">אמנם מדברי ר' חיים </w:t>
      </w:r>
      <w:r>
        <w:rPr>
          <w:rFonts w:hint="cs"/>
          <w:sz w:val="16"/>
          <w:szCs w:val="16"/>
          <w:rtl/>
        </w:rPr>
        <w:t xml:space="preserve">[שם] </w:t>
      </w:r>
      <w:r>
        <w:rPr>
          <w:rFonts w:hint="cs"/>
          <w:rtl/>
        </w:rPr>
        <w:t>נראה שהקשירה בראש השעיר הייתה רק בשלב מאוחר יותר של התקנה: "</w:t>
      </w:r>
      <w:r>
        <w:rPr>
          <w:rtl/>
        </w:rPr>
        <w:t>והנה ביומא (דף ס"ז ע"א) בראשונה היו קושרין לשון של זהורית על פתח האולם מבחוץ וכו' התקינו שיהיו קושרין אותו חציו בסלע חציו בין קרניו, אמר רנב"פ משום ר"א הקפר בראשונה היו קושרין לשון של זהורית על פתח אולם מבפנים וכיון שהגיע שעיר למדבר היה מלבין וידעו שנעשית מצותו שנאמר אם יהיו חטאיכם כשנים כשלג ילבינו ע"כ, הרי דעיקר מצותו הוא לשון של זהורית וכדדרש לה מקרא דכשלג ילבינו ורק דהתקינו אח"כ לקושרו בין קרניו, וע"ז קאמר הטעם בפ' טרף בקלפי דהוא משום שלא יתערב</w:t>
      </w:r>
      <w:r>
        <w:rPr>
          <w:rFonts w:hint="cs"/>
          <w:rtl/>
        </w:rPr>
        <w:t>". לכן, לא ברור אם יש בדברים אלו בכדי לנמק את דברי ר' חיים עצמו, וצ"ע.</w:t>
      </w:r>
    </w:p>
  </w:footnote>
  <w:footnote w:id="166">
    <w:p w:rsidR="00A527D5" w:rsidRDefault="00A527D5" w:rsidP="00C26E1A">
      <w:pPr>
        <w:pStyle w:val="a5"/>
      </w:pPr>
      <w:r>
        <w:rPr>
          <w:rStyle w:val="a7"/>
        </w:rPr>
        <w:footnoteRef/>
      </w:r>
      <w:r>
        <w:rPr>
          <w:rtl/>
        </w:rPr>
        <w:t xml:space="preserve"> </w:t>
      </w:r>
      <w:r>
        <w:rPr>
          <w:rFonts w:hint="cs"/>
          <w:rtl/>
        </w:rPr>
        <w:t xml:space="preserve">לביאור הגרסאות השונות במשנה זו, והקשר ביניהן ובין השאלה האם היו לשון זהורית אחת או שתיים, עיין במאמרו של הרב יוסף אלבז </w:t>
      </w:r>
      <w:r>
        <w:rPr>
          <w:rFonts w:hint="cs"/>
          <w:sz w:val="16"/>
          <w:szCs w:val="16"/>
          <w:rtl/>
        </w:rPr>
        <w:t xml:space="preserve">[מעלין בקדש לב 'לשון של זהורית </w:t>
      </w:r>
      <w:r>
        <w:rPr>
          <w:sz w:val="16"/>
          <w:szCs w:val="16"/>
          <w:rtl/>
        </w:rPr>
        <w:t>–</w:t>
      </w:r>
      <w:r>
        <w:rPr>
          <w:rFonts w:hint="cs"/>
          <w:sz w:val="16"/>
          <w:szCs w:val="16"/>
          <w:rtl/>
        </w:rPr>
        <w:t xml:space="preserve"> אחת או שתיים']</w:t>
      </w:r>
      <w:r>
        <w:rPr>
          <w:rFonts w:hint="cs"/>
          <w:rtl/>
        </w:rPr>
        <w:t>.</w:t>
      </w:r>
    </w:p>
  </w:footnote>
  <w:footnote w:id="167">
    <w:p w:rsidR="00A527D5" w:rsidRDefault="00A527D5" w:rsidP="00C26E1A">
      <w:pPr>
        <w:pStyle w:val="a5"/>
      </w:pPr>
      <w:r>
        <w:rPr>
          <w:rStyle w:val="a7"/>
        </w:rPr>
        <w:footnoteRef/>
      </w:r>
      <w:r>
        <w:rPr>
          <w:rtl/>
        </w:rPr>
        <w:t xml:space="preserve"> </w:t>
      </w:r>
      <w:r>
        <w:rPr>
          <w:rFonts w:hint="cs"/>
          <w:rtl/>
        </w:rPr>
        <w:t>ניתן היה לטעון שמטרת הלשון הראשונה היא הבחנת השעירים זה מזה, על פי האפשרות שעלתה בתחילת הדברים. אלא שכפי שראינו בדברי תוספות ישנים קודם, נראה שתועלת זו הינה משנית ביחס לתפקידה המרכזי של הלשון.</w:t>
      </w:r>
    </w:p>
  </w:footnote>
  <w:footnote w:id="168">
    <w:p w:rsidR="00A527D5" w:rsidRDefault="00A527D5" w:rsidP="00C26E1A">
      <w:pPr>
        <w:pStyle w:val="a5"/>
        <w:rPr>
          <w:rtl/>
        </w:rPr>
      </w:pPr>
      <w:r>
        <w:rPr>
          <w:rStyle w:val="a7"/>
        </w:rPr>
        <w:footnoteRef/>
      </w:r>
      <w:r>
        <w:rPr>
          <w:rtl/>
        </w:rPr>
        <w:t xml:space="preserve"> </w:t>
      </w:r>
      <w:r>
        <w:rPr>
          <w:rFonts w:hint="cs"/>
          <w:rtl/>
        </w:rPr>
        <w:t xml:space="preserve">מדברי הריבב"ן עולה נקודה מעניינת נוספת. נראה שהמצב המתואר בברייתא </w:t>
      </w:r>
      <w:r>
        <w:rPr>
          <w:rFonts w:hint="cs"/>
          <w:sz w:val="18"/>
          <w:szCs w:val="18"/>
          <w:rtl/>
        </w:rPr>
        <w:t>[סז.]</w:t>
      </w:r>
      <w:r>
        <w:rPr>
          <w:rFonts w:hint="cs"/>
          <w:rtl/>
        </w:rPr>
        <w:t xml:space="preserve"> בו הלשון לא הייתה מלבינה באופן קבוע, קשור בתופעות השונות שנעלמו מן המקדש לאחר פטירתו של שמעון הצדיק. לפי זה נראה שהלבנת הלשון לא הייתה סימן לכפרה, אלא להשראתה של השכינה במקדש. </w:t>
      </w:r>
    </w:p>
  </w:footnote>
  <w:footnote w:id="169">
    <w:p w:rsidR="00A527D5" w:rsidRPr="009051D5" w:rsidRDefault="00A527D5" w:rsidP="00C26E1A">
      <w:pPr>
        <w:pStyle w:val="a5"/>
      </w:pPr>
      <w:r>
        <w:rPr>
          <w:rStyle w:val="a7"/>
        </w:rPr>
        <w:footnoteRef/>
      </w:r>
      <w:r>
        <w:rPr>
          <w:rtl/>
        </w:rPr>
        <w:t xml:space="preserve"> </w:t>
      </w:r>
      <w:r>
        <w:rPr>
          <w:rFonts w:hint="cs"/>
          <w:rtl/>
        </w:rPr>
        <w:t xml:space="preserve">אמנם, הראבי"ה </w:t>
      </w:r>
      <w:r>
        <w:rPr>
          <w:rFonts w:hint="cs"/>
          <w:sz w:val="16"/>
          <w:szCs w:val="16"/>
          <w:rtl/>
        </w:rPr>
        <w:t>[סי' תתקצה]</w:t>
      </w:r>
      <w:r>
        <w:rPr>
          <w:rFonts w:hint="cs"/>
          <w:rtl/>
        </w:rPr>
        <w:t xml:space="preserve"> כותב: "</w:t>
      </w:r>
      <w:r w:rsidRPr="009051D5">
        <w:rPr>
          <w:rtl/>
        </w:rPr>
        <w:t>ובירושלמי משמע שהקריאה לא היתה אלא להזכרה בעלמא שלא ישכח מסדר העבודות</w:t>
      </w:r>
      <w:r>
        <w:rPr>
          <w:rFonts w:hint="cs"/>
          <w:rtl/>
        </w:rPr>
        <w:t>"</w:t>
      </w:r>
      <w:r w:rsidRPr="009051D5">
        <w:rPr>
          <w:rtl/>
        </w:rPr>
        <w:t>.</w:t>
      </w:r>
      <w:r>
        <w:rPr>
          <w:rFonts w:hint="cs"/>
          <w:rtl/>
        </w:rPr>
        <w:t xml:space="preserve"> נראה שלשיטתו הירושלמי סבור שחיוב הקריאה הוא מדרבנן בלבד. </w:t>
      </w:r>
    </w:p>
  </w:footnote>
  <w:footnote w:id="170">
    <w:p w:rsidR="00A527D5" w:rsidRPr="009051D5" w:rsidRDefault="00A527D5" w:rsidP="00C26E1A">
      <w:pPr>
        <w:pStyle w:val="a5"/>
        <w:rPr>
          <w:rtl/>
        </w:rPr>
      </w:pPr>
      <w:r>
        <w:rPr>
          <w:rStyle w:val="a7"/>
        </w:rPr>
        <w:footnoteRef/>
      </w:r>
      <w:r>
        <w:rPr>
          <w:rtl/>
        </w:rPr>
        <w:t xml:space="preserve"> </w:t>
      </w:r>
      <w:r>
        <w:rPr>
          <w:rFonts w:hint="cs"/>
          <w:rtl/>
        </w:rPr>
        <w:t xml:space="preserve">וכן כותבים הקרית ספר </w:t>
      </w:r>
      <w:r>
        <w:rPr>
          <w:rFonts w:hint="cs"/>
          <w:sz w:val="16"/>
          <w:szCs w:val="16"/>
          <w:rtl/>
        </w:rPr>
        <w:t>[הל' עבודת יום הכיפורים פרק ג]</w:t>
      </w:r>
      <w:r>
        <w:rPr>
          <w:rFonts w:hint="cs"/>
          <w:rtl/>
        </w:rPr>
        <w:t xml:space="preserve"> והתוספות יו"ט </w:t>
      </w:r>
      <w:r w:rsidRPr="009051D5">
        <w:rPr>
          <w:rFonts w:hint="cs"/>
          <w:sz w:val="16"/>
          <w:szCs w:val="16"/>
          <w:rtl/>
        </w:rPr>
        <w:t>[סוטה פ"ז מ"ח ד"ה פרשת המלך</w:t>
      </w:r>
      <w:r>
        <w:rPr>
          <w:rFonts w:hint="cs"/>
          <w:sz w:val="16"/>
          <w:szCs w:val="16"/>
          <w:rtl/>
        </w:rPr>
        <w:t>]</w:t>
      </w:r>
      <w:r>
        <w:rPr>
          <w:rFonts w:hint="cs"/>
          <w:rtl/>
        </w:rPr>
        <w:t>.</w:t>
      </w:r>
    </w:p>
  </w:footnote>
  <w:footnote w:id="171">
    <w:p w:rsidR="00A527D5" w:rsidRDefault="00A527D5" w:rsidP="00C26E1A">
      <w:pPr>
        <w:pStyle w:val="a5"/>
        <w:rPr>
          <w:rtl/>
        </w:rPr>
      </w:pPr>
      <w:r>
        <w:rPr>
          <w:rStyle w:val="a7"/>
        </w:rPr>
        <w:footnoteRef/>
      </w:r>
      <w:r>
        <w:rPr>
          <w:rtl/>
        </w:rPr>
        <w:t xml:space="preserve"> הבנה זו, שהקריאה היא חלק מסדר העבודה, עולה מטעמו של רש"י</w:t>
      </w:r>
      <w:r>
        <w:rPr>
          <w:rFonts w:hint="cs"/>
          <w:rtl/>
        </w:rPr>
        <w:t xml:space="preserve"> </w:t>
      </w:r>
      <w:r>
        <w:rPr>
          <w:rFonts w:hint="cs"/>
          <w:sz w:val="16"/>
          <w:szCs w:val="16"/>
          <w:rtl/>
        </w:rPr>
        <w:t>[סח: ד"ה אמרו לו]</w:t>
      </w:r>
      <w:r>
        <w:rPr>
          <w:rtl/>
        </w:rPr>
        <w:t xml:space="preserve"> לדברי המשנה </w:t>
      </w:r>
      <w:r>
        <w:rPr>
          <w:rFonts w:hint="cs"/>
          <w:sz w:val="16"/>
          <w:szCs w:val="16"/>
          <w:rtl/>
        </w:rPr>
        <w:t>[שם</w:t>
      </w:r>
      <w:r w:rsidRPr="00F57C59">
        <w:rPr>
          <w:sz w:val="16"/>
          <w:szCs w:val="16"/>
          <w:rtl/>
        </w:rPr>
        <w:t>]</w:t>
      </w:r>
      <w:r>
        <w:rPr>
          <w:rtl/>
        </w:rPr>
        <w:t>, כי לפני הקריאה בתורה הכהן הגדול היה צריך לדעת שהשעיר המשתלח הגיע למדבר:</w:t>
      </w:r>
      <w:r>
        <w:rPr>
          <w:rFonts w:hint="cs"/>
          <w:rtl/>
        </w:rPr>
        <w:t xml:space="preserve"> "</w:t>
      </w:r>
      <w:r>
        <w:rPr>
          <w:rtl/>
        </w:rPr>
        <w:t>שאינו רשאי להתחיל בעבודה אחרת עד שהגיע שעיר למדבר, שנאמר 'ושלח את השעיר במדבר', ואחר כך 'ואת חלב החטאת יקטיר המזבחה'</w:t>
      </w:r>
      <w:r>
        <w:rPr>
          <w:rFonts w:hint="cs"/>
          <w:rtl/>
        </w:rPr>
        <w:t>".</w:t>
      </w:r>
    </w:p>
  </w:footnote>
  <w:footnote w:id="172">
    <w:p w:rsidR="00A527D5" w:rsidRPr="009D009E" w:rsidRDefault="00A527D5" w:rsidP="00C26E1A">
      <w:pPr>
        <w:pStyle w:val="a5"/>
      </w:pPr>
      <w:r>
        <w:rPr>
          <w:rStyle w:val="a7"/>
        </w:rPr>
        <w:footnoteRef/>
      </w:r>
      <w:r>
        <w:rPr>
          <w:rtl/>
        </w:rPr>
        <w:t xml:space="preserve"> </w:t>
      </w:r>
      <w:r w:rsidRPr="009D009E">
        <w:rPr>
          <w:rFonts w:hint="cs"/>
          <w:rtl/>
        </w:rPr>
        <w:t xml:space="preserve">שאלה דומה קיימת לגבי הקהל, </w:t>
      </w:r>
      <w:r>
        <w:rPr>
          <w:rFonts w:hint="cs"/>
          <w:rtl/>
        </w:rPr>
        <w:t xml:space="preserve">האם זו חובת הציבור או חובת המלך; עי' קונטרס 'זכר למקדש' לאדר"ת </w:t>
      </w:r>
      <w:r>
        <w:rPr>
          <w:rFonts w:hint="cs"/>
          <w:sz w:val="16"/>
          <w:szCs w:val="16"/>
          <w:rtl/>
        </w:rPr>
        <w:t>[פרק א אות ב]</w:t>
      </w:r>
      <w:r>
        <w:rPr>
          <w:rFonts w:hint="cs"/>
          <w:rtl/>
        </w:rPr>
        <w:t>,</w:t>
      </w:r>
      <w:r w:rsidRPr="009D009E">
        <w:rPr>
          <w:rFonts w:hint="cs"/>
          <w:rtl/>
        </w:rPr>
        <w:t xml:space="preserve"> ואכמ"ל.</w:t>
      </w:r>
    </w:p>
  </w:footnote>
  <w:footnote w:id="173">
    <w:p w:rsidR="00A527D5" w:rsidRPr="009D009E" w:rsidRDefault="00A527D5" w:rsidP="00C26E1A">
      <w:pPr>
        <w:pStyle w:val="a5"/>
      </w:pPr>
      <w:r w:rsidRPr="009D009E">
        <w:rPr>
          <w:rStyle w:val="a7"/>
        </w:rPr>
        <w:footnoteRef/>
      </w:r>
      <w:r w:rsidRPr="009D009E">
        <w:rPr>
          <w:rtl/>
        </w:rPr>
        <w:t xml:space="preserve"> </w:t>
      </w:r>
      <w:r w:rsidRPr="009D009E">
        <w:rPr>
          <w:rFonts w:hint="cs"/>
          <w:rtl/>
        </w:rPr>
        <w:t xml:space="preserve">כך מוכיחים בספר 'שערי היכל' </w:t>
      </w:r>
      <w:r w:rsidRPr="009D009E">
        <w:rPr>
          <w:rFonts w:hint="cs"/>
          <w:sz w:val="16"/>
          <w:szCs w:val="16"/>
          <w:rtl/>
        </w:rPr>
        <w:t>[מערכה קסח]</w:t>
      </w:r>
      <w:r w:rsidRPr="009D009E">
        <w:rPr>
          <w:rFonts w:hint="cs"/>
          <w:rtl/>
        </w:rPr>
        <w:t>.</w:t>
      </w:r>
    </w:p>
  </w:footnote>
  <w:footnote w:id="174">
    <w:p w:rsidR="00A527D5" w:rsidRPr="00B60729" w:rsidRDefault="00A527D5" w:rsidP="00C26E1A">
      <w:pPr>
        <w:pStyle w:val="a5"/>
      </w:pPr>
      <w:r>
        <w:rPr>
          <w:rStyle w:val="a7"/>
        </w:rPr>
        <w:footnoteRef/>
      </w:r>
      <w:r>
        <w:rPr>
          <w:rtl/>
        </w:rPr>
        <w:t xml:space="preserve"> </w:t>
      </w:r>
      <w:r>
        <w:rPr>
          <w:rFonts w:hint="cs"/>
          <w:rtl/>
        </w:rPr>
        <w:t xml:space="preserve">וכן נוקט הריטב"א </w:t>
      </w:r>
      <w:r>
        <w:rPr>
          <w:rFonts w:hint="cs"/>
          <w:sz w:val="16"/>
          <w:szCs w:val="16"/>
          <w:rtl/>
        </w:rPr>
        <w:t>[ע. ד"ה לפי]</w:t>
      </w:r>
      <w:r>
        <w:rPr>
          <w:rFonts w:hint="cs"/>
          <w:rtl/>
        </w:rPr>
        <w:t xml:space="preserve"> במסקנתו.</w:t>
      </w:r>
    </w:p>
  </w:footnote>
  <w:footnote w:id="175">
    <w:p w:rsidR="00A527D5" w:rsidRPr="00B62CEB" w:rsidRDefault="00A527D5" w:rsidP="00C26E1A">
      <w:pPr>
        <w:pStyle w:val="a5"/>
      </w:pPr>
      <w:r>
        <w:rPr>
          <w:rStyle w:val="a7"/>
        </w:rPr>
        <w:footnoteRef/>
      </w:r>
      <w:r>
        <w:rPr>
          <w:rtl/>
        </w:rPr>
        <w:t xml:space="preserve"> </w:t>
      </w:r>
      <w:r>
        <w:rPr>
          <w:rFonts w:hint="cs"/>
          <w:rtl/>
        </w:rPr>
        <w:t xml:space="preserve">הגבורת ארי </w:t>
      </w:r>
      <w:r>
        <w:rPr>
          <w:rFonts w:hint="cs"/>
          <w:sz w:val="16"/>
          <w:szCs w:val="16"/>
          <w:rtl/>
        </w:rPr>
        <w:t>[שם]</w:t>
      </w:r>
      <w:r>
        <w:rPr>
          <w:rFonts w:hint="cs"/>
          <w:rtl/>
        </w:rPr>
        <w:t xml:space="preserve"> מביא ראיה לכך מדברי המשנה </w:t>
      </w:r>
      <w:r>
        <w:rPr>
          <w:rFonts w:hint="cs"/>
          <w:sz w:val="16"/>
          <w:szCs w:val="16"/>
          <w:rtl/>
        </w:rPr>
        <w:t>[שם]</w:t>
      </w:r>
      <w:r>
        <w:rPr>
          <w:rFonts w:hint="cs"/>
          <w:rtl/>
        </w:rPr>
        <w:t>: "</w:t>
      </w:r>
      <w:r>
        <w:rPr>
          <w:rtl/>
        </w:rPr>
        <w:t>הרואה כהן גדול כשהוא קורא אינו רואה פר ושעיר הנשרפין</w:t>
      </w:r>
      <w:r>
        <w:rPr>
          <w:rFonts w:hint="cs"/>
          <w:rtl/>
        </w:rPr>
        <w:t>,</w:t>
      </w:r>
      <w:r>
        <w:rPr>
          <w:rtl/>
        </w:rPr>
        <w:t xml:space="preserve"> והרואה פר ושעיר הנשרפין אינו רואה כהן גדול כשהוא קורא</w:t>
      </w:r>
      <w:r>
        <w:rPr>
          <w:rFonts w:hint="cs"/>
          <w:rtl/>
        </w:rPr>
        <w:t xml:space="preserve">". מבואר במשנה כי לא כולם היו שומעים את קריאת התורה, ומכאן שהיא אינה חובת הציבור. ראיה זו מבוססת על ההנחה שכל אחד ואחד מחויב להשתתף בחובת הקריאה המוטלת על הציבור. אמנם, יש אחרונים הטוענים כי קריאת התורה היא חובה כללית על הציבור, אך כל אחד בפני עצמו אינו חייב להשתתף בקריאה, וכן נראה מדברי הרמב"ן </w:t>
      </w:r>
      <w:r>
        <w:rPr>
          <w:rFonts w:hint="cs"/>
          <w:sz w:val="16"/>
          <w:szCs w:val="16"/>
          <w:rtl/>
        </w:rPr>
        <w:t>[מגילה מלחמות ג.]</w:t>
      </w:r>
      <w:r>
        <w:rPr>
          <w:rFonts w:hint="cs"/>
          <w:rtl/>
        </w:rPr>
        <w:t>, ואכמ"ל.</w:t>
      </w:r>
    </w:p>
  </w:footnote>
  <w:footnote w:id="176">
    <w:p w:rsidR="00A527D5" w:rsidRPr="00376D7D" w:rsidRDefault="00A527D5" w:rsidP="00C26E1A">
      <w:pPr>
        <w:pStyle w:val="a5"/>
        <w:rPr>
          <w:rtl/>
        </w:rPr>
      </w:pPr>
      <w:r>
        <w:rPr>
          <w:rStyle w:val="a7"/>
        </w:rPr>
        <w:footnoteRef/>
      </w:r>
      <w:r>
        <w:rPr>
          <w:rtl/>
        </w:rPr>
        <w:t xml:space="preserve"> </w:t>
      </w:r>
      <w:r>
        <w:rPr>
          <w:rFonts w:hint="cs"/>
          <w:rtl/>
        </w:rPr>
        <w:t xml:space="preserve">דבריו מבוססים על ההנחה שיש לברך ברכת התורה לפני הקריאה רק בקריאה שהיא </w:t>
      </w:r>
      <w:r>
        <w:rPr>
          <w:rFonts w:hint="cs"/>
          <w:b/>
          <w:bCs/>
          <w:rtl/>
        </w:rPr>
        <w:t>חובת הציבור</w:t>
      </w:r>
      <w:r>
        <w:rPr>
          <w:rFonts w:hint="cs"/>
          <w:rtl/>
        </w:rPr>
        <w:t xml:space="preserve">, ולא בכל קריאה </w:t>
      </w:r>
      <w:r>
        <w:rPr>
          <w:rFonts w:hint="cs"/>
          <w:b/>
          <w:bCs/>
          <w:rtl/>
        </w:rPr>
        <w:t>הנעשית בציבור</w:t>
      </w:r>
      <w:r>
        <w:rPr>
          <w:rFonts w:hint="cs"/>
          <w:rtl/>
        </w:rPr>
        <w:t xml:space="preserve">; ועי' תורת רפאל </w:t>
      </w:r>
      <w:r>
        <w:rPr>
          <w:rFonts w:hint="cs"/>
          <w:sz w:val="16"/>
          <w:szCs w:val="16"/>
          <w:rtl/>
        </w:rPr>
        <w:t>[או"ח סי' ב]</w:t>
      </w:r>
      <w:r>
        <w:rPr>
          <w:rFonts w:hint="cs"/>
          <w:rtl/>
        </w:rPr>
        <w:t xml:space="preserve"> הדן בכעין זה.</w:t>
      </w:r>
    </w:p>
  </w:footnote>
  <w:footnote w:id="177">
    <w:p w:rsidR="00A527D5" w:rsidRPr="00AB5787" w:rsidRDefault="00A527D5" w:rsidP="00C26E1A">
      <w:pPr>
        <w:pStyle w:val="a5"/>
      </w:pPr>
      <w:r>
        <w:rPr>
          <w:rStyle w:val="a7"/>
        </w:rPr>
        <w:footnoteRef/>
      </w:r>
      <w:r>
        <w:rPr>
          <w:rtl/>
        </w:rPr>
        <w:t xml:space="preserve"> </w:t>
      </w:r>
      <w:r>
        <w:rPr>
          <w:rFonts w:hint="cs"/>
          <w:rtl/>
        </w:rPr>
        <w:t xml:space="preserve">כדברי הגמרא </w:t>
      </w:r>
      <w:r>
        <w:rPr>
          <w:rFonts w:hint="cs"/>
          <w:sz w:val="16"/>
          <w:szCs w:val="16"/>
          <w:rtl/>
        </w:rPr>
        <w:t>[מגילה לב.]</w:t>
      </w:r>
      <w:r>
        <w:rPr>
          <w:rFonts w:hint="cs"/>
          <w:rtl/>
        </w:rPr>
        <w:t>: "</w:t>
      </w:r>
      <w:r w:rsidRPr="00AB5787">
        <w:rPr>
          <w:rtl/>
        </w:rPr>
        <w:t xml:space="preserve">וידבר משה את מעדי ה' אל בני ישראל </w:t>
      </w:r>
      <w:r>
        <w:rPr>
          <w:rtl/>
        </w:rPr>
        <w:t>–</w:t>
      </w:r>
      <w:r>
        <w:rPr>
          <w:rFonts w:hint="cs"/>
          <w:rtl/>
        </w:rPr>
        <w:t xml:space="preserve"> </w:t>
      </w:r>
      <w:r w:rsidRPr="00AB5787">
        <w:rPr>
          <w:rtl/>
        </w:rPr>
        <w:t>מצותן שיהיו קורין אותן כל אחד ואחד בזמנו</w:t>
      </w:r>
      <w:r>
        <w:rPr>
          <w:rFonts w:hint="cs"/>
          <w:rtl/>
        </w:rPr>
        <w:t>".</w:t>
      </w:r>
    </w:p>
  </w:footnote>
  <w:footnote w:id="178">
    <w:p w:rsidR="00A527D5" w:rsidRPr="00767981" w:rsidRDefault="00A527D5" w:rsidP="00C26E1A">
      <w:pPr>
        <w:pStyle w:val="a5"/>
      </w:pPr>
      <w:r>
        <w:rPr>
          <w:rStyle w:val="a7"/>
        </w:rPr>
        <w:footnoteRef/>
      </w:r>
      <w:r>
        <w:rPr>
          <w:rtl/>
        </w:rPr>
        <w:t xml:space="preserve"> </w:t>
      </w:r>
      <w:r>
        <w:rPr>
          <w:rFonts w:hint="cs"/>
          <w:rtl/>
        </w:rPr>
        <w:t xml:space="preserve">עי' רמב"ן </w:t>
      </w:r>
      <w:r>
        <w:rPr>
          <w:rFonts w:hint="cs"/>
          <w:sz w:val="16"/>
          <w:szCs w:val="16"/>
          <w:rtl/>
        </w:rPr>
        <w:t>[שם]</w:t>
      </w:r>
      <w:r>
        <w:rPr>
          <w:rFonts w:hint="cs"/>
          <w:rtl/>
        </w:rPr>
        <w:t xml:space="preserve"> הדן בביאור הכתוב על פי דרשה זו.</w:t>
      </w:r>
    </w:p>
  </w:footnote>
  <w:footnote w:id="179">
    <w:p w:rsidR="00A527D5" w:rsidRPr="00AA302B" w:rsidRDefault="00A527D5" w:rsidP="00C26E1A">
      <w:pPr>
        <w:pStyle w:val="a5"/>
      </w:pPr>
      <w:r>
        <w:rPr>
          <w:rStyle w:val="a7"/>
        </w:rPr>
        <w:footnoteRef/>
      </w:r>
      <w:r>
        <w:rPr>
          <w:rtl/>
        </w:rPr>
        <w:t xml:space="preserve"> </w:t>
      </w:r>
      <w:r>
        <w:rPr>
          <w:rFonts w:hint="cs"/>
          <w:rtl/>
        </w:rPr>
        <w:t xml:space="preserve">עי' רמב"ן </w:t>
      </w:r>
      <w:r>
        <w:rPr>
          <w:rFonts w:hint="cs"/>
          <w:sz w:val="16"/>
          <w:szCs w:val="16"/>
          <w:rtl/>
        </w:rPr>
        <w:t>[שם]</w:t>
      </w:r>
      <w:r>
        <w:rPr>
          <w:rFonts w:hint="cs"/>
          <w:rtl/>
        </w:rPr>
        <w:t xml:space="preserve"> המציע יישוב לכך.</w:t>
      </w:r>
    </w:p>
  </w:footnote>
  <w:footnote w:id="180">
    <w:p w:rsidR="00A527D5" w:rsidRPr="00AB720F" w:rsidRDefault="00A527D5" w:rsidP="00C26E1A">
      <w:pPr>
        <w:pStyle w:val="a5"/>
      </w:pPr>
      <w:r>
        <w:rPr>
          <w:rStyle w:val="a7"/>
        </w:rPr>
        <w:footnoteRef/>
      </w:r>
      <w:r>
        <w:rPr>
          <w:rtl/>
        </w:rPr>
        <w:t xml:space="preserve"> </w:t>
      </w:r>
      <w:r>
        <w:rPr>
          <w:rFonts w:hint="cs"/>
          <w:rtl/>
        </w:rPr>
        <w:t xml:space="preserve">שיטת הגר"א בעניין זה נידונה בשיעור הראשון </w:t>
      </w:r>
      <w:r>
        <w:rPr>
          <w:rFonts w:hint="cs"/>
          <w:sz w:val="16"/>
          <w:szCs w:val="16"/>
          <w:rtl/>
        </w:rPr>
        <w:t xml:space="preserve">['סדר עבודת יום הכיפורים </w:t>
      </w:r>
      <w:r>
        <w:rPr>
          <w:sz w:val="16"/>
          <w:szCs w:val="16"/>
          <w:rtl/>
        </w:rPr>
        <w:t>–</w:t>
      </w:r>
      <w:r>
        <w:rPr>
          <w:rFonts w:hint="cs"/>
          <w:sz w:val="16"/>
          <w:szCs w:val="16"/>
          <w:rtl/>
        </w:rPr>
        <w:t xml:space="preserve"> טעמו ומהותו']</w:t>
      </w:r>
      <w:r>
        <w:rPr>
          <w:rFonts w:hint="cs"/>
          <w:rtl/>
        </w:rPr>
        <w:t>.</w:t>
      </w:r>
    </w:p>
  </w:footnote>
  <w:footnote w:id="181">
    <w:p w:rsidR="00A527D5" w:rsidRPr="00BF6F66" w:rsidRDefault="00A527D5" w:rsidP="00C26E1A">
      <w:pPr>
        <w:pStyle w:val="a5"/>
      </w:pPr>
      <w:r>
        <w:rPr>
          <w:rStyle w:val="a7"/>
        </w:rPr>
        <w:footnoteRef/>
      </w:r>
      <w:r>
        <w:rPr>
          <w:rtl/>
        </w:rPr>
        <w:t xml:space="preserve"> </w:t>
      </w:r>
      <w:r>
        <w:rPr>
          <w:rFonts w:hint="cs"/>
          <w:rtl/>
        </w:rPr>
        <w:t xml:space="preserve">דנו בעניין זה בשיעור השלושה עשר </w:t>
      </w:r>
      <w:r>
        <w:rPr>
          <w:rFonts w:hint="cs"/>
          <w:sz w:val="16"/>
          <w:szCs w:val="16"/>
          <w:rtl/>
        </w:rPr>
        <w:t>['הקטרת הקטורת']</w:t>
      </w:r>
      <w:r>
        <w:rPr>
          <w:rFonts w:hint="cs"/>
          <w:rtl/>
        </w:rPr>
        <w:t>.</w:t>
      </w:r>
    </w:p>
  </w:footnote>
  <w:footnote w:id="182">
    <w:p w:rsidR="00A527D5" w:rsidRPr="00EA23DC" w:rsidRDefault="00A527D5" w:rsidP="00C26E1A">
      <w:pPr>
        <w:pStyle w:val="a5"/>
        <w:rPr>
          <w:rtl/>
        </w:rPr>
      </w:pPr>
      <w:r>
        <w:rPr>
          <w:rStyle w:val="a7"/>
        </w:rPr>
        <w:footnoteRef/>
      </w:r>
      <w:r>
        <w:rPr>
          <w:rtl/>
        </w:rPr>
        <w:t xml:space="preserve"> </w:t>
      </w:r>
      <w:r>
        <w:rPr>
          <w:rFonts w:hint="cs"/>
          <w:rtl/>
        </w:rPr>
        <w:t xml:space="preserve">וכן נוקט רש"י במקומות נוספים </w:t>
      </w:r>
      <w:r>
        <w:rPr>
          <w:rFonts w:hint="cs"/>
          <w:sz w:val="16"/>
          <w:szCs w:val="16"/>
          <w:rtl/>
        </w:rPr>
        <w:t>[יומא לב: ד"ה שכל; ויקרא טז, כג ד"ה ופשט]</w:t>
      </w:r>
      <w:r>
        <w:rPr>
          <w:rFonts w:hint="cs"/>
          <w:rtl/>
        </w:rPr>
        <w:t>.</w:t>
      </w:r>
    </w:p>
  </w:footnote>
  <w:footnote w:id="183">
    <w:p w:rsidR="00A527D5" w:rsidRPr="00E9158D" w:rsidRDefault="00A527D5" w:rsidP="00C26E1A">
      <w:pPr>
        <w:pStyle w:val="a5"/>
        <w:rPr>
          <w:rtl/>
        </w:rPr>
      </w:pPr>
      <w:r>
        <w:rPr>
          <w:rStyle w:val="a7"/>
        </w:rPr>
        <w:footnoteRef/>
      </w:r>
      <w:r>
        <w:rPr>
          <w:rtl/>
        </w:rPr>
        <w:t xml:space="preserve"> </w:t>
      </w:r>
      <w:r>
        <w:rPr>
          <w:rFonts w:hint="cs"/>
          <w:rtl/>
        </w:rPr>
        <w:t xml:space="preserve">מחלוקתם נעוצה במשמעות השונה העולה ממקורות התנאים: מהספרא </w:t>
      </w:r>
      <w:r>
        <w:rPr>
          <w:rFonts w:hint="cs"/>
          <w:sz w:val="16"/>
          <w:szCs w:val="16"/>
          <w:rtl/>
        </w:rPr>
        <w:t>[אחרי מות פ"ו הל' ה; מובא בגמ' לב.]</w:t>
      </w:r>
      <w:r>
        <w:rPr>
          <w:rFonts w:hint="cs"/>
          <w:rtl/>
        </w:rPr>
        <w:t xml:space="preserve"> נראה כרש"י, ואילו מהירושלמי </w:t>
      </w:r>
      <w:r>
        <w:rPr>
          <w:rFonts w:hint="cs"/>
          <w:sz w:val="16"/>
          <w:szCs w:val="16"/>
          <w:rtl/>
        </w:rPr>
        <w:t>[פ"ז ה"ב]</w:t>
      </w:r>
      <w:r>
        <w:rPr>
          <w:rFonts w:hint="cs"/>
          <w:rtl/>
        </w:rPr>
        <w:t xml:space="preserve"> נראה כרמב"ם; ועי' רמב"ן </w:t>
      </w:r>
      <w:r>
        <w:rPr>
          <w:rFonts w:hint="cs"/>
          <w:sz w:val="16"/>
          <w:szCs w:val="16"/>
          <w:rtl/>
        </w:rPr>
        <w:t>[ויקרא טז, כג]</w:t>
      </w:r>
      <w:r>
        <w:rPr>
          <w:rFonts w:hint="cs"/>
          <w:rtl/>
        </w:rPr>
        <w:t xml:space="preserve"> הדן בכך.</w:t>
      </w:r>
    </w:p>
  </w:footnote>
  <w:footnote w:id="184">
    <w:p w:rsidR="00A527D5" w:rsidRPr="00AE2FE6" w:rsidRDefault="00A527D5" w:rsidP="00C26E1A">
      <w:pPr>
        <w:pStyle w:val="a5"/>
        <w:rPr>
          <w:rtl/>
        </w:rPr>
      </w:pPr>
      <w:r>
        <w:rPr>
          <w:rStyle w:val="a7"/>
        </w:rPr>
        <w:footnoteRef/>
      </w:r>
      <w:r>
        <w:rPr>
          <w:rtl/>
        </w:rPr>
        <w:t xml:space="preserve"> </w:t>
      </w:r>
      <w:r>
        <w:rPr>
          <w:rFonts w:hint="cs"/>
          <w:rtl/>
        </w:rPr>
        <w:t xml:space="preserve">טעם הדבר מבואר על ידי הרמב"ן </w:t>
      </w:r>
      <w:r>
        <w:rPr>
          <w:rFonts w:hint="cs"/>
          <w:sz w:val="16"/>
          <w:szCs w:val="16"/>
          <w:rtl/>
        </w:rPr>
        <w:t>[ויקרא טז, כג]</w:t>
      </w:r>
      <w:r>
        <w:rPr>
          <w:rFonts w:hint="cs"/>
          <w:rtl/>
        </w:rPr>
        <w:t>: "</w:t>
      </w:r>
      <w:r w:rsidRPr="00AE2FE6">
        <w:rPr>
          <w:rtl/>
        </w:rPr>
        <w:t>והטעם בזה, לפי שאינה עבודה ואחרו אותה לאחר כל מעשה היום, ובלבד שנקיים בה חמש טבילות, ולכך הפסיק בסדר התמיד של בין הערבים ומוציאין כף ומחתה בין התמיד לקטורת</w:t>
      </w:r>
      <w:r>
        <w:rPr>
          <w:rFonts w:hint="cs"/>
          <w:rtl/>
        </w:rPr>
        <w:t>"</w:t>
      </w:r>
      <w:r w:rsidRPr="00AE2FE6">
        <w:rPr>
          <w:rtl/>
        </w:rPr>
        <w:t>.</w:t>
      </w:r>
      <w:r>
        <w:rPr>
          <w:rFonts w:hint="cs"/>
          <w:rtl/>
        </w:rPr>
        <w:t xml:space="preserve"> </w:t>
      </w:r>
      <w:r w:rsidRPr="00AE2FE6">
        <w:rPr>
          <w:rtl/>
        </w:rPr>
        <w:t>הרמב"ן מבאר, כי הוצאת הכף והמחתה אינה עבודה אלא פינוי קודש הקדשים מהכף והמחתה שנשארו בו מהקטרת הקטורת. בשל כך, יש להקדים את עשיית כל עבודות היום, ורק לאחר מכן להוציא את הכף והמחתה. הרמב"ן מוסיף, שאף על פי כן יש להוציא את הכף והמחתה לפני הקטרת הקטורת והדלקת הנרות, כדי שיהיו חמש טבילות.</w:t>
      </w:r>
      <w:r>
        <w:rPr>
          <w:rFonts w:hint="cs"/>
          <w:rtl/>
        </w:rPr>
        <w:t xml:space="preserve"> [ועי' תוס' יו"ט </w:t>
      </w:r>
      <w:r>
        <w:rPr>
          <w:rFonts w:hint="cs"/>
          <w:sz w:val="16"/>
          <w:szCs w:val="16"/>
          <w:rtl/>
        </w:rPr>
        <w:t>[יומא פ"ז מ"ג ד"ה עם]</w:t>
      </w:r>
      <w:r>
        <w:rPr>
          <w:rFonts w:hint="cs"/>
          <w:rtl/>
        </w:rPr>
        <w:t xml:space="preserve"> הנותן טעם אחר לאיחור הוצאת הכף והמחתה: "</w:t>
      </w:r>
      <w:r>
        <w:rPr>
          <w:rtl/>
        </w:rPr>
        <w:t>ואיחור הוצאת כף נ</w:t>
      </w:r>
      <w:r>
        <w:rPr>
          <w:rFonts w:hint="cs"/>
          <w:rtl/>
        </w:rPr>
        <w:t>ראה לי</w:t>
      </w:r>
      <w:r>
        <w:rPr>
          <w:rtl/>
        </w:rPr>
        <w:t xml:space="preserve"> דסבר דמצוה שישארו כלי הקטרת בדביר כל כמה שיוכל לאחרו ולשהותו שם. ויותר ראוי ג</w:t>
      </w:r>
      <w:r>
        <w:rPr>
          <w:rFonts w:hint="cs"/>
          <w:rtl/>
        </w:rPr>
        <w:t>ם כן</w:t>
      </w:r>
      <w:r>
        <w:rPr>
          <w:rtl/>
        </w:rPr>
        <w:t xml:space="preserve"> שסוף ביאת כהן גדול יהיה בהיכל ממה שיהיה סוף ביאתו בקדשי קדשים</w:t>
      </w:r>
      <w:r>
        <w:rPr>
          <w:rFonts w:hint="cs"/>
          <w:rtl/>
        </w:rPr>
        <w:t>,</w:t>
      </w:r>
      <w:r>
        <w:rPr>
          <w:rtl/>
        </w:rPr>
        <w:t xml:space="preserve"> הלכך מאחרין אותן מלהוציאן עד קודם קטורת הערב</w:t>
      </w:r>
      <w:r>
        <w:rPr>
          <w:rFonts w:hint="cs"/>
          <w:rtl/>
        </w:rPr>
        <w:t>,</w:t>
      </w:r>
      <w:r>
        <w:rPr>
          <w:rtl/>
        </w:rPr>
        <w:t xml:space="preserve"> שזהו סוף ביאתו להיכל בו ביום</w:t>
      </w:r>
      <w:r>
        <w:rPr>
          <w:rFonts w:hint="cs"/>
          <w:rtl/>
        </w:rPr>
        <w:t>"].</w:t>
      </w:r>
    </w:p>
  </w:footnote>
  <w:footnote w:id="185">
    <w:p w:rsidR="00A527D5" w:rsidRPr="00BC03BF" w:rsidRDefault="00A527D5" w:rsidP="00C26E1A">
      <w:pPr>
        <w:pStyle w:val="a5"/>
      </w:pPr>
      <w:r>
        <w:rPr>
          <w:rStyle w:val="a7"/>
          <w:rtl/>
        </w:rPr>
        <w:footnoteRef/>
      </w:r>
      <w:r>
        <w:rPr>
          <w:rtl/>
        </w:rPr>
        <w:t xml:space="preserve"> </w:t>
      </w:r>
      <w:r>
        <w:rPr>
          <w:rFonts w:hint="cs"/>
          <w:rtl/>
        </w:rPr>
        <w:t xml:space="preserve">הרא"ש הולך בדרכו העקרונית של רש"י, אך קיימת מחלוקת ביניהם לגבי זמן הקטרת אימורי החטאת: רש"י </w:t>
      </w:r>
      <w:r>
        <w:rPr>
          <w:rFonts w:hint="cs"/>
          <w:sz w:val="16"/>
          <w:szCs w:val="16"/>
          <w:rtl/>
        </w:rPr>
        <w:t>[ע: ד"ה ואחר כך]</w:t>
      </w:r>
      <w:r>
        <w:rPr>
          <w:rFonts w:hint="cs"/>
          <w:rtl/>
        </w:rPr>
        <w:t xml:space="preserve"> סובר שבטבילה שלישית, ואילו הרא"ש נוקט בשיטת תוספות </w:t>
      </w:r>
      <w:r>
        <w:rPr>
          <w:rFonts w:hint="cs"/>
          <w:sz w:val="16"/>
          <w:szCs w:val="16"/>
          <w:rtl/>
        </w:rPr>
        <w:t>[שם, ד"ה ואחר]</w:t>
      </w:r>
      <w:r>
        <w:rPr>
          <w:rFonts w:hint="cs"/>
          <w:rtl/>
        </w:rPr>
        <w:t xml:space="preserve"> שבטבילה רביעית. </w:t>
      </w:r>
    </w:p>
  </w:footnote>
  <w:footnote w:id="186">
    <w:p w:rsidR="00A527D5" w:rsidRPr="00155A25" w:rsidRDefault="00A527D5" w:rsidP="00C26E1A">
      <w:pPr>
        <w:pStyle w:val="a5"/>
      </w:pPr>
      <w:r>
        <w:rPr>
          <w:rStyle w:val="a7"/>
        </w:rPr>
        <w:footnoteRef/>
      </w:r>
      <w:r>
        <w:rPr>
          <w:rtl/>
        </w:rPr>
        <w:t xml:space="preserve"> </w:t>
      </w:r>
      <w:r>
        <w:rPr>
          <w:rFonts w:hint="cs"/>
          <w:rtl/>
        </w:rPr>
        <w:t xml:space="preserve">דברי הגרי"ד מבוססים על ההבנה כי לשיטת רבי </w:t>
      </w:r>
      <w:r>
        <w:rPr>
          <w:rFonts w:hint="cs"/>
          <w:sz w:val="16"/>
          <w:szCs w:val="16"/>
          <w:rtl/>
        </w:rPr>
        <w:t>[ע:]</w:t>
      </w:r>
      <w:r>
        <w:rPr>
          <w:rFonts w:hint="cs"/>
          <w:rtl/>
        </w:rPr>
        <w:t xml:space="preserve"> ש"איל אחד האמור כאן, הוא האמור בחומש הפקודים", וכך 'איל העם' הוא חלק מקרבן המוסף, יש לאיל תפקיד כפול: גם כחלק מסדר עבודת יום הכיפורים וגם כחלק מקרבן המוסף. [עי' על כך בחידושי הגרי"ז </w:t>
      </w:r>
      <w:r>
        <w:rPr>
          <w:rFonts w:hint="cs"/>
          <w:sz w:val="16"/>
          <w:szCs w:val="16"/>
          <w:rtl/>
        </w:rPr>
        <w:t>[הל' עבודת יום הכיפורים פ"א ה"א]</w:t>
      </w:r>
      <w:r>
        <w:rPr>
          <w:rFonts w:hint="cs"/>
          <w:rtl/>
        </w:rPr>
        <w:t>].</w:t>
      </w:r>
    </w:p>
  </w:footnote>
  <w:footnote w:id="187">
    <w:p w:rsidR="00A527D5" w:rsidRPr="003E2BB3" w:rsidRDefault="00A527D5" w:rsidP="00C26E1A">
      <w:pPr>
        <w:pStyle w:val="a5"/>
        <w:rPr>
          <w:rtl/>
        </w:rPr>
      </w:pPr>
      <w:r>
        <w:rPr>
          <w:rStyle w:val="a7"/>
        </w:rPr>
        <w:footnoteRef/>
      </w:r>
      <w:r>
        <w:rPr>
          <w:rtl/>
        </w:rPr>
        <w:t xml:space="preserve"> </w:t>
      </w:r>
      <w:r>
        <w:rPr>
          <w:rFonts w:hint="cs"/>
          <w:rtl/>
        </w:rPr>
        <w:t xml:space="preserve">אכן, רבי אליעזר </w:t>
      </w:r>
      <w:r>
        <w:rPr>
          <w:rFonts w:hint="cs"/>
          <w:sz w:val="16"/>
          <w:szCs w:val="16"/>
          <w:rtl/>
        </w:rPr>
        <w:t>[שם]</w:t>
      </w:r>
      <w:r>
        <w:rPr>
          <w:rFonts w:hint="cs"/>
          <w:rtl/>
        </w:rPr>
        <w:t xml:space="preserve"> חולק וסובר שהשעיר היה קרב עם שאר קרבנות המוסף עם תמיד של בין הערבים.</w:t>
      </w:r>
    </w:p>
  </w:footnote>
  <w:footnote w:id="188">
    <w:p w:rsidR="00A527D5" w:rsidRPr="009A0FD3" w:rsidRDefault="00A527D5" w:rsidP="00C26E1A">
      <w:pPr>
        <w:pStyle w:val="a5"/>
      </w:pPr>
      <w:r>
        <w:rPr>
          <w:rStyle w:val="a7"/>
        </w:rPr>
        <w:footnoteRef/>
      </w:r>
      <w:r>
        <w:rPr>
          <w:rtl/>
        </w:rPr>
        <w:t xml:space="preserve"> </w:t>
      </w:r>
      <w:r>
        <w:rPr>
          <w:rFonts w:hint="cs"/>
          <w:rtl/>
        </w:rPr>
        <w:t xml:space="preserve">יסוד זה עומד ביסוד מחלוקת אחרונים בנוסח הקרבנות הנזכרים בתפילת מוסף של יום הכיפורים. הנודע ביהודה </w:t>
      </w:r>
      <w:r>
        <w:rPr>
          <w:rFonts w:hint="cs"/>
          <w:sz w:val="16"/>
          <w:szCs w:val="16"/>
          <w:rtl/>
        </w:rPr>
        <w:t>[מהדו"ת סי' קכז (וכעין זה בדגול מרבבה תרכא, ד)]</w:t>
      </w:r>
      <w:r>
        <w:rPr>
          <w:rFonts w:hint="cs"/>
          <w:rtl/>
        </w:rPr>
        <w:t xml:space="preserve"> כותב, כי יש לומר "ושני שעירים לכפר", כדי להזכיר גם את השעיר הפנימי: "אף שאינו מן המוסף ממש, מכל מקום ראינו שהתורה הזכירה בפרשת פינחס שעיר זה, שהרי כתיב 'מלבד חטאת הכפורים'... שמע מינה </w:t>
      </w:r>
      <w:r w:rsidRPr="009A0FD3">
        <w:rPr>
          <w:rtl/>
        </w:rPr>
        <w:t>שחטאת הכפורים הפנימי שייך קצת לקרבן מוסף</w:t>
      </w:r>
      <w:r>
        <w:rPr>
          <w:rFonts w:hint="cs"/>
          <w:rtl/>
        </w:rPr>
        <w:t xml:space="preserve">". הבנין שלמה </w:t>
      </w:r>
      <w:r>
        <w:rPr>
          <w:rFonts w:hint="cs"/>
          <w:sz w:val="16"/>
          <w:szCs w:val="16"/>
          <w:rtl/>
        </w:rPr>
        <w:t>[ח"ב סי' לו]</w:t>
      </w:r>
      <w:r>
        <w:rPr>
          <w:rFonts w:hint="cs"/>
          <w:rtl/>
        </w:rPr>
        <w:t xml:space="preserve"> חולק על הנודע ביהודה וטוען שאין קשר בין שני השיעורים: "דמה שייכות יש באמת שעיר הפנימי של חובת היום לשעיר החיצון של המוספין, והלא אדרבה אין כפרתן שווה... והא דכתיב 'מלבד חטאת הכפורים' אין הטעם דיש להם שייכות, רק משום דבא הכתוב ללמד דחטאת הכיפורים היו קודם למוספין, דלשון 'מלבד' הוא ללמד דמלבד הקרבן שהקריבו כבר יקריבו עוד". [וע"ע פרקי מקראות </w:t>
      </w:r>
      <w:r>
        <w:rPr>
          <w:rFonts w:hint="cs"/>
          <w:sz w:val="16"/>
          <w:szCs w:val="16"/>
          <w:rtl/>
        </w:rPr>
        <w:t>[עמ' 514-515]</w:t>
      </w:r>
      <w:r>
        <w:rPr>
          <w:rFonts w:hint="cs"/>
          <w:rtl/>
        </w:rPr>
        <w:t xml:space="preserve"> המבאר בהרחבה את הקשר בין החטאות הפנימיות לבין שעיר המוסף].</w:t>
      </w:r>
    </w:p>
  </w:footnote>
  <w:footnote w:id="189">
    <w:p w:rsidR="00A527D5" w:rsidRPr="00AA67FB" w:rsidRDefault="00A527D5" w:rsidP="00C26E1A">
      <w:pPr>
        <w:pStyle w:val="a5"/>
        <w:rPr>
          <w:rtl/>
        </w:rPr>
      </w:pPr>
      <w:r>
        <w:rPr>
          <w:rStyle w:val="a7"/>
        </w:rPr>
        <w:footnoteRef/>
      </w:r>
      <w:r>
        <w:rPr>
          <w:rtl/>
        </w:rPr>
        <w:t xml:space="preserve"> </w:t>
      </w:r>
      <w:r>
        <w:rPr>
          <w:rFonts w:hint="cs"/>
          <w:rtl/>
        </w:rPr>
        <w:t xml:space="preserve">הצעה זו יכולה לבאר את שיטות הראשונים שכל עבודות היום צריכות להיעשות על ידי כהן גדול (עי' על כך בשיעור החמישי </w:t>
      </w:r>
      <w:r>
        <w:rPr>
          <w:rFonts w:hint="cs"/>
          <w:sz w:val="16"/>
          <w:szCs w:val="16"/>
          <w:rtl/>
        </w:rPr>
        <w:t>['העבודות הנעשות על ידי כהן גדול']</w:t>
      </w:r>
      <w:r>
        <w:rPr>
          <w:rFonts w:hint="cs"/>
          <w:rtl/>
        </w:rPr>
        <w:t xml:space="preserve">). כמו כן, ניתן לבאר על פיה את משמעות הטבילות והקידושים, הבאות גם לפני העבודות המיוחדות ליום הכיפורים וגם לפני העבודות היומיומיות. </w:t>
      </w:r>
    </w:p>
  </w:footnote>
  <w:footnote w:id="190">
    <w:p w:rsidR="00A527D5" w:rsidRPr="00CA6A34" w:rsidRDefault="00A527D5" w:rsidP="0010620B">
      <w:pPr>
        <w:pStyle w:val="a5"/>
        <w:rPr>
          <w:rtl/>
        </w:rPr>
      </w:pPr>
      <w:r>
        <w:rPr>
          <w:rStyle w:val="a7"/>
        </w:rPr>
        <w:footnoteRef/>
      </w:r>
      <w:r>
        <w:rPr>
          <w:rFonts w:hint="cs"/>
          <w:rtl/>
        </w:rPr>
        <w:t xml:space="preserve"> השיטות השונות בעניין זה הובאו בשיעור הראשון </w:t>
      </w:r>
      <w:r>
        <w:rPr>
          <w:rFonts w:hint="cs"/>
          <w:sz w:val="16"/>
          <w:szCs w:val="16"/>
          <w:rtl/>
        </w:rPr>
        <w:t xml:space="preserve">['סדר העבודה </w:t>
      </w:r>
      <w:r>
        <w:rPr>
          <w:sz w:val="16"/>
          <w:szCs w:val="16"/>
          <w:rtl/>
        </w:rPr>
        <w:t>–</w:t>
      </w:r>
      <w:r>
        <w:rPr>
          <w:rFonts w:hint="cs"/>
          <w:sz w:val="16"/>
          <w:szCs w:val="16"/>
          <w:rtl/>
        </w:rPr>
        <w:t xml:space="preserve"> טעמו ומהותו']</w:t>
      </w:r>
      <w:r>
        <w:rPr>
          <w:rFonts w:hint="cs"/>
          <w:rtl/>
        </w:rPr>
        <w:t xml:space="preserve">, ושם הובאו דברי חז"ל התומכים בכל אחת מהשיטות. </w:t>
      </w:r>
    </w:p>
  </w:footnote>
  <w:footnote w:id="191">
    <w:p w:rsidR="00A527D5" w:rsidRPr="00B651A7" w:rsidRDefault="00A527D5" w:rsidP="0010620B">
      <w:pPr>
        <w:pStyle w:val="a5"/>
      </w:pPr>
      <w:r>
        <w:rPr>
          <w:rStyle w:val="a7"/>
        </w:rPr>
        <w:footnoteRef/>
      </w:r>
      <w:r>
        <w:rPr>
          <w:rtl/>
        </w:rPr>
        <w:t xml:space="preserve"> </w:t>
      </w:r>
      <w:r>
        <w:rPr>
          <w:rFonts w:hint="cs"/>
          <w:rtl/>
        </w:rPr>
        <w:t xml:space="preserve">סוגיה זו התבארה בהרחבה בשיעור השני </w:t>
      </w:r>
      <w:r>
        <w:rPr>
          <w:rFonts w:hint="cs"/>
          <w:sz w:val="16"/>
          <w:szCs w:val="16"/>
          <w:rtl/>
        </w:rPr>
        <w:t>['הפרשת כהן גדול שבעת ימים קודם יום הכיפורים']</w:t>
      </w:r>
      <w:r>
        <w:rPr>
          <w:rFonts w:hint="cs"/>
          <w:rtl/>
        </w:rPr>
        <w:t>.</w:t>
      </w:r>
    </w:p>
  </w:footnote>
  <w:footnote w:id="192">
    <w:p w:rsidR="00A527D5" w:rsidRPr="00B651A7" w:rsidRDefault="00A527D5" w:rsidP="0010620B">
      <w:pPr>
        <w:pStyle w:val="a5"/>
        <w:rPr>
          <w:rtl/>
        </w:rPr>
      </w:pPr>
      <w:r>
        <w:rPr>
          <w:rStyle w:val="a7"/>
        </w:rPr>
        <w:footnoteRef/>
      </w:r>
      <w:r>
        <w:rPr>
          <w:rtl/>
        </w:rPr>
        <w:t xml:space="preserve"> </w:t>
      </w:r>
      <w:r>
        <w:rPr>
          <w:rFonts w:hint="cs"/>
          <w:rtl/>
        </w:rPr>
        <w:t xml:space="preserve">סוגיה זו התבארה בהרחבה בשיעור השישי </w:t>
      </w:r>
      <w:r>
        <w:rPr>
          <w:rFonts w:hint="cs"/>
          <w:sz w:val="16"/>
          <w:szCs w:val="16"/>
          <w:rtl/>
        </w:rPr>
        <w:t>['בגדי זהב ובגדי לבן']</w:t>
      </w:r>
      <w:r>
        <w:rPr>
          <w:rFonts w:hint="cs"/>
          <w:rtl/>
        </w:rPr>
        <w:t>.</w:t>
      </w:r>
    </w:p>
  </w:footnote>
  <w:footnote w:id="193">
    <w:p w:rsidR="00A527D5" w:rsidRPr="00956F92" w:rsidRDefault="00A527D5" w:rsidP="0010620B">
      <w:pPr>
        <w:pStyle w:val="a5"/>
      </w:pPr>
      <w:r>
        <w:rPr>
          <w:rStyle w:val="a7"/>
        </w:rPr>
        <w:footnoteRef/>
      </w:r>
      <w:r>
        <w:rPr>
          <w:rtl/>
        </w:rPr>
        <w:t xml:space="preserve"> </w:t>
      </w:r>
      <w:r>
        <w:rPr>
          <w:rFonts w:hint="cs"/>
          <w:rtl/>
        </w:rPr>
        <w:t xml:space="preserve">סוגיה זו התבארה בהרחבה בשיעור התשיעי </w:t>
      </w:r>
      <w:r>
        <w:rPr>
          <w:rFonts w:hint="cs"/>
          <w:sz w:val="16"/>
          <w:szCs w:val="16"/>
          <w:rtl/>
        </w:rPr>
        <w:t>['פרו של כהן גדול']</w:t>
      </w:r>
      <w:r>
        <w:rPr>
          <w:rFonts w:hint="cs"/>
          <w:rtl/>
        </w:rPr>
        <w:t>.</w:t>
      </w:r>
    </w:p>
  </w:footnote>
  <w:footnote w:id="194">
    <w:p w:rsidR="00A527D5" w:rsidRDefault="00A527D5" w:rsidP="0010620B">
      <w:pPr>
        <w:pStyle w:val="a5"/>
      </w:pPr>
      <w:r>
        <w:rPr>
          <w:rStyle w:val="a7"/>
        </w:rPr>
        <w:footnoteRef/>
      </w:r>
      <w:r>
        <w:rPr>
          <w:rtl/>
        </w:rPr>
        <w:t xml:space="preserve"> </w:t>
      </w:r>
      <w:r>
        <w:rPr>
          <w:rFonts w:hint="cs"/>
          <w:rtl/>
        </w:rPr>
        <w:t>אם כי ניתן לטעון שאיסור אכילה ביום הכיפורים הוא 'איסור גברא', ואילו איסורי האכילה האחרים הם 'איסורי חפצא', ואכמ"ל.</w:t>
      </w:r>
    </w:p>
  </w:footnote>
  <w:footnote w:id="195">
    <w:p w:rsidR="00A527D5" w:rsidRPr="004E0DA9" w:rsidRDefault="00A527D5" w:rsidP="0010620B">
      <w:pPr>
        <w:pStyle w:val="a5"/>
        <w:rPr>
          <w:rtl/>
        </w:rPr>
      </w:pPr>
      <w:r>
        <w:rPr>
          <w:rStyle w:val="a7"/>
        </w:rPr>
        <w:footnoteRef/>
      </w:r>
      <w:r>
        <w:rPr>
          <w:rtl/>
        </w:rPr>
        <w:t xml:space="preserve"> </w:t>
      </w:r>
      <w:r>
        <w:rPr>
          <w:rFonts w:hint="cs"/>
          <w:rtl/>
        </w:rPr>
        <w:t xml:space="preserve">עי' תורת זרעים </w:t>
      </w:r>
      <w:r>
        <w:rPr>
          <w:rFonts w:hint="cs"/>
          <w:sz w:val="16"/>
          <w:szCs w:val="16"/>
          <w:rtl/>
        </w:rPr>
        <w:t>[תרומות ו, א]</w:t>
      </w:r>
      <w:r>
        <w:rPr>
          <w:rFonts w:hint="cs"/>
          <w:rtl/>
        </w:rPr>
        <w:t xml:space="preserve"> המבאר את דברי הירושלמי באופן אחר.</w:t>
      </w:r>
    </w:p>
  </w:footnote>
  <w:footnote w:id="196">
    <w:p w:rsidR="00A527D5" w:rsidRPr="004E0DA9" w:rsidRDefault="00A527D5" w:rsidP="0010620B">
      <w:pPr>
        <w:pStyle w:val="a5"/>
      </w:pPr>
      <w:r>
        <w:rPr>
          <w:rStyle w:val="a7"/>
        </w:rPr>
        <w:footnoteRef/>
      </w:r>
      <w:r>
        <w:rPr>
          <w:rtl/>
        </w:rPr>
        <w:t xml:space="preserve"> </w:t>
      </w:r>
      <w:r>
        <w:rPr>
          <w:rFonts w:hint="cs"/>
          <w:rtl/>
        </w:rPr>
        <w:t xml:space="preserve">כעין זה טוען האפיקי ים </w:t>
      </w:r>
      <w:r>
        <w:rPr>
          <w:rFonts w:hint="cs"/>
          <w:sz w:val="16"/>
          <w:szCs w:val="16"/>
          <w:rtl/>
        </w:rPr>
        <w:t>[ח"ב סי' לא בהגה"ה]</w:t>
      </w:r>
      <w:r>
        <w:rPr>
          <w:rFonts w:hint="cs"/>
          <w:rtl/>
        </w:rPr>
        <w:t>. אמנם נראה שאין בדברים הכרח, והם תלויים גם בגדר איסור 'חצי שיעור', ואכמ"ל.</w:t>
      </w:r>
    </w:p>
  </w:footnote>
  <w:footnote w:id="197">
    <w:p w:rsidR="00A527D5" w:rsidRPr="00EA016C" w:rsidRDefault="00A527D5" w:rsidP="0010620B">
      <w:pPr>
        <w:pStyle w:val="a5"/>
        <w:rPr>
          <w:rtl/>
        </w:rPr>
      </w:pPr>
      <w:r>
        <w:rPr>
          <w:rStyle w:val="a7"/>
        </w:rPr>
        <w:footnoteRef/>
      </w:r>
      <w:r>
        <w:rPr>
          <w:rtl/>
        </w:rPr>
        <w:t xml:space="preserve"> </w:t>
      </w:r>
      <w:r>
        <w:rPr>
          <w:rFonts w:hint="cs"/>
          <w:rtl/>
        </w:rPr>
        <w:t xml:space="preserve">דבריו מבוססים על הגמרא </w:t>
      </w:r>
      <w:r>
        <w:rPr>
          <w:rFonts w:hint="cs"/>
          <w:sz w:val="16"/>
          <w:szCs w:val="16"/>
          <w:rtl/>
        </w:rPr>
        <w:t>[פא:]</w:t>
      </w:r>
      <w:r>
        <w:rPr>
          <w:rFonts w:hint="cs"/>
          <w:rtl/>
        </w:rPr>
        <w:t>: "אימר</w:t>
      </w:r>
      <w:r>
        <w:rPr>
          <w:rtl/>
        </w:rPr>
        <w:t xml:space="preserve"> </w:t>
      </w:r>
      <w:r>
        <w:rPr>
          <w:rFonts w:hint="cs"/>
          <w:rtl/>
        </w:rPr>
        <w:t>דאמרי</w:t>
      </w:r>
      <w:r>
        <w:rPr>
          <w:rtl/>
        </w:rPr>
        <w:t xml:space="preserve"> </w:t>
      </w:r>
      <w:r>
        <w:rPr>
          <w:rFonts w:hint="cs"/>
          <w:rtl/>
        </w:rPr>
        <w:t>אנא</w:t>
      </w:r>
      <w:r>
        <w:rPr>
          <w:rtl/>
        </w:rPr>
        <w:t xml:space="preserve"> </w:t>
      </w:r>
      <w:r>
        <w:rPr>
          <w:rFonts w:hint="cs"/>
          <w:rtl/>
        </w:rPr>
        <w:t>פורתא</w:t>
      </w:r>
      <w:r>
        <w:rPr>
          <w:rtl/>
        </w:rPr>
        <w:t xml:space="preserve">, </w:t>
      </w:r>
      <w:r>
        <w:rPr>
          <w:rFonts w:hint="cs"/>
          <w:rtl/>
        </w:rPr>
        <w:t>טובא</w:t>
      </w:r>
      <w:r>
        <w:rPr>
          <w:rtl/>
        </w:rPr>
        <w:t xml:space="preserve"> </w:t>
      </w:r>
      <w:r>
        <w:rPr>
          <w:rFonts w:hint="cs"/>
          <w:rtl/>
        </w:rPr>
        <w:t>מי</w:t>
      </w:r>
      <w:r>
        <w:rPr>
          <w:rtl/>
        </w:rPr>
        <w:t xml:space="preserve"> </w:t>
      </w:r>
      <w:r>
        <w:rPr>
          <w:rFonts w:hint="cs"/>
          <w:rtl/>
        </w:rPr>
        <w:t xml:space="preserve">אמרי"; אמנם ברמב"ם </w:t>
      </w:r>
      <w:r>
        <w:rPr>
          <w:rFonts w:hint="cs"/>
          <w:sz w:val="16"/>
          <w:szCs w:val="16"/>
          <w:rtl/>
        </w:rPr>
        <w:t>[הל' שביתת עשור פ"ב ה"ה-ו]</w:t>
      </w:r>
      <w:r>
        <w:rPr>
          <w:rFonts w:hint="cs"/>
          <w:rtl/>
        </w:rPr>
        <w:t xml:space="preserve"> הבחנה זו אינה נזכרת. </w:t>
      </w:r>
    </w:p>
  </w:footnote>
  <w:footnote w:id="198">
    <w:p w:rsidR="00A527D5" w:rsidRPr="00722498" w:rsidRDefault="00A527D5" w:rsidP="0010620B">
      <w:pPr>
        <w:pStyle w:val="a5"/>
        <w:rPr>
          <w:sz w:val="16"/>
          <w:szCs w:val="16"/>
          <w:rtl/>
        </w:rPr>
      </w:pPr>
      <w:r>
        <w:rPr>
          <w:rStyle w:val="a7"/>
        </w:rPr>
        <w:footnoteRef/>
      </w:r>
      <w:r>
        <w:rPr>
          <w:rtl/>
        </w:rPr>
        <w:t xml:space="preserve"> </w:t>
      </w:r>
      <w:r>
        <w:rPr>
          <w:rFonts w:hint="cs"/>
          <w:rtl/>
        </w:rPr>
        <w:t xml:space="preserve">אחרונים רבים </w:t>
      </w:r>
      <w:r>
        <w:rPr>
          <w:rFonts w:hint="cs"/>
          <w:sz w:val="16"/>
          <w:szCs w:val="16"/>
          <w:rtl/>
        </w:rPr>
        <w:t>[אור שמח הל' שביתת עשור פ"ב ה"ד; אחיעזר ח"ג סי' סא; עמק ברכה יום הכיפורים אות ב; עמוד הימני סי' מג]</w:t>
      </w:r>
      <w:r>
        <w:rPr>
          <w:rFonts w:hint="cs"/>
          <w:rtl/>
        </w:rPr>
        <w:t xml:space="preserve"> חולקים על המנחת חינוך מטעמים שונים. </w:t>
      </w:r>
      <w:r>
        <w:rPr>
          <w:rFonts w:hint="cs"/>
          <w:sz w:val="16"/>
          <w:szCs w:val="16"/>
          <w:rtl/>
        </w:rPr>
        <w:tab/>
      </w:r>
    </w:p>
  </w:footnote>
  <w:footnote w:id="199">
    <w:p w:rsidR="00A527D5" w:rsidRPr="00CA201E" w:rsidRDefault="00A527D5" w:rsidP="0010620B">
      <w:pPr>
        <w:pStyle w:val="a5"/>
      </w:pPr>
      <w:r>
        <w:rPr>
          <w:rStyle w:val="a7"/>
        </w:rPr>
        <w:footnoteRef/>
      </w:r>
      <w:r>
        <w:rPr>
          <w:rtl/>
        </w:rPr>
        <w:t xml:space="preserve"> </w:t>
      </w:r>
      <w:r>
        <w:rPr>
          <w:rFonts w:hint="cs"/>
          <w:rtl/>
        </w:rPr>
        <w:t xml:space="preserve">וכן נוקטים תוספות ישנים </w:t>
      </w:r>
      <w:r>
        <w:rPr>
          <w:rFonts w:hint="cs"/>
          <w:sz w:val="16"/>
          <w:szCs w:val="16"/>
          <w:rtl/>
        </w:rPr>
        <w:t>[עג: ד"ה יום]</w:t>
      </w:r>
      <w:r>
        <w:rPr>
          <w:rFonts w:hint="cs"/>
          <w:rtl/>
        </w:rPr>
        <w:t xml:space="preserve"> והרא"ש </w:t>
      </w:r>
      <w:r>
        <w:rPr>
          <w:rFonts w:hint="cs"/>
          <w:sz w:val="16"/>
          <w:szCs w:val="16"/>
          <w:rtl/>
        </w:rPr>
        <w:t>[סי' א]</w:t>
      </w:r>
      <w:r>
        <w:rPr>
          <w:rFonts w:hint="cs"/>
          <w:rtl/>
        </w:rPr>
        <w:t>.</w:t>
      </w:r>
    </w:p>
  </w:footnote>
  <w:footnote w:id="200">
    <w:p w:rsidR="00A527D5" w:rsidRPr="00493608" w:rsidRDefault="00A527D5" w:rsidP="0010620B">
      <w:pPr>
        <w:pStyle w:val="a5"/>
        <w:rPr>
          <w:rtl/>
        </w:rPr>
      </w:pPr>
      <w:r>
        <w:rPr>
          <w:rStyle w:val="a7"/>
        </w:rPr>
        <w:footnoteRef/>
      </w:r>
      <w:r>
        <w:rPr>
          <w:rtl/>
        </w:rPr>
        <w:t xml:space="preserve"> </w:t>
      </w:r>
      <w:r>
        <w:rPr>
          <w:rFonts w:hint="cs"/>
          <w:rtl/>
        </w:rPr>
        <w:t xml:space="preserve">הרמב"ם מזכיר רק את האכילה, אך גם שתייה כלולה באיסור, כדברי הגמרא </w:t>
      </w:r>
      <w:r>
        <w:rPr>
          <w:rFonts w:hint="cs"/>
          <w:sz w:val="16"/>
          <w:szCs w:val="16"/>
          <w:rtl/>
        </w:rPr>
        <w:t>[עו.]</w:t>
      </w:r>
      <w:r>
        <w:rPr>
          <w:rFonts w:hint="cs"/>
          <w:rtl/>
        </w:rPr>
        <w:t>: "שתייה בכלל אכילה".</w:t>
      </w:r>
    </w:p>
  </w:footnote>
  <w:footnote w:id="201">
    <w:p w:rsidR="00A527D5" w:rsidRPr="00255521" w:rsidRDefault="00A527D5" w:rsidP="0010620B">
      <w:pPr>
        <w:pStyle w:val="a5"/>
        <w:rPr>
          <w:rtl/>
        </w:rPr>
      </w:pPr>
      <w:r>
        <w:rPr>
          <w:rStyle w:val="a7"/>
        </w:rPr>
        <w:footnoteRef/>
      </w:r>
      <w:r>
        <w:rPr>
          <w:rtl/>
        </w:rPr>
        <w:t xml:space="preserve"> </w:t>
      </w:r>
      <w:r>
        <w:rPr>
          <w:rFonts w:hint="cs"/>
          <w:rtl/>
        </w:rPr>
        <w:t xml:space="preserve">הגדרה זו עולה גם מדברי הרמב"ם בפירוש המשנה </w:t>
      </w:r>
      <w:r>
        <w:rPr>
          <w:rFonts w:hint="cs"/>
          <w:sz w:val="16"/>
          <w:szCs w:val="16"/>
          <w:rtl/>
        </w:rPr>
        <w:t>[יומא פ"ח מ"א]</w:t>
      </w:r>
      <w:r>
        <w:rPr>
          <w:rFonts w:hint="cs"/>
          <w:rtl/>
        </w:rPr>
        <w:t xml:space="preserve">. [ע"ע בדברי המגיד משנה, הלחם משנה ומרכבת המשנה </w:t>
      </w:r>
      <w:r>
        <w:rPr>
          <w:rFonts w:hint="cs"/>
          <w:sz w:val="16"/>
          <w:szCs w:val="16"/>
          <w:rtl/>
        </w:rPr>
        <w:t>[על אתר]</w:t>
      </w:r>
      <w:r>
        <w:rPr>
          <w:rFonts w:hint="cs"/>
          <w:rtl/>
        </w:rPr>
        <w:t xml:space="preserve"> על שיטת הרמב"ם].</w:t>
      </w:r>
    </w:p>
  </w:footnote>
  <w:footnote w:id="202">
    <w:p w:rsidR="00A527D5" w:rsidRPr="005B164E" w:rsidRDefault="00A527D5" w:rsidP="0010620B">
      <w:pPr>
        <w:pStyle w:val="a5"/>
      </w:pPr>
      <w:r>
        <w:rPr>
          <w:rStyle w:val="a7"/>
        </w:rPr>
        <w:footnoteRef/>
      </w:r>
      <w:r>
        <w:rPr>
          <w:rtl/>
        </w:rPr>
        <w:t xml:space="preserve"> </w:t>
      </w:r>
      <w:r>
        <w:rPr>
          <w:rFonts w:hint="cs"/>
          <w:rtl/>
        </w:rPr>
        <w:t xml:space="preserve">שיטת השאילתות והיראים מבוססת על דברי הגמרא </w:t>
      </w:r>
      <w:r>
        <w:rPr>
          <w:rFonts w:hint="cs"/>
          <w:sz w:val="16"/>
          <w:szCs w:val="16"/>
          <w:rtl/>
        </w:rPr>
        <w:t>[עו.]</w:t>
      </w:r>
      <w:r>
        <w:rPr>
          <w:rFonts w:hint="cs"/>
          <w:rtl/>
        </w:rPr>
        <w:t>: "הני</w:t>
      </w:r>
      <w:r>
        <w:rPr>
          <w:rtl/>
        </w:rPr>
        <w:t xml:space="preserve"> </w:t>
      </w:r>
      <w:r>
        <w:rPr>
          <w:rFonts w:hint="cs"/>
          <w:rtl/>
        </w:rPr>
        <w:t>חמשה</w:t>
      </w:r>
      <w:r>
        <w:rPr>
          <w:rtl/>
        </w:rPr>
        <w:t xml:space="preserve"> </w:t>
      </w:r>
      <w:r>
        <w:rPr>
          <w:rFonts w:hint="cs"/>
          <w:rtl/>
        </w:rPr>
        <w:t>ענויין</w:t>
      </w:r>
      <w:r>
        <w:rPr>
          <w:rtl/>
        </w:rPr>
        <w:t xml:space="preserve"> </w:t>
      </w:r>
      <w:r>
        <w:rPr>
          <w:rFonts w:hint="cs"/>
          <w:rtl/>
        </w:rPr>
        <w:t>כנגד</w:t>
      </w:r>
      <w:r>
        <w:rPr>
          <w:rtl/>
        </w:rPr>
        <w:t xml:space="preserve"> </w:t>
      </w:r>
      <w:r>
        <w:rPr>
          <w:rFonts w:hint="cs"/>
          <w:rtl/>
        </w:rPr>
        <w:t>מי</w:t>
      </w:r>
      <w:r>
        <w:rPr>
          <w:rtl/>
        </w:rPr>
        <w:t xml:space="preserve">? </w:t>
      </w:r>
      <w:r>
        <w:rPr>
          <w:rFonts w:hint="cs"/>
          <w:rtl/>
        </w:rPr>
        <w:t>אמר</w:t>
      </w:r>
      <w:r>
        <w:rPr>
          <w:rtl/>
        </w:rPr>
        <w:t xml:space="preserve"> </w:t>
      </w:r>
      <w:r>
        <w:rPr>
          <w:rFonts w:hint="cs"/>
          <w:rtl/>
        </w:rPr>
        <w:t>רב</w:t>
      </w:r>
      <w:r>
        <w:rPr>
          <w:rtl/>
        </w:rPr>
        <w:t xml:space="preserve"> </w:t>
      </w:r>
      <w:r>
        <w:rPr>
          <w:rFonts w:hint="cs"/>
          <w:rtl/>
        </w:rPr>
        <w:t>חסדא</w:t>
      </w:r>
      <w:r>
        <w:rPr>
          <w:rtl/>
        </w:rPr>
        <w:t xml:space="preserve">: </w:t>
      </w:r>
      <w:r>
        <w:rPr>
          <w:rFonts w:hint="cs"/>
          <w:rtl/>
        </w:rPr>
        <w:t>כנגד</w:t>
      </w:r>
      <w:r>
        <w:rPr>
          <w:rtl/>
        </w:rPr>
        <w:t xml:space="preserve"> </w:t>
      </w:r>
      <w:r>
        <w:rPr>
          <w:rFonts w:hint="cs"/>
          <w:rtl/>
        </w:rPr>
        <w:t>חמשה</w:t>
      </w:r>
      <w:r>
        <w:rPr>
          <w:rtl/>
        </w:rPr>
        <w:t xml:space="preserve"> </w:t>
      </w:r>
      <w:r>
        <w:rPr>
          <w:rFonts w:hint="cs"/>
          <w:rtl/>
        </w:rPr>
        <w:t>ענויין</w:t>
      </w:r>
      <w:r>
        <w:rPr>
          <w:rtl/>
        </w:rPr>
        <w:t xml:space="preserve"> </w:t>
      </w:r>
      <w:r>
        <w:rPr>
          <w:rFonts w:hint="cs"/>
          <w:rtl/>
        </w:rPr>
        <w:t xml:space="preserve">שבתורה" וכו'. לעומתה, שיטת הרמב"ם מבוססת על דרשת הספרא </w:t>
      </w:r>
      <w:r>
        <w:rPr>
          <w:rFonts w:hint="cs"/>
          <w:sz w:val="16"/>
          <w:szCs w:val="16"/>
          <w:rtl/>
        </w:rPr>
        <w:t>[אמור פרשה יא; מובאת בגמ' עד.]</w:t>
      </w:r>
      <w:r>
        <w:rPr>
          <w:rFonts w:hint="cs"/>
          <w:rtl/>
        </w:rPr>
        <w:t>: "</w:t>
      </w:r>
      <w:r w:rsidRPr="005B164E">
        <w:rPr>
          <w:rtl/>
        </w:rPr>
        <w:t xml:space="preserve">ומניין שיום הכיפורים אסור באכילה ובשתייה וברחיצה ובסיכה ובתשמיש </w:t>
      </w:r>
      <w:r>
        <w:rPr>
          <w:rtl/>
        </w:rPr>
        <w:t>המיטה ובנעילת הסנדל? תלמוד לומר</w:t>
      </w:r>
      <w:r w:rsidRPr="005B164E">
        <w:rPr>
          <w:rtl/>
        </w:rPr>
        <w:t xml:space="preserve"> </w:t>
      </w:r>
      <w:r>
        <w:rPr>
          <w:rFonts w:hint="cs"/>
          <w:rtl/>
        </w:rPr>
        <w:t>'</w:t>
      </w:r>
      <w:r>
        <w:rPr>
          <w:rtl/>
        </w:rPr>
        <w:t>שבתון</w:t>
      </w:r>
      <w:r>
        <w:rPr>
          <w:rFonts w:hint="cs"/>
          <w:rtl/>
        </w:rPr>
        <w:t xml:space="preserve">' </w:t>
      </w:r>
      <w:r>
        <w:rPr>
          <w:rtl/>
        </w:rPr>
        <w:t>–</w:t>
      </w:r>
      <w:r>
        <w:rPr>
          <w:rFonts w:hint="cs"/>
          <w:rtl/>
        </w:rPr>
        <w:t xml:space="preserve"> שבות"</w:t>
      </w:r>
      <w:r w:rsidRPr="005B164E">
        <w:rPr>
          <w:rtl/>
        </w:rPr>
        <w:t>.</w:t>
      </w:r>
    </w:p>
  </w:footnote>
  <w:footnote w:id="203">
    <w:p w:rsidR="00A527D5" w:rsidRDefault="00A527D5" w:rsidP="0010620B">
      <w:pPr>
        <w:pStyle w:val="a5"/>
        <w:rPr>
          <w:rtl/>
        </w:rPr>
      </w:pPr>
      <w:r>
        <w:rPr>
          <w:rStyle w:val="a7"/>
        </w:rPr>
        <w:footnoteRef/>
      </w:r>
      <w:r>
        <w:rPr>
          <w:rtl/>
        </w:rPr>
        <w:t xml:space="preserve"> </w:t>
      </w:r>
      <w:r>
        <w:rPr>
          <w:rFonts w:hint="cs"/>
          <w:rtl/>
        </w:rPr>
        <w:t>תוספות ישנים דוחה שיטה זו מטעמים נוספים.</w:t>
      </w:r>
    </w:p>
  </w:footnote>
  <w:footnote w:id="204">
    <w:p w:rsidR="00A527D5" w:rsidRPr="00F82E9A" w:rsidRDefault="00A527D5" w:rsidP="0010620B">
      <w:pPr>
        <w:pStyle w:val="a5"/>
      </w:pPr>
      <w:r>
        <w:rPr>
          <w:rStyle w:val="a7"/>
        </w:rPr>
        <w:footnoteRef/>
      </w:r>
      <w:r>
        <w:rPr>
          <w:rtl/>
        </w:rPr>
        <w:t xml:space="preserve"> </w:t>
      </w:r>
      <w:r>
        <w:rPr>
          <w:rFonts w:hint="cs"/>
          <w:rtl/>
        </w:rPr>
        <w:t>התוספות ישנים מוסיף: "ו</w:t>
      </w:r>
      <w:r>
        <w:rPr>
          <w:rtl/>
        </w:rPr>
        <w:t>אין נ</w:t>
      </w:r>
      <w:r>
        <w:rPr>
          <w:rFonts w:hint="cs"/>
          <w:rtl/>
        </w:rPr>
        <w:t>ראה לי</w:t>
      </w:r>
      <w:r w:rsidRPr="00F82E9A">
        <w:rPr>
          <w:rtl/>
        </w:rPr>
        <w:t xml:space="preserve"> דבהכי פליגי</w:t>
      </w:r>
      <w:r>
        <w:rPr>
          <w:rFonts w:hint="cs"/>
          <w:rtl/>
        </w:rPr>
        <w:t>,</w:t>
      </w:r>
      <w:r>
        <w:rPr>
          <w:rtl/>
        </w:rPr>
        <w:t xml:space="preserve"> דרבנן אסרי נעילת הסנדל </w:t>
      </w:r>
      <w:r>
        <w:rPr>
          <w:rFonts w:hint="cs"/>
          <w:rtl/>
        </w:rPr>
        <w:t>מן התורה</w:t>
      </w:r>
      <w:r>
        <w:rPr>
          <w:rtl/>
        </w:rPr>
        <w:t xml:space="preserve"> ור</w:t>
      </w:r>
      <w:r>
        <w:rPr>
          <w:rFonts w:hint="cs"/>
          <w:rtl/>
        </w:rPr>
        <w:t>בי</w:t>
      </w:r>
      <w:r w:rsidRPr="00F82E9A">
        <w:rPr>
          <w:rtl/>
        </w:rPr>
        <w:t xml:space="preserve"> אליעזר שרי</w:t>
      </w:r>
      <w:r>
        <w:rPr>
          <w:rFonts w:hint="cs"/>
          <w:rtl/>
        </w:rPr>
        <w:t>.</w:t>
      </w:r>
      <w:r w:rsidRPr="00F82E9A">
        <w:rPr>
          <w:rtl/>
        </w:rPr>
        <w:t xml:space="preserve"> וגם אין נראה ל</w:t>
      </w:r>
      <w:r>
        <w:rPr>
          <w:rtl/>
        </w:rPr>
        <w:t>ומר דודאי נעילת מנעל אסור מ</w:t>
      </w:r>
      <w:r>
        <w:rPr>
          <w:rFonts w:hint="cs"/>
          <w:rtl/>
        </w:rPr>
        <w:t>ן התורה</w:t>
      </w:r>
      <w:r w:rsidRPr="00F82E9A">
        <w:rPr>
          <w:rtl/>
        </w:rPr>
        <w:t xml:space="preserve"> אבל סנדל אינו אסור אלא מדרבנן</w:t>
      </w:r>
      <w:r>
        <w:rPr>
          <w:rFonts w:hint="cs"/>
          <w:rtl/>
        </w:rPr>
        <w:t>,</w:t>
      </w:r>
      <w:r w:rsidRPr="00F82E9A">
        <w:rPr>
          <w:rtl/>
        </w:rPr>
        <w:t xml:space="preserve"> ולהכי פליגי ביה בחיה</w:t>
      </w:r>
      <w:r>
        <w:rPr>
          <w:rFonts w:hint="cs"/>
          <w:rtl/>
        </w:rPr>
        <w:t>,</w:t>
      </w:r>
      <w:r w:rsidRPr="00F82E9A">
        <w:rPr>
          <w:rtl/>
        </w:rPr>
        <w:t xml:space="preserve"> ולהכי לא נקט מנעל אלא סנדל</w:t>
      </w:r>
      <w:r>
        <w:rPr>
          <w:rFonts w:hint="cs"/>
          <w:rtl/>
        </w:rPr>
        <w:t>".</w:t>
      </w:r>
    </w:p>
  </w:footnote>
  <w:footnote w:id="205">
    <w:p w:rsidR="00A527D5" w:rsidRPr="006D0DC9" w:rsidRDefault="00A527D5" w:rsidP="0010620B">
      <w:pPr>
        <w:pStyle w:val="a5"/>
      </w:pPr>
      <w:r>
        <w:rPr>
          <w:rStyle w:val="a7"/>
        </w:rPr>
        <w:footnoteRef/>
      </w:r>
      <w:r>
        <w:rPr>
          <w:rtl/>
        </w:rPr>
        <w:t xml:space="preserve"> </w:t>
      </w:r>
      <w:r>
        <w:rPr>
          <w:rFonts w:hint="cs"/>
          <w:rtl/>
        </w:rPr>
        <w:t xml:space="preserve">וכן כותבים תוספות </w:t>
      </w:r>
      <w:r>
        <w:rPr>
          <w:rFonts w:hint="cs"/>
          <w:sz w:val="16"/>
          <w:szCs w:val="16"/>
          <w:rtl/>
        </w:rPr>
        <w:t>[עז. ד"ה דתנן]</w:t>
      </w:r>
      <w:r>
        <w:rPr>
          <w:rFonts w:hint="cs"/>
          <w:rtl/>
        </w:rPr>
        <w:t xml:space="preserve"> והרא"ש </w:t>
      </w:r>
      <w:r>
        <w:rPr>
          <w:rFonts w:hint="cs"/>
          <w:sz w:val="16"/>
          <w:szCs w:val="16"/>
          <w:rtl/>
        </w:rPr>
        <w:t>[סי' א]</w:t>
      </w:r>
      <w:r>
        <w:rPr>
          <w:rFonts w:hint="cs"/>
          <w:rtl/>
        </w:rPr>
        <w:t>.</w:t>
      </w:r>
    </w:p>
  </w:footnote>
  <w:footnote w:id="206">
    <w:p w:rsidR="00A527D5" w:rsidRDefault="00A527D5" w:rsidP="0010620B">
      <w:pPr>
        <w:pStyle w:val="a5"/>
        <w:rPr>
          <w:rtl/>
        </w:rPr>
      </w:pPr>
      <w:r>
        <w:rPr>
          <w:rStyle w:val="a7"/>
        </w:rPr>
        <w:footnoteRef/>
      </w:r>
      <w:r>
        <w:rPr>
          <w:rtl/>
        </w:rPr>
        <w:t xml:space="preserve"> </w:t>
      </w:r>
      <w:r>
        <w:rPr>
          <w:rFonts w:hint="cs"/>
          <w:rtl/>
        </w:rPr>
        <w:t>בשיעור שעבר ראינו כי הגדרה זו שנויה במחלוקת ראשונים ואחרונים, האם האיסור הוא בעצם מעשה האכילה או בביטול העינוי.</w:t>
      </w:r>
    </w:p>
  </w:footnote>
  <w:footnote w:id="207">
    <w:p w:rsidR="00A527D5" w:rsidRPr="0017446A" w:rsidRDefault="00A527D5" w:rsidP="0010620B">
      <w:pPr>
        <w:pStyle w:val="a5"/>
      </w:pPr>
      <w:r>
        <w:rPr>
          <w:rStyle w:val="a7"/>
        </w:rPr>
        <w:footnoteRef/>
      </w:r>
      <w:r>
        <w:rPr>
          <w:rtl/>
        </w:rPr>
        <w:t xml:space="preserve"> </w:t>
      </w:r>
      <w:r>
        <w:rPr>
          <w:rFonts w:hint="cs"/>
          <w:rtl/>
        </w:rPr>
        <w:t xml:space="preserve">נראה כי זהו עומק הדרשה הלומדת איסורים אלו מ"שבתון". ולפי זה נראה שיש קשר הדוק בין איסורים אלו לבין איסור שבות בשבת; עי' בדרשת הספרא </w:t>
      </w:r>
      <w:r>
        <w:rPr>
          <w:rFonts w:hint="cs"/>
          <w:sz w:val="16"/>
          <w:szCs w:val="16"/>
          <w:rtl/>
        </w:rPr>
        <w:t>[אמור פרק יד הל' ד]</w:t>
      </w:r>
      <w:r>
        <w:rPr>
          <w:rFonts w:hint="cs"/>
          <w:rtl/>
        </w:rPr>
        <w:t>: "</w:t>
      </w:r>
      <w:r w:rsidRPr="0017446A">
        <w:rPr>
          <w:rtl/>
        </w:rPr>
        <w:t>ומניין שיום הכיפורים אסור באכילה ובשתייה וברחיצה ובסיכה ובתשמיש המיטה ובנעילת הסנדל</w:t>
      </w:r>
      <w:r>
        <w:rPr>
          <w:rFonts w:hint="cs"/>
          <w:rtl/>
        </w:rPr>
        <w:t>?</w:t>
      </w:r>
      <w:r w:rsidRPr="0017446A">
        <w:rPr>
          <w:rtl/>
        </w:rPr>
        <w:t xml:space="preserve"> תלמוד לומר </w:t>
      </w:r>
      <w:r>
        <w:rPr>
          <w:rFonts w:hint="cs"/>
          <w:rtl/>
        </w:rPr>
        <w:t>'</w:t>
      </w:r>
      <w:r w:rsidRPr="0017446A">
        <w:rPr>
          <w:rtl/>
        </w:rPr>
        <w:t>שבתון</w:t>
      </w:r>
      <w:r>
        <w:rPr>
          <w:rFonts w:hint="cs"/>
          <w:rtl/>
        </w:rPr>
        <w:t xml:space="preserve">' </w:t>
      </w:r>
      <w:r>
        <w:rPr>
          <w:rtl/>
        </w:rPr>
        <w:t>– שבות</w:t>
      </w:r>
      <w:r>
        <w:rPr>
          <w:rFonts w:hint="cs"/>
          <w:rtl/>
        </w:rPr>
        <w:t>.</w:t>
      </w:r>
      <w:r w:rsidRPr="0017446A">
        <w:rPr>
          <w:rtl/>
        </w:rPr>
        <w:t xml:space="preserve"> יכול תהא שבת בראשית אסורה בכולם</w:t>
      </w:r>
      <w:r>
        <w:rPr>
          <w:rFonts w:hint="cs"/>
          <w:rtl/>
        </w:rPr>
        <w:t>?</w:t>
      </w:r>
      <w:r w:rsidRPr="0017446A">
        <w:rPr>
          <w:rtl/>
        </w:rPr>
        <w:t xml:space="preserve"> תלמוד לומר </w:t>
      </w:r>
      <w:r>
        <w:rPr>
          <w:rFonts w:hint="cs"/>
          <w:rtl/>
        </w:rPr>
        <w:t>'</w:t>
      </w:r>
      <w:r w:rsidRPr="0017446A">
        <w:rPr>
          <w:rtl/>
        </w:rPr>
        <w:t>שבתון הוא לכם ועיניתם</w:t>
      </w:r>
      <w:r>
        <w:rPr>
          <w:rFonts w:hint="cs"/>
          <w:rtl/>
        </w:rPr>
        <w:t>'</w:t>
      </w:r>
      <w:r w:rsidRPr="0017446A">
        <w:rPr>
          <w:rtl/>
        </w:rPr>
        <w:t>, הוא אסור בכולן ואין שבת בראשית אסור בכולן</w:t>
      </w:r>
      <w:r>
        <w:rPr>
          <w:rFonts w:hint="cs"/>
          <w:rtl/>
        </w:rPr>
        <w:t xml:space="preserve">", וע"ע בשיעורי הרב שג"ר </w:t>
      </w:r>
      <w:r>
        <w:rPr>
          <w:rFonts w:hint="cs"/>
          <w:sz w:val="16"/>
          <w:szCs w:val="16"/>
          <w:rtl/>
        </w:rPr>
        <w:t>[שיעורים בגמרא - יומא, עמ' 130-131]</w:t>
      </w:r>
      <w:r>
        <w:rPr>
          <w:rFonts w:hint="cs"/>
          <w:rtl/>
        </w:rPr>
        <w:t xml:space="preserve"> המרחיב בביאור העניין, ואכמ"ל]</w:t>
      </w:r>
      <w:r w:rsidRPr="0017446A">
        <w:rPr>
          <w:rtl/>
        </w:rPr>
        <w:t>.</w:t>
      </w:r>
    </w:p>
  </w:footnote>
  <w:footnote w:id="208">
    <w:p w:rsidR="00A527D5" w:rsidRPr="001229E7" w:rsidRDefault="00A527D5" w:rsidP="0010620B">
      <w:pPr>
        <w:pStyle w:val="a5"/>
        <w:rPr>
          <w:rtl/>
        </w:rPr>
      </w:pPr>
      <w:r>
        <w:rPr>
          <w:rStyle w:val="a7"/>
        </w:rPr>
        <w:footnoteRef/>
      </w:r>
      <w:r>
        <w:rPr>
          <w:rtl/>
        </w:rPr>
        <w:t xml:space="preserve"> </w:t>
      </w:r>
      <w:r>
        <w:rPr>
          <w:rFonts w:hint="cs"/>
          <w:rtl/>
        </w:rPr>
        <w:t xml:space="preserve">התורת זרעים </w:t>
      </w:r>
      <w:r>
        <w:rPr>
          <w:rFonts w:hint="cs"/>
          <w:sz w:val="16"/>
          <w:szCs w:val="16"/>
          <w:rtl/>
        </w:rPr>
        <w:t>[תרומות פ"ו מ"א]</w:t>
      </w:r>
      <w:r>
        <w:rPr>
          <w:rFonts w:hint="cs"/>
          <w:rtl/>
        </w:rPr>
        <w:t xml:space="preserve"> טוען שבאכילת חצי שיעור ביום הכיפורים יש איסור תורה, גם לפי ריש לקיש שאין איסור תורה ב'חצי שיעור', מחמת הפגיעה במצות השביתה. [דבריו אמורים בביאור הירושלמי </w:t>
      </w:r>
      <w:r>
        <w:rPr>
          <w:rFonts w:hint="cs"/>
          <w:sz w:val="16"/>
          <w:szCs w:val="16"/>
          <w:rtl/>
        </w:rPr>
        <w:t>[תרומות, שם]</w:t>
      </w:r>
      <w:r>
        <w:rPr>
          <w:rFonts w:hint="cs"/>
          <w:rtl/>
        </w:rPr>
        <w:t xml:space="preserve">; ובשיעור הקודם הובא בשם הגר"א </w:t>
      </w:r>
      <w:r>
        <w:rPr>
          <w:rFonts w:hint="cs"/>
          <w:sz w:val="16"/>
          <w:szCs w:val="16"/>
          <w:rtl/>
        </w:rPr>
        <w:t>[ביאור הגר"א לירושלמי, שם]</w:t>
      </w:r>
      <w:r>
        <w:rPr>
          <w:rFonts w:hint="cs"/>
          <w:rtl/>
        </w:rPr>
        <w:t xml:space="preserve"> ביאור אחר לדברי הירושלמי].</w:t>
      </w:r>
    </w:p>
  </w:footnote>
  <w:footnote w:id="209">
    <w:p w:rsidR="00A527D5" w:rsidRPr="00442DDA" w:rsidRDefault="00A527D5" w:rsidP="0010620B">
      <w:pPr>
        <w:pStyle w:val="a5"/>
        <w:rPr>
          <w:rtl/>
        </w:rPr>
      </w:pPr>
      <w:r>
        <w:rPr>
          <w:rStyle w:val="a7"/>
        </w:rPr>
        <w:footnoteRef/>
      </w:r>
      <w:r>
        <w:rPr>
          <w:rtl/>
        </w:rPr>
        <w:t xml:space="preserve"> </w:t>
      </w:r>
      <w:r>
        <w:rPr>
          <w:rFonts w:hint="cs"/>
          <w:rtl/>
        </w:rPr>
        <w:t xml:space="preserve">לפי זה, נחלקו הראשונים כיצד ליישב את מסקנת הסוגיה, "דכולי עלמא מנעל הוא", עם הנהגות האמוראים המובאות בתחילת הסוגיה, שנעלו סנדלים שונים שאינם של עור ביום הכיפורים; עי' רי"ף </w:t>
      </w:r>
      <w:r>
        <w:rPr>
          <w:rFonts w:hint="cs"/>
          <w:sz w:val="16"/>
          <w:szCs w:val="16"/>
          <w:rtl/>
        </w:rPr>
        <w:t>[ב.-:]</w:t>
      </w:r>
      <w:r>
        <w:rPr>
          <w:rFonts w:hint="cs"/>
          <w:rtl/>
        </w:rPr>
        <w:t xml:space="preserve">, בעל המאור, מלחמות ור"ן </w:t>
      </w:r>
      <w:r>
        <w:rPr>
          <w:rFonts w:hint="cs"/>
          <w:sz w:val="16"/>
          <w:szCs w:val="16"/>
          <w:rtl/>
        </w:rPr>
        <w:t>[שם]</w:t>
      </w:r>
      <w:r>
        <w:rPr>
          <w:rFonts w:hint="cs"/>
          <w:rtl/>
        </w:rPr>
        <w:t>, ואכמ"ל.</w:t>
      </w:r>
    </w:p>
  </w:footnote>
  <w:footnote w:id="210">
    <w:p w:rsidR="00A527D5" w:rsidRPr="005F5028" w:rsidRDefault="00A527D5" w:rsidP="0010620B">
      <w:pPr>
        <w:pStyle w:val="a5"/>
      </w:pPr>
      <w:r>
        <w:rPr>
          <w:rStyle w:val="a7"/>
        </w:rPr>
        <w:footnoteRef/>
      </w:r>
      <w:r>
        <w:rPr>
          <w:rtl/>
        </w:rPr>
        <w:t xml:space="preserve"> </w:t>
      </w:r>
      <w:r>
        <w:rPr>
          <w:rFonts w:hint="cs"/>
          <w:rtl/>
        </w:rPr>
        <w:t xml:space="preserve">וכן כותב ערוך השולחן </w:t>
      </w:r>
      <w:r>
        <w:rPr>
          <w:rFonts w:hint="cs"/>
          <w:sz w:val="16"/>
          <w:szCs w:val="16"/>
          <w:rtl/>
        </w:rPr>
        <w:t>[או"ח תריד, ד]</w:t>
      </w:r>
      <w:r>
        <w:rPr>
          <w:rFonts w:hint="cs"/>
          <w:rtl/>
        </w:rPr>
        <w:t xml:space="preserve"> בשיטת הרמב"ם.</w:t>
      </w:r>
    </w:p>
  </w:footnote>
  <w:footnote w:id="211">
    <w:p w:rsidR="00A527D5" w:rsidRPr="00181716" w:rsidRDefault="00A527D5" w:rsidP="0010620B">
      <w:pPr>
        <w:pStyle w:val="a5"/>
      </w:pPr>
      <w:r>
        <w:rPr>
          <w:rStyle w:val="a7"/>
        </w:rPr>
        <w:footnoteRef/>
      </w:r>
      <w:r>
        <w:rPr>
          <w:rtl/>
        </w:rPr>
        <w:t xml:space="preserve"> </w:t>
      </w:r>
      <w:r>
        <w:rPr>
          <w:rFonts w:hint="cs"/>
          <w:rtl/>
        </w:rPr>
        <w:t xml:space="preserve">תוספות מוכיחים מכך שאיסורים אלו הם מדרבנן בלבד. אמנם, בשיעור שעבר התבאר שניתן לקיים הבנה זו גם לשיטה שאיסורים אלו הם מדאורייתא.  </w:t>
      </w:r>
    </w:p>
  </w:footnote>
  <w:footnote w:id="212">
    <w:p w:rsidR="00A527D5" w:rsidRPr="00912A97" w:rsidRDefault="00A527D5" w:rsidP="0010620B">
      <w:pPr>
        <w:pStyle w:val="a5"/>
        <w:rPr>
          <w:rtl/>
        </w:rPr>
      </w:pPr>
      <w:r>
        <w:rPr>
          <w:rStyle w:val="a7"/>
        </w:rPr>
        <w:footnoteRef/>
      </w:r>
      <w:r>
        <w:rPr>
          <w:rtl/>
        </w:rPr>
        <w:t xml:space="preserve"> </w:t>
      </w:r>
      <w:r>
        <w:rPr>
          <w:rFonts w:hint="cs"/>
          <w:rtl/>
        </w:rPr>
        <w:t xml:space="preserve">הר"ן </w:t>
      </w:r>
      <w:r>
        <w:rPr>
          <w:rFonts w:hint="cs"/>
          <w:sz w:val="16"/>
          <w:szCs w:val="16"/>
          <w:rtl/>
        </w:rPr>
        <w:t>[א. ד"ה יום]</w:t>
      </w:r>
      <w:r>
        <w:rPr>
          <w:rFonts w:hint="cs"/>
          <w:rtl/>
        </w:rPr>
        <w:t xml:space="preserve"> כותב, שאמנם חמשת העינויים אסורים מן התורה, אך 'מסרן הכתוב לחכמים' והם התירו אותם במצבים אלו. </w:t>
      </w:r>
    </w:p>
  </w:footnote>
  <w:footnote w:id="213">
    <w:p w:rsidR="00A527D5" w:rsidRPr="001C3D71" w:rsidRDefault="00A527D5" w:rsidP="0010620B">
      <w:pPr>
        <w:pStyle w:val="a5"/>
        <w:rPr>
          <w:rtl/>
        </w:rPr>
      </w:pPr>
      <w:r>
        <w:rPr>
          <w:rStyle w:val="a7"/>
        </w:rPr>
        <w:footnoteRef/>
      </w:r>
      <w:r>
        <w:rPr>
          <w:rtl/>
        </w:rPr>
        <w:t xml:space="preserve"> </w:t>
      </w:r>
      <w:r>
        <w:rPr>
          <w:rFonts w:hint="cs"/>
          <w:rtl/>
        </w:rPr>
        <w:t xml:space="preserve">וכן נראה מדברי הר"ן </w:t>
      </w:r>
      <w:r>
        <w:rPr>
          <w:rFonts w:hint="cs"/>
          <w:sz w:val="16"/>
          <w:szCs w:val="16"/>
          <w:rtl/>
        </w:rPr>
        <w:t>[שם, ד"ה תנו רבנן]</w:t>
      </w:r>
      <w:r>
        <w:rPr>
          <w:rFonts w:hint="cs"/>
          <w:rtl/>
        </w:rPr>
        <w:t>.</w:t>
      </w:r>
    </w:p>
  </w:footnote>
  <w:footnote w:id="214">
    <w:p w:rsidR="00A527D5" w:rsidRPr="001B0075" w:rsidRDefault="00A527D5" w:rsidP="0010620B">
      <w:pPr>
        <w:pStyle w:val="a5"/>
        <w:rPr>
          <w:rtl/>
        </w:rPr>
      </w:pPr>
      <w:r>
        <w:rPr>
          <w:rStyle w:val="a7"/>
        </w:rPr>
        <w:footnoteRef/>
      </w:r>
      <w:r>
        <w:rPr>
          <w:rtl/>
        </w:rPr>
        <w:t xml:space="preserve"> </w:t>
      </w:r>
      <w:r>
        <w:rPr>
          <w:rFonts w:hint="cs"/>
          <w:rtl/>
        </w:rPr>
        <w:t xml:space="preserve">וכן כותבים הט"ז </w:t>
      </w:r>
      <w:r>
        <w:rPr>
          <w:rFonts w:hint="cs"/>
          <w:sz w:val="16"/>
          <w:szCs w:val="16"/>
          <w:rtl/>
        </w:rPr>
        <w:t>[תריג, א]</w:t>
      </w:r>
      <w:r>
        <w:rPr>
          <w:rFonts w:hint="cs"/>
          <w:rtl/>
        </w:rPr>
        <w:t xml:space="preserve"> והפרי חדש </w:t>
      </w:r>
      <w:r>
        <w:rPr>
          <w:rFonts w:hint="cs"/>
          <w:sz w:val="16"/>
          <w:szCs w:val="16"/>
          <w:rtl/>
        </w:rPr>
        <w:t>[תריג, א]</w:t>
      </w:r>
      <w:r>
        <w:rPr>
          <w:rFonts w:hint="cs"/>
          <w:rtl/>
        </w:rPr>
        <w:t>.</w:t>
      </w:r>
    </w:p>
  </w:footnote>
  <w:footnote w:id="215">
    <w:p w:rsidR="00A527D5" w:rsidRDefault="00A527D5" w:rsidP="0010620B">
      <w:pPr>
        <w:pStyle w:val="a5"/>
        <w:rPr>
          <w:rtl/>
        </w:rPr>
      </w:pPr>
      <w:r>
        <w:rPr>
          <w:rStyle w:val="a7"/>
        </w:rPr>
        <w:footnoteRef/>
      </w:r>
      <w:r>
        <w:rPr>
          <w:rtl/>
        </w:rPr>
        <w:t xml:space="preserve"> </w:t>
      </w:r>
      <w:r>
        <w:rPr>
          <w:rFonts w:hint="cs"/>
          <w:rtl/>
        </w:rPr>
        <w:t>הראשונים נחלקו האם דרשת 'סיכה כשתיה' מלמדת על דין דאורייתא או דין דרבנן, ולכל השיטות ברור שאין כרת על סיכה ביום הכיפורים, ואכמ"ל.</w:t>
      </w:r>
    </w:p>
  </w:footnote>
  <w:footnote w:id="216">
    <w:p w:rsidR="00A527D5" w:rsidRPr="00F84314" w:rsidRDefault="00A527D5" w:rsidP="0010620B">
      <w:pPr>
        <w:pStyle w:val="a5"/>
      </w:pPr>
      <w:r>
        <w:rPr>
          <w:rStyle w:val="a7"/>
        </w:rPr>
        <w:footnoteRef/>
      </w:r>
      <w:r>
        <w:rPr>
          <w:rtl/>
        </w:rPr>
        <w:t xml:space="preserve"> </w:t>
      </w:r>
      <w:r>
        <w:rPr>
          <w:rFonts w:hint="cs"/>
          <w:rtl/>
        </w:rPr>
        <w:t xml:space="preserve">הגדרה זו שנויה במחלוקת בגדר דין חמשת העינויים; עי' על כך בשיעור הקודם </w:t>
      </w:r>
      <w:r>
        <w:rPr>
          <w:rFonts w:hint="cs"/>
          <w:sz w:val="16"/>
          <w:szCs w:val="16"/>
          <w:rtl/>
        </w:rPr>
        <w:t>['חמשת העינויים]</w:t>
      </w:r>
      <w:r>
        <w:rPr>
          <w:rFonts w:hint="cs"/>
          <w:rtl/>
        </w:rPr>
        <w:t>.</w:t>
      </w:r>
    </w:p>
  </w:footnote>
  <w:footnote w:id="217">
    <w:p w:rsidR="00A527D5" w:rsidRPr="00695FC6" w:rsidRDefault="00A527D5" w:rsidP="0010620B">
      <w:pPr>
        <w:pStyle w:val="a5"/>
      </w:pPr>
      <w:r>
        <w:rPr>
          <w:rStyle w:val="a7"/>
        </w:rPr>
        <w:footnoteRef/>
      </w:r>
      <w:r>
        <w:rPr>
          <w:rtl/>
        </w:rPr>
        <w:t xml:space="preserve"> </w:t>
      </w:r>
      <w:r>
        <w:rPr>
          <w:rFonts w:hint="cs"/>
          <w:rtl/>
        </w:rPr>
        <w:t xml:space="preserve">הגדרה זו תלויה במחלוקת בגדר איסור אכילה ושתייה; עי' על כך בשיעור עשרים ושלושה </w:t>
      </w:r>
      <w:r>
        <w:rPr>
          <w:rFonts w:hint="cs"/>
          <w:sz w:val="16"/>
          <w:szCs w:val="16"/>
          <w:rtl/>
        </w:rPr>
        <w:t>['מצות העינוי ביום הכיפורים']</w:t>
      </w:r>
      <w:r>
        <w:rPr>
          <w:rFonts w:hint="cs"/>
          <w:rtl/>
        </w:rPr>
        <w:t>.</w:t>
      </w:r>
    </w:p>
  </w:footnote>
  <w:footnote w:id="218">
    <w:p w:rsidR="00A527D5" w:rsidRPr="00E65EC0" w:rsidRDefault="00A527D5" w:rsidP="0010620B">
      <w:pPr>
        <w:pStyle w:val="a5"/>
        <w:rPr>
          <w:rtl/>
        </w:rPr>
      </w:pPr>
      <w:r>
        <w:rPr>
          <w:rStyle w:val="a7"/>
        </w:rPr>
        <w:footnoteRef/>
      </w:r>
      <w:r>
        <w:rPr>
          <w:rtl/>
        </w:rPr>
        <w:t xml:space="preserve"> </w:t>
      </w:r>
      <w:r>
        <w:rPr>
          <w:rFonts w:hint="cs"/>
          <w:rtl/>
        </w:rPr>
        <w:t xml:space="preserve">שיטת היראים בעניין זה התבארה בשיעור שמונה עשר </w:t>
      </w:r>
      <w:r>
        <w:rPr>
          <w:rFonts w:hint="cs"/>
          <w:sz w:val="16"/>
          <w:szCs w:val="16"/>
          <w:rtl/>
        </w:rPr>
        <w:t>['וידוי']</w:t>
      </w:r>
      <w:r>
        <w:rPr>
          <w:rFonts w:hint="cs"/>
          <w:rtl/>
        </w:rPr>
        <w:t>.</w:t>
      </w:r>
    </w:p>
  </w:footnote>
  <w:footnote w:id="219">
    <w:p w:rsidR="00A527D5" w:rsidRDefault="00A527D5" w:rsidP="0010620B">
      <w:pPr>
        <w:pStyle w:val="a5"/>
        <w:rPr>
          <w:rtl/>
        </w:rPr>
      </w:pPr>
      <w:r>
        <w:rPr>
          <w:rStyle w:val="a7"/>
        </w:rPr>
        <w:footnoteRef/>
      </w:r>
      <w:r>
        <w:rPr>
          <w:rtl/>
        </w:rPr>
        <w:t xml:space="preserve"> </w:t>
      </w:r>
      <w:r>
        <w:rPr>
          <w:rFonts w:hint="cs"/>
          <w:rtl/>
        </w:rPr>
        <w:t xml:space="preserve">נראה שקיימת מחלוקת בין בה"ג ליראים בתוקף חובת הוידוי: לפי בה"ג זהו דין תורה, ואילו לפי היראים זהו דין דרבנן. </w:t>
      </w:r>
    </w:p>
  </w:footnote>
  <w:footnote w:id="220">
    <w:p w:rsidR="00A527D5" w:rsidRPr="00792E09" w:rsidRDefault="00A527D5" w:rsidP="0010620B">
      <w:pPr>
        <w:pStyle w:val="a5"/>
        <w:rPr>
          <w:rtl/>
        </w:rPr>
      </w:pPr>
      <w:r>
        <w:rPr>
          <w:rStyle w:val="a7"/>
        </w:rPr>
        <w:footnoteRef/>
      </w:r>
      <w:r>
        <w:rPr>
          <w:rtl/>
        </w:rPr>
        <w:t xml:space="preserve"> </w:t>
      </w:r>
      <w:r>
        <w:rPr>
          <w:rFonts w:hint="cs"/>
          <w:rtl/>
        </w:rPr>
        <w:t xml:space="preserve">הלבוש מוסיף ומשווה בין וידוי של יום הכיפורים לוידוייו של הכהן הגדול. נראה מכך שלהבנתו גם וידוי זה דומה במהותו לוידוי על הקרבן, אמנם בדברינו בשיעור שמונה עשר </w:t>
      </w:r>
      <w:r>
        <w:rPr>
          <w:rFonts w:hint="cs"/>
          <w:sz w:val="16"/>
          <w:szCs w:val="16"/>
          <w:rtl/>
        </w:rPr>
        <w:t>['וידוי']</w:t>
      </w:r>
      <w:r>
        <w:rPr>
          <w:rFonts w:hint="cs"/>
          <w:rtl/>
        </w:rPr>
        <w:t xml:space="preserve"> עמדנו על דרך לחלק בין הוידויים. [ואכן, שולחן ערוך הרב </w:t>
      </w:r>
      <w:r>
        <w:rPr>
          <w:rFonts w:hint="cs"/>
          <w:sz w:val="16"/>
          <w:szCs w:val="16"/>
          <w:rtl/>
        </w:rPr>
        <w:t>[שם]</w:t>
      </w:r>
      <w:r>
        <w:rPr>
          <w:rFonts w:hint="cs"/>
          <w:rtl/>
        </w:rPr>
        <w:t xml:space="preserve"> מעתיק את תחילת דברי הלבוש, בהשמטת דבריו ביחס לוידוי של כהן גדול].</w:t>
      </w:r>
    </w:p>
  </w:footnote>
  <w:footnote w:id="221">
    <w:p w:rsidR="00A527D5" w:rsidRPr="003153EB" w:rsidRDefault="00A527D5" w:rsidP="0010620B">
      <w:pPr>
        <w:pStyle w:val="a5"/>
        <w:rPr>
          <w:rtl/>
        </w:rPr>
      </w:pPr>
      <w:r>
        <w:rPr>
          <w:rStyle w:val="a7"/>
        </w:rPr>
        <w:footnoteRef/>
      </w:r>
      <w:r>
        <w:rPr>
          <w:rtl/>
        </w:rPr>
        <w:t xml:space="preserve"> </w:t>
      </w:r>
      <w:r>
        <w:rPr>
          <w:rFonts w:hint="cs"/>
          <w:rtl/>
        </w:rPr>
        <w:t xml:space="preserve">בפשטות, הוידוי הוא ביטוי של התשובה הנדרשת לשם הכפרה; אמנם עי' רמב"ם </w:t>
      </w:r>
      <w:r>
        <w:rPr>
          <w:rFonts w:hint="cs"/>
          <w:sz w:val="16"/>
          <w:szCs w:val="16"/>
          <w:rtl/>
        </w:rPr>
        <w:t>[הל' תשובה פ"א ה"ב]</w:t>
      </w:r>
      <w:r>
        <w:rPr>
          <w:rFonts w:hint="cs"/>
          <w:rtl/>
        </w:rPr>
        <w:t xml:space="preserve"> ומנחת חינוך </w:t>
      </w:r>
      <w:r>
        <w:rPr>
          <w:rFonts w:hint="cs"/>
          <w:sz w:val="16"/>
          <w:szCs w:val="16"/>
          <w:rtl/>
        </w:rPr>
        <w:t>[מצוה שסד אות ח]</w:t>
      </w:r>
      <w:r>
        <w:rPr>
          <w:rFonts w:hint="cs"/>
          <w:rtl/>
        </w:rPr>
        <w:t xml:space="preserve"> שמדבריהם עולה שוידוי אינו תלוי בתשובה, וע"ע 'על התשובה' </w:t>
      </w:r>
      <w:r>
        <w:rPr>
          <w:rFonts w:hint="cs"/>
          <w:sz w:val="16"/>
          <w:szCs w:val="16"/>
          <w:rtl/>
        </w:rPr>
        <w:t>[עמ' 154-156]</w:t>
      </w:r>
      <w:r>
        <w:rPr>
          <w:rFonts w:hint="cs"/>
          <w:rtl/>
        </w:rPr>
        <w:t xml:space="preserve"> הטוען שיש וידויים: וידוי של תשובה ווידוי של ריצוי וכפרה, ואכמ"ל.</w:t>
      </w:r>
    </w:p>
  </w:footnote>
  <w:footnote w:id="222">
    <w:p w:rsidR="00A527D5" w:rsidRPr="00E80BE0" w:rsidRDefault="00A527D5" w:rsidP="0010620B">
      <w:pPr>
        <w:pStyle w:val="a5"/>
        <w:rPr>
          <w:rtl/>
        </w:rPr>
      </w:pPr>
      <w:r>
        <w:rPr>
          <w:rStyle w:val="a7"/>
        </w:rPr>
        <w:footnoteRef/>
      </w:r>
      <w:r>
        <w:rPr>
          <w:rtl/>
        </w:rPr>
        <w:t xml:space="preserve"> </w:t>
      </w:r>
      <w:r>
        <w:rPr>
          <w:rFonts w:hint="cs"/>
          <w:rtl/>
        </w:rPr>
        <w:t xml:space="preserve">שיטתו של רבנו יונה מבוססת על פרשנותו לכתוב "כי ביום הזה יכפר עליכם לטהר אתכם מכל חטאתיכם לפני ה' תטהרו". רבנו יונה </w:t>
      </w:r>
      <w:r>
        <w:rPr>
          <w:rFonts w:hint="cs"/>
          <w:sz w:val="16"/>
          <w:szCs w:val="16"/>
          <w:rtl/>
        </w:rPr>
        <w:t>[שערי תשובה ד, יז]</w:t>
      </w:r>
      <w:r>
        <w:rPr>
          <w:rFonts w:hint="cs"/>
          <w:rtl/>
        </w:rPr>
        <w:t xml:space="preserve"> מקשה על 'חילוקי הכפרה' המפורטים בגמרא </w:t>
      </w:r>
      <w:r>
        <w:rPr>
          <w:rFonts w:hint="cs"/>
          <w:sz w:val="16"/>
          <w:szCs w:val="16"/>
          <w:rtl/>
        </w:rPr>
        <w:t>[יומא פו.]</w:t>
      </w:r>
      <w:r>
        <w:rPr>
          <w:rFonts w:hint="cs"/>
          <w:rtl/>
        </w:rPr>
        <w:t xml:space="preserve">, מהם עולה שיום הכיפורים אינו מכפר על כל העבירות, מהכתוב "מכל חטאתיכם... תטהרו". רבנו יונה מיישב שבפסוק זה יש שני היגדים שונים: האחד </w:t>
      </w:r>
      <w:r>
        <w:rPr>
          <w:rtl/>
        </w:rPr>
        <w:t>–</w:t>
      </w:r>
      <w:r>
        <w:rPr>
          <w:rFonts w:hint="cs"/>
          <w:rtl/>
        </w:rPr>
        <w:t xml:space="preserve"> "כי ביום הזה יכפר עליכם לטהר אתכם", המלמד על הכפרה הקיימת בעיצומו של יום; והשני </w:t>
      </w:r>
      <w:r>
        <w:rPr>
          <w:rtl/>
        </w:rPr>
        <w:t>–</w:t>
      </w:r>
      <w:r>
        <w:rPr>
          <w:rFonts w:hint="cs"/>
          <w:rtl/>
        </w:rPr>
        <w:t xml:space="preserve"> "מכל חטאתיכם לפני ה' תטהרו", המצווה על האדם לשוב בתשובה ולהיטהר ביום הכיפורים. על פי זה מבאר רבנו יונה, שלגבי הכפרה לא נאמר "מכל חטאתיכם", אלא רק לגבי מצוות התשובה המוטלת על האדם.</w:t>
      </w:r>
    </w:p>
  </w:footnote>
  <w:footnote w:id="223">
    <w:p w:rsidR="00A527D5" w:rsidRPr="003153EB" w:rsidRDefault="00A527D5" w:rsidP="0010620B">
      <w:pPr>
        <w:pStyle w:val="a5"/>
      </w:pPr>
      <w:r>
        <w:rPr>
          <w:rStyle w:val="a7"/>
        </w:rPr>
        <w:footnoteRef/>
      </w:r>
      <w:r>
        <w:rPr>
          <w:rtl/>
        </w:rPr>
        <w:t xml:space="preserve"> </w:t>
      </w:r>
      <w:r>
        <w:rPr>
          <w:rFonts w:hint="cs"/>
          <w:rtl/>
        </w:rPr>
        <w:t xml:space="preserve">כן נראה מדברי הרמב"ם במורה הנבוכים </w:t>
      </w:r>
      <w:r>
        <w:rPr>
          <w:rFonts w:hint="cs"/>
          <w:sz w:val="16"/>
          <w:szCs w:val="16"/>
          <w:rtl/>
        </w:rPr>
        <w:t>[ג, לו; ג, מא]</w:t>
      </w:r>
      <w:r>
        <w:rPr>
          <w:rFonts w:hint="cs"/>
          <w:rtl/>
        </w:rPr>
        <w:t xml:space="preserve"> לגבי משמעות הכפרה.</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D5" w:rsidRDefault="00A527D5" w:rsidP="008C546C">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E98"/>
    <w:multiLevelType w:val="hybridMultilevel"/>
    <w:tmpl w:val="E0002314"/>
    <w:lvl w:ilvl="0" w:tplc="BF02231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15:restartNumberingAfterBreak="0">
    <w:nsid w:val="1ABB1D4D"/>
    <w:multiLevelType w:val="hybridMultilevel"/>
    <w:tmpl w:val="43127E08"/>
    <w:lvl w:ilvl="0" w:tplc="EAE02A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23A60"/>
    <w:multiLevelType w:val="hybridMultilevel"/>
    <w:tmpl w:val="E410EF68"/>
    <w:lvl w:ilvl="0" w:tplc="64B6040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1EB428DA"/>
    <w:multiLevelType w:val="hybridMultilevel"/>
    <w:tmpl w:val="715A174A"/>
    <w:lvl w:ilvl="0" w:tplc="26028A3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 w15:restartNumberingAfterBreak="0">
    <w:nsid w:val="3DF10B49"/>
    <w:multiLevelType w:val="hybridMultilevel"/>
    <w:tmpl w:val="2D440FE6"/>
    <w:lvl w:ilvl="0" w:tplc="920C6B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15:restartNumberingAfterBreak="0">
    <w:nsid w:val="3FD0539A"/>
    <w:multiLevelType w:val="hybridMultilevel"/>
    <w:tmpl w:val="DF4AD192"/>
    <w:lvl w:ilvl="0" w:tplc="D47AFA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46F78"/>
    <w:multiLevelType w:val="hybridMultilevel"/>
    <w:tmpl w:val="66D80374"/>
    <w:lvl w:ilvl="0" w:tplc="B8D07E8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15:restartNumberingAfterBreak="0">
    <w:nsid w:val="55723B4E"/>
    <w:multiLevelType w:val="hybridMultilevel"/>
    <w:tmpl w:val="0CFC70AA"/>
    <w:lvl w:ilvl="0" w:tplc="BE7E8958">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8" w15:restartNumberingAfterBreak="0">
    <w:nsid w:val="5D3E52BF"/>
    <w:multiLevelType w:val="hybridMultilevel"/>
    <w:tmpl w:val="F060440A"/>
    <w:lvl w:ilvl="0" w:tplc="269CA0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8"/>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B4"/>
    <w:rsid w:val="0010620B"/>
    <w:rsid w:val="001877B4"/>
    <w:rsid w:val="00212E39"/>
    <w:rsid w:val="005F0007"/>
    <w:rsid w:val="00675F1C"/>
    <w:rsid w:val="00782FFD"/>
    <w:rsid w:val="00804A48"/>
    <w:rsid w:val="0085287D"/>
    <w:rsid w:val="008C546C"/>
    <w:rsid w:val="009337C2"/>
    <w:rsid w:val="0096770B"/>
    <w:rsid w:val="00974300"/>
    <w:rsid w:val="00A349CD"/>
    <w:rsid w:val="00A527D5"/>
    <w:rsid w:val="00BF712B"/>
    <w:rsid w:val="00C26E1A"/>
    <w:rsid w:val="00C84762"/>
    <w:rsid w:val="00E064B4"/>
    <w:rsid w:val="00E82B5C"/>
    <w:rsid w:val="00EC5B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B1F5"/>
  <w15:chartTrackingRefBased/>
  <w15:docId w15:val="{99780797-3C99-49F9-8655-88133843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B4"/>
    <w:pPr>
      <w:spacing w:after="160" w:line="259" w:lineRule="auto"/>
    </w:pPr>
    <w:rPr>
      <w:rFonts w:cs="Narkisim"/>
    </w:rPr>
  </w:style>
  <w:style w:type="paragraph" w:styleId="1">
    <w:name w:val="heading 1"/>
    <w:basedOn w:val="a"/>
    <w:next w:val="a"/>
    <w:link w:val="10"/>
    <w:uiPriority w:val="9"/>
    <w:qFormat/>
    <w:rsid w:val="001062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212E39"/>
    <w:pPr>
      <w:spacing w:line="276" w:lineRule="auto"/>
    </w:pPr>
    <w:rPr>
      <w:rFonts w:cs="FrankRuehl"/>
      <w:i/>
    </w:rPr>
  </w:style>
  <w:style w:type="character" w:customStyle="1" w:styleId="a4">
    <w:name w:val="ציטוט תו"/>
    <w:basedOn w:val="a0"/>
    <w:link w:val="a3"/>
    <w:uiPriority w:val="29"/>
    <w:rsid w:val="00212E39"/>
    <w:rPr>
      <w:rFonts w:cs="FrankRuehl"/>
      <w:i/>
      <w:szCs w:val="24"/>
    </w:rPr>
  </w:style>
  <w:style w:type="paragraph" w:styleId="a5">
    <w:name w:val="footnote text"/>
    <w:basedOn w:val="a"/>
    <w:link w:val="a6"/>
    <w:uiPriority w:val="99"/>
    <w:unhideWhenUsed/>
    <w:rsid w:val="00E064B4"/>
    <w:pPr>
      <w:spacing w:after="0" w:line="240" w:lineRule="auto"/>
    </w:pPr>
    <w:rPr>
      <w:sz w:val="20"/>
      <w:szCs w:val="20"/>
    </w:rPr>
  </w:style>
  <w:style w:type="character" w:customStyle="1" w:styleId="a6">
    <w:name w:val="טקסט הערת שוליים תו"/>
    <w:basedOn w:val="a0"/>
    <w:link w:val="a5"/>
    <w:uiPriority w:val="99"/>
    <w:rsid w:val="00E064B4"/>
    <w:rPr>
      <w:rFonts w:cs="Narkisim"/>
      <w:sz w:val="20"/>
      <w:szCs w:val="20"/>
    </w:rPr>
  </w:style>
  <w:style w:type="character" w:styleId="a7">
    <w:name w:val="footnote reference"/>
    <w:basedOn w:val="a0"/>
    <w:uiPriority w:val="99"/>
    <w:semiHidden/>
    <w:unhideWhenUsed/>
    <w:rsid w:val="00E064B4"/>
    <w:rPr>
      <w:vertAlign w:val="superscript"/>
    </w:rPr>
  </w:style>
  <w:style w:type="paragraph" w:styleId="a8">
    <w:name w:val="List Paragraph"/>
    <w:basedOn w:val="a"/>
    <w:uiPriority w:val="34"/>
    <w:qFormat/>
    <w:rsid w:val="00E064B4"/>
    <w:pPr>
      <w:ind w:left="720"/>
      <w:contextualSpacing/>
    </w:pPr>
  </w:style>
  <w:style w:type="character" w:styleId="Hyperlink">
    <w:name w:val="Hyperlink"/>
    <w:basedOn w:val="a0"/>
    <w:uiPriority w:val="99"/>
    <w:unhideWhenUsed/>
    <w:rsid w:val="00E064B4"/>
    <w:rPr>
      <w:color w:val="0563C1" w:themeColor="hyperlink"/>
      <w:u w:val="single"/>
    </w:rPr>
  </w:style>
  <w:style w:type="paragraph" w:styleId="a9">
    <w:name w:val="header"/>
    <w:basedOn w:val="a"/>
    <w:link w:val="aa"/>
    <w:uiPriority w:val="99"/>
    <w:unhideWhenUsed/>
    <w:rsid w:val="00E064B4"/>
    <w:pPr>
      <w:tabs>
        <w:tab w:val="center" w:pos="4153"/>
        <w:tab w:val="right" w:pos="8306"/>
      </w:tabs>
      <w:spacing w:after="0" w:line="240" w:lineRule="auto"/>
    </w:pPr>
  </w:style>
  <w:style w:type="character" w:customStyle="1" w:styleId="aa">
    <w:name w:val="כותרת עליונה תו"/>
    <w:basedOn w:val="a0"/>
    <w:link w:val="a9"/>
    <w:uiPriority w:val="99"/>
    <w:rsid w:val="00E064B4"/>
    <w:rPr>
      <w:rFonts w:cs="Narkisim"/>
    </w:rPr>
  </w:style>
  <w:style w:type="paragraph" w:styleId="ab">
    <w:name w:val="footer"/>
    <w:basedOn w:val="a"/>
    <w:link w:val="ac"/>
    <w:uiPriority w:val="99"/>
    <w:unhideWhenUsed/>
    <w:rsid w:val="00E064B4"/>
    <w:pPr>
      <w:tabs>
        <w:tab w:val="center" w:pos="4153"/>
        <w:tab w:val="right" w:pos="8306"/>
      </w:tabs>
      <w:spacing w:after="0" w:line="240" w:lineRule="auto"/>
    </w:pPr>
  </w:style>
  <w:style w:type="character" w:customStyle="1" w:styleId="ac">
    <w:name w:val="כותרת תחתונה תו"/>
    <w:basedOn w:val="a0"/>
    <w:link w:val="ab"/>
    <w:uiPriority w:val="99"/>
    <w:rsid w:val="00E064B4"/>
    <w:rPr>
      <w:rFonts w:cs="Narkisim"/>
    </w:rPr>
  </w:style>
  <w:style w:type="character" w:customStyle="1" w:styleId="10">
    <w:name w:val="כותרת 1 תו"/>
    <w:basedOn w:val="a0"/>
    <w:link w:val="1"/>
    <w:uiPriority w:val="9"/>
    <w:rsid w:val="0010620B"/>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10620B"/>
    <w:pPr>
      <w:jc w:val="left"/>
      <w:outlineLvl w:val="9"/>
    </w:pPr>
    <w:rPr>
      <w:rtl/>
      <w:cs/>
    </w:rPr>
  </w:style>
  <w:style w:type="paragraph" w:styleId="TOC1">
    <w:name w:val="toc 1"/>
    <w:basedOn w:val="a"/>
    <w:next w:val="a"/>
    <w:autoRedefine/>
    <w:uiPriority w:val="39"/>
    <w:unhideWhenUsed/>
    <w:rsid w:val="0010620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hlomo26@gmail.com" TargetMode="External"/><Relationship Id="rId13" Type="http://schemas.openxmlformats.org/officeDocument/2006/relationships/hyperlink" Target="mailto:lshlomo26@gmail.com" TargetMode="External"/><Relationship Id="rId18" Type="http://schemas.openxmlformats.org/officeDocument/2006/relationships/hyperlink" Target="mailto:Itzikw7@gmail.com" TargetMode="External"/><Relationship Id="rId26" Type="http://schemas.openxmlformats.org/officeDocument/2006/relationships/hyperlink" Target="mailto:Itzikw7@gmail.com" TargetMode="External"/><Relationship Id="rId3" Type="http://schemas.openxmlformats.org/officeDocument/2006/relationships/styles" Target="styles.xml"/><Relationship Id="rId21" Type="http://schemas.openxmlformats.org/officeDocument/2006/relationships/hyperlink" Target="mailto:lshlomo26@gmail.com" TargetMode="External"/><Relationship Id="rId34" Type="http://schemas.openxmlformats.org/officeDocument/2006/relationships/hyperlink" Target="mailto:lshlomo26@gmail.com" TargetMode="External"/><Relationship Id="rId7" Type="http://schemas.openxmlformats.org/officeDocument/2006/relationships/endnotes" Target="endnotes.xml"/><Relationship Id="rId12" Type="http://schemas.openxmlformats.org/officeDocument/2006/relationships/hyperlink" Target="mailto:lshlomo26@gmail.com" TargetMode="External"/><Relationship Id="rId17" Type="http://schemas.openxmlformats.org/officeDocument/2006/relationships/hyperlink" Target="mailto:Itzikw7@gmail.com" TargetMode="External"/><Relationship Id="rId25" Type="http://schemas.openxmlformats.org/officeDocument/2006/relationships/hyperlink" Target="mailto:lshlomo26@gmail.com" TargetMode="External"/><Relationship Id="rId33" Type="http://schemas.openxmlformats.org/officeDocument/2006/relationships/hyperlink" Target="mailto:lshlomo26@gmail.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shlomo26@gmail.com" TargetMode="External"/><Relationship Id="rId20" Type="http://schemas.openxmlformats.org/officeDocument/2006/relationships/hyperlink" Target="mailto:lshlomo26@gmail.com" TargetMode="External"/><Relationship Id="rId29" Type="http://schemas.openxmlformats.org/officeDocument/2006/relationships/hyperlink" Target="mailto:lshlomo26@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hlomo26@gmail.com" TargetMode="External"/><Relationship Id="rId24" Type="http://schemas.openxmlformats.org/officeDocument/2006/relationships/hyperlink" Target="mailto:Itzikw7@gmail.com" TargetMode="External"/><Relationship Id="rId32" Type="http://schemas.openxmlformats.org/officeDocument/2006/relationships/hyperlink" Target="mailto:lshlomo26@gmai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shlomo26@gmail.com" TargetMode="External"/><Relationship Id="rId23" Type="http://schemas.openxmlformats.org/officeDocument/2006/relationships/hyperlink" Target="mailto:Itzikw7@gmail.com" TargetMode="External"/><Relationship Id="rId28" Type="http://schemas.openxmlformats.org/officeDocument/2006/relationships/hyperlink" Target="https://etzion.org.il/he/talmud/seder-moed/massekhet-yoma/%D7%94%D7%95%D7%A6%D7%90%D7%AA-%D7%9B%D7%A3-%D7%95%D7%9E%D7%97%D7%AA%D7%94-%D7%91%D7%99%D7%95%D7%9D-%D7%94%D7%9B%D7%99%D7%A4%D7%95%D7%A8%D7%99%D7%9D" TargetMode="External"/><Relationship Id="rId36" Type="http://schemas.openxmlformats.org/officeDocument/2006/relationships/footer" Target="footer1.xml"/><Relationship Id="rId10" Type="http://schemas.openxmlformats.org/officeDocument/2006/relationships/hyperlink" Target="mailto:lshlomo26@gmail.com" TargetMode="External"/><Relationship Id="rId19" Type="http://schemas.openxmlformats.org/officeDocument/2006/relationships/hyperlink" Target="mailto:lshlomo26@gmail.com" TargetMode="External"/><Relationship Id="rId31" Type="http://schemas.openxmlformats.org/officeDocument/2006/relationships/hyperlink" Target="mailto:lshlomo26@gmail.com" TargetMode="External"/><Relationship Id="rId4" Type="http://schemas.openxmlformats.org/officeDocument/2006/relationships/settings" Target="settings.xml"/><Relationship Id="rId9" Type="http://schemas.openxmlformats.org/officeDocument/2006/relationships/hyperlink" Target="mailto:lshlomo26@gmail.com" TargetMode="External"/><Relationship Id="rId14" Type="http://schemas.openxmlformats.org/officeDocument/2006/relationships/hyperlink" Target="mailto:lshlomo26@gmail.com" TargetMode="External"/><Relationship Id="rId22" Type="http://schemas.openxmlformats.org/officeDocument/2006/relationships/hyperlink" Target="mailto:lshlomo26@gmail.com" TargetMode="External"/><Relationship Id="rId27" Type="http://schemas.openxmlformats.org/officeDocument/2006/relationships/hyperlink" Target="mailto:lshlomo26@gmail.com" TargetMode="External"/><Relationship Id="rId30" Type="http://schemas.openxmlformats.org/officeDocument/2006/relationships/hyperlink" Target="mailto:lshlomo26@gmail.com" TargetMode="External"/><Relationship Id="rId35"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EA6D-144F-42DA-B191-BB657630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55408</Words>
  <Characters>277040</Characters>
  <Application>Microsoft Office Word</Application>
  <DocSecurity>0</DocSecurity>
  <Lines>2308</Lines>
  <Paragraphs>663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2021-07-09T10:50:00Z</cp:lastPrinted>
  <dcterms:created xsi:type="dcterms:W3CDTF">2021-07-09T06:39:00Z</dcterms:created>
  <dcterms:modified xsi:type="dcterms:W3CDTF">2021-07-09T10:50:00Z</dcterms:modified>
</cp:coreProperties>
</file>